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0"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40"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Shopify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312" w:lineRule="exact"/>
        <w:rPr>
          <w:sz w:val="24"/>
          <w:szCs w:val="24"/>
          <w:color w:val="auto"/>
        </w:rPr>
      </w:pPr>
    </w:p>
    <w:tbl>
      <w:tblPr>
        <w:tblLayout w:type="fixed"/>
        <w:tblInd w:w="740" w:type="dxa"/>
        <w:tblCellMar>
          <w:top w:w="0" w:type="dxa"/>
          <w:left w:w="0" w:type="dxa"/>
          <w:bottom w:w="0" w:type="dxa"/>
          <w:right w:w="0" w:type="dxa"/>
        </w:tblCellMar>
      </w:tblPr>
      <w:tr>
        <w:trPr>
          <w:trHeight w:val="196"/>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Canada</w:t>
            </w:r>
          </w:p>
        </w:tc>
        <w:tc>
          <w:tcPr>
            <w:tcW w:w="380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001-37400</w:t>
            </w:r>
          </w:p>
        </w:tc>
        <w:tc>
          <w:tcPr>
            <w:tcW w:w="2500" w:type="dxa"/>
            <w:vAlign w:val="bottom"/>
          </w:tcPr>
          <w:p>
            <w:pPr>
              <w:jc w:val="center"/>
              <w:ind w:left="188"/>
              <w:spacing w:after="0"/>
              <w:rPr>
                <w:sz w:val="20"/>
                <w:szCs w:val="20"/>
                <w:color w:val="auto"/>
              </w:rPr>
            </w:pPr>
            <w:r>
              <w:rPr>
                <w:rFonts w:ascii="Arial" w:cs="Arial" w:eastAsia="Arial" w:hAnsi="Arial"/>
                <w:sz w:val="14"/>
                <w:szCs w:val="14"/>
                <w:b w:val="1"/>
                <w:bCs w:val="1"/>
                <w:color w:val="auto"/>
              </w:rPr>
              <w:t>98-0486686</w:t>
            </w:r>
          </w:p>
        </w:tc>
      </w:tr>
      <w:tr>
        <w:trPr>
          <w:trHeight w:val="202"/>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tc>
        <w:tc>
          <w:tcPr>
            <w:tcW w:w="3800" w:type="dxa"/>
            <w:vAlign w:val="bottom"/>
          </w:tcPr>
          <w:p>
            <w:pPr>
              <w:jc w:val="center"/>
              <w:ind w:right="128"/>
              <w:spacing w:after="0"/>
              <w:rPr>
                <w:sz w:val="20"/>
                <w:szCs w:val="20"/>
                <w:color w:val="auto"/>
              </w:rPr>
            </w:pPr>
            <w:r>
              <w:rPr>
                <w:rFonts w:ascii="Arial" w:cs="Arial" w:eastAsia="Arial" w:hAnsi="Arial"/>
                <w:sz w:val="14"/>
                <w:szCs w:val="14"/>
                <w:b w:val="1"/>
                <w:bCs w:val="1"/>
                <w:color w:val="auto"/>
              </w:rPr>
              <w:t>(Commission File Number)</w:t>
            </w:r>
          </w:p>
        </w:tc>
        <w:tc>
          <w:tcPr>
            <w:tcW w:w="2500" w:type="dxa"/>
            <w:vAlign w:val="bottom"/>
          </w:tcPr>
          <w:p>
            <w:pPr>
              <w:jc w:val="center"/>
              <w:ind w:left="188"/>
              <w:spacing w:after="0"/>
              <w:rPr>
                <w:sz w:val="20"/>
                <w:szCs w:val="20"/>
                <w:color w:val="auto"/>
              </w:rPr>
            </w:pPr>
            <w:r>
              <w:rPr>
                <w:rFonts w:ascii="Arial" w:cs="Arial" w:eastAsia="Arial" w:hAnsi="Arial"/>
                <w:sz w:val="14"/>
                <w:szCs w:val="14"/>
                <w:b w:val="1"/>
                <w:bCs w:val="1"/>
                <w:color w:val="auto"/>
              </w:rPr>
              <w:t>(IRS Employer Identification No.)</w:t>
            </w:r>
          </w:p>
        </w:tc>
      </w:tr>
      <w:tr>
        <w:trPr>
          <w:trHeight w:val="473"/>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151 O'Connor Street, Ground Floor</w:t>
            </w:r>
          </w:p>
        </w:tc>
        <w:tc>
          <w:tcPr>
            <w:tcW w:w="3800" w:type="dxa"/>
            <w:vAlign w:val="bottom"/>
          </w:tcPr>
          <w:p>
            <w:pPr>
              <w:spacing w:after="0"/>
              <w:rPr>
                <w:sz w:val="24"/>
                <w:szCs w:val="24"/>
                <w:color w:val="auto"/>
              </w:rPr>
            </w:pPr>
          </w:p>
        </w:tc>
        <w:tc>
          <w:tcPr>
            <w:tcW w:w="2500" w:type="dxa"/>
            <w:vAlign w:val="bottom"/>
          </w:tcPr>
          <w:p>
            <w:pPr>
              <w:jc w:val="center"/>
              <w:ind w:left="188"/>
              <w:spacing w:after="0"/>
              <w:rPr>
                <w:sz w:val="20"/>
                <w:szCs w:val="20"/>
                <w:color w:val="auto"/>
              </w:rPr>
            </w:pPr>
            <w:r>
              <w:rPr>
                <w:rFonts w:ascii="Arial" w:cs="Arial" w:eastAsia="Arial" w:hAnsi="Arial"/>
                <w:sz w:val="14"/>
                <w:szCs w:val="14"/>
                <w:b w:val="1"/>
                <w:bCs w:val="1"/>
                <w:color w:val="auto"/>
              </w:rPr>
              <w:t>85 10th Ave, Suite 800</w:t>
            </w:r>
          </w:p>
        </w:tc>
      </w:tr>
      <w:tr>
        <w:trPr>
          <w:trHeight w:val="203"/>
        </w:trPr>
        <w:tc>
          <w:tcPr>
            <w:tcW w:w="3060" w:type="dxa"/>
            <w:vAlign w:val="bottom"/>
          </w:tcPr>
          <w:p>
            <w:pPr>
              <w:jc w:val="center"/>
              <w:ind w:right="8"/>
              <w:spacing w:after="0"/>
              <w:rPr>
                <w:sz w:val="20"/>
                <w:szCs w:val="20"/>
                <w:color w:val="auto"/>
              </w:rPr>
            </w:pPr>
            <w:r>
              <w:rPr>
                <w:rFonts w:ascii="Arial" w:cs="Arial" w:eastAsia="Arial" w:hAnsi="Arial"/>
                <w:sz w:val="14"/>
                <w:szCs w:val="14"/>
                <w:b w:val="1"/>
                <w:bCs w:val="1"/>
                <w:color w:val="auto"/>
              </w:rPr>
              <w:t>Ottawa, Ontario</w:t>
            </w:r>
          </w:p>
        </w:tc>
        <w:tc>
          <w:tcPr>
            <w:tcW w:w="3800" w:type="dxa"/>
            <w:vAlign w:val="bottom"/>
          </w:tcPr>
          <w:p>
            <w:pPr>
              <w:spacing w:after="0"/>
              <w:rPr>
                <w:sz w:val="17"/>
                <w:szCs w:val="17"/>
                <w:color w:val="auto"/>
              </w:rPr>
            </w:pPr>
          </w:p>
        </w:tc>
        <w:tc>
          <w:tcPr>
            <w:tcW w:w="2500" w:type="dxa"/>
            <w:vAlign w:val="bottom"/>
          </w:tcPr>
          <w:p>
            <w:pPr>
              <w:ind w:left="660"/>
              <w:spacing w:after="0"/>
              <w:rPr>
                <w:sz w:val="20"/>
                <w:szCs w:val="20"/>
                <w:color w:val="auto"/>
              </w:rPr>
            </w:pPr>
            <w:r>
              <w:rPr>
                <w:rFonts w:ascii="Arial" w:cs="Arial" w:eastAsia="Arial" w:hAnsi="Arial"/>
                <w:sz w:val="14"/>
                <w:szCs w:val="14"/>
                <w:b w:val="1"/>
                <w:bCs w:val="1"/>
                <w:color w:val="auto"/>
              </w:rPr>
              <w:t>New York, New York</w:t>
            </w:r>
          </w:p>
        </w:tc>
      </w:tr>
      <w:tr>
        <w:trPr>
          <w:trHeight w:val="203"/>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Canada K2P 2L8</w:t>
            </w:r>
          </w:p>
        </w:tc>
        <w:tc>
          <w:tcPr>
            <w:tcW w:w="3800" w:type="dxa"/>
            <w:vAlign w:val="bottom"/>
          </w:tcPr>
          <w:p>
            <w:pPr>
              <w:spacing w:after="0"/>
              <w:rPr>
                <w:sz w:val="17"/>
                <w:szCs w:val="17"/>
                <w:color w:val="auto"/>
              </w:rPr>
            </w:pP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USA 10011</w:t>
            </w:r>
          </w:p>
        </w:tc>
      </w:tr>
      <w:tr>
        <w:trPr>
          <w:trHeight w:val="203"/>
        </w:trPr>
        <w:tc>
          <w:tcPr>
            <w:tcW w:w="3060" w:type="dxa"/>
            <w:vAlign w:val="bottom"/>
          </w:tcPr>
          <w:p>
            <w:pPr>
              <w:spacing w:after="0"/>
              <w:rPr>
                <w:sz w:val="17"/>
                <w:szCs w:val="17"/>
                <w:color w:val="auto"/>
              </w:rPr>
            </w:pPr>
          </w:p>
        </w:tc>
        <w:tc>
          <w:tcPr>
            <w:tcW w:w="3800" w:type="dxa"/>
            <w:vAlign w:val="bottom"/>
          </w:tcPr>
          <w:p>
            <w:pPr>
              <w:jc w:val="center"/>
              <w:ind w:right="8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2500" w:type="dxa"/>
            <w:vAlign w:val="bottom"/>
          </w:tcPr>
          <w:p>
            <w:pPr>
              <w:spacing w:after="0"/>
              <w:rPr>
                <w:sz w:val="17"/>
                <w:szCs w:val="17"/>
                <w:color w:val="auto"/>
              </w:rPr>
            </w:pPr>
          </w:p>
        </w:tc>
      </w:tr>
    </w:tbl>
    <w:p>
      <w:pPr>
        <w:spacing w:after="0" w:line="3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(613) 241-2828 x 1045</w:t>
      </w:r>
    </w:p>
    <w:p>
      <w:pPr>
        <w:spacing w:after="0" w:line="45"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293" w:lineRule="exact"/>
        <w:rPr>
          <w:sz w:val="24"/>
          <w:szCs w:val="24"/>
          <w:color w:val="auto"/>
        </w:rPr>
      </w:pPr>
    </w:p>
    <w:p>
      <w:pPr>
        <w:ind w:right="260"/>
        <w:spacing w:after="0" w:line="281"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35"/>
        </w:trPr>
        <w:tc>
          <w:tcPr>
            <w:tcW w:w="47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rPr>
              <w:t>Title of each class</w:t>
            </w:r>
          </w:p>
        </w:tc>
        <w:tc>
          <w:tcPr>
            <w:tcW w:w="16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9"/>
              </w:rPr>
              <w:t>Trading</w:t>
            </w:r>
          </w:p>
        </w:tc>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Class A Subordinate Voting Shares</w:t>
            </w:r>
          </w:p>
        </w:tc>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97"/>
              </w:rPr>
              <w:t>SHOP</w:t>
            </w:r>
          </w:p>
        </w:tc>
        <w:tc>
          <w:tcPr>
            <w:tcW w:w="300" w:type="dxa"/>
            <w:vAlign w:val="bottom"/>
          </w:tcPr>
          <w:p>
            <w:pPr>
              <w:spacing w:after="0"/>
              <w:rPr>
                <w:sz w:val="20"/>
                <w:szCs w:val="20"/>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28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 w:name="page2"/>
    <w:bookmarkEnd w:id="1"/>
    <w:p>
      <w:pPr>
        <w:jc w:val="both"/>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2026 annual general meeting of shareholders of Shopify Inc. (the "Company"), held on June 16, 2026, the holders of the Company's Class A subordinate voting shares, Class B multiple voting shares, and the founder share voted on: (1) 10 director nominees to be elected to the Board of Directors (the "Board") to serve until the close of the Company's next annual meeting of shareholders or until their respective successors have been appointed; (2) the appointment of PricewaterhouseCoopers LLP as auditors of the Company until the close of the Company's next annual meeting of shareholders at such remuneration to be fixed by the Board; (3) a non-binding advisory vote on the Company's approach to executive compensation (a "Say on Pay vote"); and (4) a shareholder proposal regarding an artificial intelligence policy. The items of business are further described in the Company's management information circular (the "Circular") filed as Exhibit 99.1 to the Company's Current Report on Form 8-K filed with the U.S. Securities and Exchange Commission on May 8, 2026.</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tables below set forth the number of votes cast for, against or withheld, and the number of abstentions and broker non-votes, for each matter voted on by the Company's shareholders.</w:t>
      </w:r>
    </w:p>
    <w:p>
      <w:pPr>
        <w:spacing w:after="0" w:line="18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Each of the 10 nominees listed below was elected as a director of the Company to hold office until the Company's next annual meeting of shareholders or until their successor is duly appointed.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Name of Nominee</w:t>
            </w:r>
          </w:p>
        </w:tc>
        <w:tc>
          <w:tcPr>
            <w:tcW w:w="352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b w:val="1"/>
                <w:bCs w:val="1"/>
                <w:color w:val="auto"/>
              </w:rPr>
              <w:t>Votes For</w:t>
            </w:r>
          </w:p>
        </w:tc>
        <w:tc>
          <w:tcPr>
            <w:tcW w:w="322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b w:val="1"/>
                <w:bCs w:val="1"/>
                <w:color w:val="auto"/>
              </w:rPr>
              <w:t>Votes Against</w:t>
            </w:r>
          </w:p>
        </w:tc>
        <w:tc>
          <w:tcPr>
            <w:tcW w:w="17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2680" w:type="dxa"/>
            <w:vAlign w:val="bottom"/>
          </w:tcPr>
          <w:p>
            <w:pPr>
              <w:spacing w:after="0"/>
              <w:rPr>
                <w:sz w:val="19"/>
                <w:szCs w:val="19"/>
                <w:color w:val="auto"/>
              </w:rPr>
            </w:pPr>
          </w:p>
        </w:tc>
        <w:tc>
          <w:tcPr>
            <w:tcW w:w="19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Number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8"/>
              </w:rPr>
              <w:t>Percentage</w:t>
            </w:r>
          </w:p>
        </w:tc>
        <w:tc>
          <w:tcPr>
            <w:tcW w:w="1680" w:type="dxa"/>
            <w:vAlign w:val="bottom"/>
          </w:tcPr>
          <w:p>
            <w:pPr>
              <w:ind w:left="500"/>
              <w:spacing w:after="0"/>
              <w:rPr>
                <w:sz w:val="20"/>
                <w:szCs w:val="20"/>
                <w:color w:val="auto"/>
              </w:rPr>
            </w:pPr>
            <w:r>
              <w:rPr>
                <w:rFonts w:ascii="Arial" w:cs="Arial" w:eastAsia="Arial" w:hAnsi="Arial"/>
                <w:sz w:val="18"/>
                <w:szCs w:val="18"/>
                <w:b w:val="1"/>
                <w:bCs w:val="1"/>
                <w:color w:val="auto"/>
              </w:rPr>
              <w:t>Number</w:t>
            </w: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Percentage</w:t>
            </w:r>
          </w:p>
        </w:tc>
        <w:tc>
          <w:tcPr>
            <w:tcW w:w="176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Number</w:t>
            </w:r>
          </w:p>
        </w:tc>
      </w:tr>
      <w:tr>
        <w:trPr>
          <w:trHeight w:val="230"/>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Tobias Lütke</w:t>
            </w:r>
          </w:p>
        </w:tc>
        <w:tc>
          <w:tcPr>
            <w:tcW w:w="19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1,657,446,737</w:t>
            </w:r>
          </w:p>
        </w:tc>
        <w:tc>
          <w:tcPr>
            <w:tcW w:w="1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97.72%</w:t>
            </w:r>
          </w:p>
        </w:tc>
        <w:tc>
          <w:tcPr>
            <w:tcW w:w="1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38,629,744</w:t>
            </w:r>
          </w:p>
        </w:tc>
        <w:tc>
          <w:tcPr>
            <w:tcW w:w="154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rPr>
              <w:t>2.28%</w:t>
            </w:r>
          </w:p>
        </w:tc>
        <w:tc>
          <w:tcPr>
            <w:tcW w:w="176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Lulu Cheng Meservey</w:t>
            </w:r>
          </w:p>
        </w:tc>
        <w:tc>
          <w:tcPr>
            <w:tcW w:w="1920" w:type="dxa"/>
            <w:vAlign w:val="bottom"/>
          </w:tcPr>
          <w:p>
            <w:pPr>
              <w:jc w:val="center"/>
              <w:ind w:left="50"/>
              <w:spacing w:after="0"/>
              <w:rPr>
                <w:sz w:val="20"/>
                <w:szCs w:val="20"/>
                <w:color w:val="auto"/>
              </w:rPr>
            </w:pPr>
            <w:r>
              <w:rPr>
                <w:rFonts w:ascii="Arial" w:cs="Arial" w:eastAsia="Arial" w:hAnsi="Arial"/>
                <w:sz w:val="18"/>
                <w:szCs w:val="18"/>
                <w:color w:val="auto"/>
                <w:w w:val="99"/>
              </w:rPr>
              <w:t>1,691,141,695</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99.71%</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4,934,787</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rPr>
              <w:t>0.29%</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30"/>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Jeanne DeWitt Grosser</w:t>
            </w:r>
          </w:p>
        </w:tc>
        <w:tc>
          <w:tcPr>
            <w:tcW w:w="19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1,684,061,536</w:t>
            </w:r>
          </w:p>
        </w:tc>
        <w:tc>
          <w:tcPr>
            <w:tcW w:w="1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99.29%</w:t>
            </w:r>
          </w:p>
        </w:tc>
        <w:tc>
          <w:tcPr>
            <w:tcW w:w="1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12,014,945</w:t>
            </w:r>
          </w:p>
        </w:tc>
        <w:tc>
          <w:tcPr>
            <w:tcW w:w="154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rPr>
              <w:t>0.71%</w:t>
            </w:r>
          </w:p>
        </w:tc>
        <w:tc>
          <w:tcPr>
            <w:tcW w:w="176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David Heinemeier Hansson</w:t>
            </w:r>
          </w:p>
        </w:tc>
        <w:tc>
          <w:tcPr>
            <w:tcW w:w="1920" w:type="dxa"/>
            <w:vAlign w:val="bottom"/>
          </w:tcPr>
          <w:p>
            <w:pPr>
              <w:jc w:val="center"/>
              <w:ind w:left="50"/>
              <w:spacing w:after="0"/>
              <w:rPr>
                <w:sz w:val="20"/>
                <w:szCs w:val="20"/>
                <w:color w:val="auto"/>
              </w:rPr>
            </w:pPr>
            <w:r>
              <w:rPr>
                <w:rFonts w:ascii="Arial" w:cs="Arial" w:eastAsia="Arial" w:hAnsi="Arial"/>
                <w:sz w:val="18"/>
                <w:szCs w:val="18"/>
                <w:color w:val="auto"/>
                <w:w w:val="99"/>
              </w:rPr>
              <w:t>1,691,045,519</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99.70%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5,030,963</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rPr>
              <w:t>0.30%</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30"/>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Jeremy Levine</w:t>
            </w:r>
          </w:p>
        </w:tc>
        <w:tc>
          <w:tcPr>
            <w:tcW w:w="19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1,665,712,404</w:t>
            </w:r>
          </w:p>
        </w:tc>
        <w:tc>
          <w:tcPr>
            <w:tcW w:w="1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98.21%</w:t>
            </w:r>
          </w:p>
        </w:tc>
        <w:tc>
          <w:tcPr>
            <w:tcW w:w="1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30,364,079</w:t>
            </w:r>
          </w:p>
        </w:tc>
        <w:tc>
          <w:tcPr>
            <w:tcW w:w="154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rPr>
              <w:t>1.79%</w:t>
            </w:r>
          </w:p>
        </w:tc>
        <w:tc>
          <w:tcPr>
            <w:tcW w:w="176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Prashanth Mahendra-Rajah</w:t>
            </w:r>
          </w:p>
        </w:tc>
        <w:tc>
          <w:tcPr>
            <w:tcW w:w="1920" w:type="dxa"/>
            <w:vAlign w:val="bottom"/>
          </w:tcPr>
          <w:p>
            <w:pPr>
              <w:jc w:val="center"/>
              <w:ind w:left="50"/>
              <w:spacing w:after="0"/>
              <w:rPr>
                <w:sz w:val="20"/>
                <w:szCs w:val="20"/>
                <w:color w:val="auto"/>
              </w:rPr>
            </w:pPr>
            <w:r>
              <w:rPr>
                <w:rFonts w:ascii="Arial" w:cs="Arial" w:eastAsia="Arial" w:hAnsi="Arial"/>
                <w:sz w:val="18"/>
                <w:szCs w:val="18"/>
                <w:color w:val="auto"/>
                <w:w w:val="99"/>
              </w:rPr>
              <w:t>1,687,117,698</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99.47%</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8,958,784</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rPr>
              <w:t>0.53%</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30"/>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Joseph Natale</w:t>
            </w:r>
          </w:p>
        </w:tc>
        <w:tc>
          <w:tcPr>
            <w:tcW w:w="19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1,534,092,144</w:t>
            </w:r>
          </w:p>
        </w:tc>
        <w:tc>
          <w:tcPr>
            <w:tcW w:w="1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90.45%</w:t>
            </w:r>
          </w:p>
        </w:tc>
        <w:tc>
          <w:tcPr>
            <w:tcW w:w="1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161,984,336</w:t>
            </w:r>
          </w:p>
        </w:tc>
        <w:tc>
          <w:tcPr>
            <w:tcW w:w="154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rPr>
              <w:t>9.55%</w:t>
            </w:r>
          </w:p>
        </w:tc>
        <w:tc>
          <w:tcPr>
            <w:tcW w:w="176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Kevin Scott</w:t>
            </w:r>
          </w:p>
        </w:tc>
        <w:tc>
          <w:tcPr>
            <w:tcW w:w="1920" w:type="dxa"/>
            <w:vAlign w:val="bottom"/>
          </w:tcPr>
          <w:p>
            <w:pPr>
              <w:jc w:val="center"/>
              <w:ind w:left="50"/>
              <w:spacing w:after="0"/>
              <w:rPr>
                <w:sz w:val="20"/>
                <w:szCs w:val="20"/>
                <w:color w:val="auto"/>
              </w:rPr>
            </w:pPr>
            <w:r>
              <w:rPr>
                <w:rFonts w:ascii="Arial" w:cs="Arial" w:eastAsia="Arial" w:hAnsi="Arial"/>
                <w:sz w:val="18"/>
                <w:szCs w:val="18"/>
                <w:color w:val="auto"/>
                <w:w w:val="99"/>
              </w:rPr>
              <w:t>1,692,124,196</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99.77%</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3,952,285</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rPr>
              <w:t>0.23%</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30"/>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Toby Shannan</w:t>
            </w:r>
          </w:p>
        </w:tc>
        <w:tc>
          <w:tcPr>
            <w:tcW w:w="19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1,692,107,202</w:t>
            </w:r>
          </w:p>
        </w:tc>
        <w:tc>
          <w:tcPr>
            <w:tcW w:w="1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99.77%</w:t>
            </w:r>
          </w:p>
        </w:tc>
        <w:tc>
          <w:tcPr>
            <w:tcW w:w="1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3,969,280</w:t>
            </w:r>
          </w:p>
        </w:tc>
        <w:tc>
          <w:tcPr>
            <w:tcW w:w="154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rPr>
              <w:t>0.23%</w:t>
            </w:r>
          </w:p>
        </w:tc>
        <w:tc>
          <w:tcPr>
            <w:tcW w:w="176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76,273,736</w:t>
            </w:r>
          </w:p>
        </w:tc>
      </w:tr>
      <w:tr>
        <w:trPr>
          <w:trHeight w:val="239"/>
        </w:trPr>
        <w:tc>
          <w:tcPr>
            <w:tcW w:w="2680" w:type="dxa"/>
            <w:vAlign w:val="bottom"/>
          </w:tcPr>
          <w:p>
            <w:pPr>
              <w:ind w:left="20"/>
              <w:spacing w:after="0"/>
              <w:rPr>
                <w:sz w:val="20"/>
                <w:szCs w:val="20"/>
                <w:color w:val="auto"/>
              </w:rPr>
            </w:pPr>
            <w:r>
              <w:rPr>
                <w:rFonts w:ascii="Arial" w:cs="Arial" w:eastAsia="Arial" w:hAnsi="Arial"/>
                <w:sz w:val="18"/>
                <w:szCs w:val="18"/>
                <w:color w:val="auto"/>
              </w:rPr>
              <w:t>Fidji Simo</w:t>
            </w:r>
          </w:p>
        </w:tc>
        <w:tc>
          <w:tcPr>
            <w:tcW w:w="1920" w:type="dxa"/>
            <w:vAlign w:val="bottom"/>
          </w:tcPr>
          <w:p>
            <w:pPr>
              <w:jc w:val="center"/>
              <w:ind w:left="50"/>
              <w:spacing w:after="0"/>
              <w:rPr>
                <w:sz w:val="20"/>
                <w:szCs w:val="20"/>
                <w:color w:val="auto"/>
              </w:rPr>
            </w:pPr>
            <w:r>
              <w:rPr>
                <w:rFonts w:ascii="Arial" w:cs="Arial" w:eastAsia="Arial" w:hAnsi="Arial"/>
                <w:sz w:val="18"/>
                <w:szCs w:val="18"/>
                <w:color w:val="auto"/>
                <w:w w:val="99"/>
              </w:rPr>
              <w:t>1,639,426,472</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96.66%</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56,649,985</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rPr>
              <w:t>3.34%</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9"/>
              </w:rPr>
              <w:t>76,273,736</w:t>
            </w:r>
          </w:p>
        </w:tc>
      </w:tr>
    </w:tbl>
    <w:p>
      <w:pPr>
        <w:spacing w:after="0" w:line="30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Independent Registered Public Accounting Firm</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shareholders approved the appointment of PricewaterhouseCoopers LLP as auditors of the Company until the close of the Company's next annual meeting of shareholders at such remuneration to be fixed by the Board.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Votes For</w:t>
            </w:r>
          </w:p>
        </w:tc>
        <w:tc>
          <w:tcPr>
            <w:tcW w:w="19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Votes Withheld</w:t>
            </w:r>
          </w:p>
        </w:tc>
      </w:tr>
      <w:tr>
        <w:trPr>
          <w:trHeight w:val="223"/>
        </w:trPr>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Number</w:t>
            </w:r>
          </w:p>
        </w:tc>
        <w:tc>
          <w:tcPr>
            <w:tcW w:w="3420" w:type="dxa"/>
            <w:vAlign w:val="bottom"/>
          </w:tcPr>
          <w:p>
            <w:pPr>
              <w:jc w:val="center"/>
              <w:ind w:left="490"/>
              <w:spacing w:after="0"/>
              <w:rPr>
                <w:sz w:val="20"/>
                <w:szCs w:val="20"/>
                <w:color w:val="auto"/>
              </w:rPr>
            </w:pPr>
            <w:r>
              <w:rPr>
                <w:rFonts w:ascii="Arial" w:cs="Arial" w:eastAsia="Arial" w:hAnsi="Arial"/>
                <w:sz w:val="18"/>
                <w:szCs w:val="18"/>
                <w:b w:val="1"/>
                <w:bCs w:val="1"/>
                <w:color w:val="auto"/>
                <w:w w:val="98"/>
              </w:rPr>
              <w:t>Percentage</w:t>
            </w:r>
          </w:p>
        </w:tc>
        <w:tc>
          <w:tcPr>
            <w:tcW w:w="198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Number</w:t>
            </w:r>
          </w:p>
        </w:tc>
        <w:tc>
          <w:tcPr>
            <w:tcW w:w="3560" w:type="dxa"/>
            <w:vAlign w:val="bottom"/>
          </w:tcPr>
          <w:p>
            <w:pPr>
              <w:jc w:val="center"/>
              <w:ind w:left="730"/>
              <w:spacing w:after="0"/>
              <w:rPr>
                <w:sz w:val="20"/>
                <w:szCs w:val="20"/>
                <w:color w:val="auto"/>
              </w:rPr>
            </w:pPr>
            <w:r>
              <w:rPr>
                <w:rFonts w:ascii="Arial" w:cs="Arial" w:eastAsia="Arial" w:hAnsi="Arial"/>
                <w:sz w:val="18"/>
                <w:szCs w:val="18"/>
                <w:b w:val="1"/>
                <w:bCs w:val="1"/>
                <w:color w:val="auto"/>
              </w:rPr>
              <w:t>Percentage</w:t>
            </w:r>
          </w:p>
        </w:tc>
      </w:tr>
      <w:tr>
        <w:trPr>
          <w:trHeight w:val="230"/>
        </w:trPr>
        <w:tc>
          <w:tcPr>
            <w:tcW w:w="21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1,762,083,817</w:t>
            </w:r>
          </w:p>
        </w:tc>
        <w:tc>
          <w:tcPr>
            <w:tcW w:w="342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rPr>
              <w:t>99.42%</w:t>
            </w:r>
          </w:p>
        </w:tc>
        <w:tc>
          <w:tcPr>
            <w:tcW w:w="19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10,266,401</w:t>
            </w:r>
          </w:p>
        </w:tc>
        <w:tc>
          <w:tcPr>
            <w:tcW w:w="3560" w:type="dxa"/>
            <w:vAlign w:val="bottom"/>
            <w:shd w:val="clear" w:color="auto" w:fill="DBDBDB"/>
          </w:tcPr>
          <w:p>
            <w:pPr>
              <w:jc w:val="right"/>
              <w:ind w:right="1010"/>
              <w:spacing w:after="0"/>
              <w:rPr>
                <w:sz w:val="20"/>
                <w:szCs w:val="20"/>
                <w:color w:val="auto"/>
              </w:rPr>
            </w:pPr>
            <w:r>
              <w:rPr>
                <w:rFonts w:ascii="Arial" w:cs="Arial" w:eastAsia="Arial" w:hAnsi="Arial"/>
                <w:sz w:val="18"/>
                <w:szCs w:val="18"/>
                <w:color w:val="auto"/>
              </w:rPr>
              <w:t>0.58%</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abstentions and no broker non-votes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Non-binding Advisory Vote on Executive Compensation</w:t>
      </w:r>
    </w:p>
    <w:p>
      <w:pPr>
        <w:spacing w:after="0" w:line="293"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The shareholders accepted, on a non-binding advisory basis, the Company's approach to executive compensation, as disclosed in the Circular.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Votes For</w:t>
            </w:r>
          </w:p>
        </w:tc>
        <w:tc>
          <w:tcPr>
            <w:tcW w:w="16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Votes Against</w:t>
            </w:r>
          </w:p>
        </w:tc>
        <w:tc>
          <w:tcPr>
            <w:tcW w:w="2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1700" w:type="dxa"/>
            <w:vAlign w:val="bottom"/>
          </w:tcPr>
          <w:p>
            <w:pPr>
              <w:jc w:val="center"/>
              <w:ind w:left="330"/>
              <w:spacing w:after="0"/>
              <w:rPr>
                <w:sz w:val="20"/>
                <w:szCs w:val="20"/>
                <w:color w:val="auto"/>
              </w:rPr>
            </w:pPr>
            <w:r>
              <w:rPr>
                <w:rFonts w:ascii="Arial" w:cs="Arial" w:eastAsia="Arial" w:hAnsi="Arial"/>
                <w:sz w:val="18"/>
                <w:szCs w:val="18"/>
                <w:b w:val="1"/>
                <w:bCs w:val="1"/>
                <w:color w:val="auto"/>
                <w:w w:val="99"/>
              </w:rPr>
              <w:t>Number</w:t>
            </w: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rPr>
              <w:t>Percentage</w:t>
            </w:r>
          </w:p>
        </w:tc>
        <w:tc>
          <w:tcPr>
            <w:tcW w:w="162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Number</w:t>
            </w:r>
          </w:p>
        </w:tc>
        <w:tc>
          <w:tcPr>
            <w:tcW w:w="270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Percentage</w:t>
            </w:r>
          </w:p>
        </w:tc>
        <w:tc>
          <w:tcPr>
            <w:tcW w:w="23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Number</w:t>
            </w:r>
          </w:p>
        </w:tc>
      </w:tr>
      <w:tr>
        <w:trPr>
          <w:trHeight w:val="229"/>
        </w:trPr>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1,377,881,961</w:t>
            </w:r>
          </w:p>
        </w:tc>
        <w:tc>
          <w:tcPr>
            <w:tcW w:w="2700" w:type="dxa"/>
            <w:vAlign w:val="bottom"/>
            <w:shd w:val="clear" w:color="auto" w:fill="DBDBDB"/>
          </w:tcPr>
          <w:p>
            <w:pPr>
              <w:jc w:val="right"/>
              <w:ind w:right="710"/>
              <w:spacing w:after="0"/>
              <w:rPr>
                <w:sz w:val="20"/>
                <w:szCs w:val="20"/>
                <w:color w:val="auto"/>
              </w:rPr>
            </w:pPr>
            <w:r>
              <w:rPr>
                <w:rFonts w:ascii="Arial" w:cs="Arial" w:eastAsia="Arial" w:hAnsi="Arial"/>
                <w:sz w:val="18"/>
                <w:szCs w:val="18"/>
                <w:color w:val="auto"/>
              </w:rPr>
              <w:t>81.24%</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318,194,521</w:t>
            </w:r>
          </w:p>
        </w:tc>
        <w:tc>
          <w:tcPr>
            <w:tcW w:w="270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18.76%</w:t>
            </w:r>
          </w:p>
        </w:tc>
        <w:tc>
          <w:tcPr>
            <w:tcW w:w="234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9"/>
              </w:rPr>
              <w:t>76,273,736</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abstentions on this proposal.</w:t>
      </w:r>
    </w:p>
    <w:p>
      <w:pPr>
        <w:spacing w:after="0" w:line="27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Proposal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shareholder proposal regarding an artificial intelligence policy was not approved.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8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Votes For</w:t>
            </w:r>
          </w:p>
        </w:tc>
        <w:tc>
          <w:tcPr>
            <w:tcW w:w="16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w w:val="99"/>
              </w:rPr>
              <w:t>Votes Against</w:t>
            </w:r>
          </w:p>
        </w:tc>
        <w:tc>
          <w:tcPr>
            <w:tcW w:w="14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268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Number</w:t>
            </w:r>
          </w:p>
        </w:tc>
        <w:tc>
          <w:tcPr>
            <w:tcW w:w="1660" w:type="dxa"/>
            <w:vAlign w:val="bottom"/>
          </w:tcPr>
          <w:p>
            <w:pPr>
              <w:jc w:val="center"/>
              <w:ind w:right="390"/>
              <w:spacing w:after="0"/>
              <w:rPr>
                <w:sz w:val="20"/>
                <w:szCs w:val="20"/>
                <w:color w:val="auto"/>
              </w:rPr>
            </w:pPr>
            <w:r>
              <w:rPr>
                <w:rFonts w:ascii="Arial" w:cs="Arial" w:eastAsia="Arial" w:hAnsi="Arial"/>
                <w:sz w:val="18"/>
                <w:szCs w:val="18"/>
                <w:b w:val="1"/>
                <w:bCs w:val="1"/>
                <w:color w:val="auto"/>
              </w:rPr>
              <w:t>Percentage</w:t>
            </w:r>
          </w:p>
        </w:tc>
        <w:tc>
          <w:tcPr>
            <w:tcW w:w="2900" w:type="dxa"/>
            <w:vAlign w:val="bottom"/>
          </w:tcPr>
          <w:p>
            <w:pPr>
              <w:jc w:val="center"/>
              <w:ind w:right="490"/>
              <w:spacing w:after="0"/>
              <w:rPr>
                <w:sz w:val="20"/>
                <w:szCs w:val="20"/>
                <w:color w:val="auto"/>
              </w:rPr>
            </w:pPr>
            <w:r>
              <w:rPr>
                <w:rFonts w:ascii="Arial" w:cs="Arial" w:eastAsia="Arial" w:hAnsi="Arial"/>
                <w:sz w:val="18"/>
                <w:szCs w:val="18"/>
                <w:b w:val="1"/>
                <w:bCs w:val="1"/>
                <w:color w:val="auto"/>
                <w:w w:val="99"/>
              </w:rPr>
              <w:t>Number</w:t>
            </w:r>
          </w:p>
        </w:tc>
        <w:tc>
          <w:tcPr>
            <w:tcW w:w="1480" w:type="dxa"/>
            <w:vAlign w:val="bottom"/>
          </w:tcPr>
          <w:p>
            <w:pPr>
              <w:jc w:val="center"/>
              <w:ind w:right="390"/>
              <w:spacing w:after="0"/>
              <w:rPr>
                <w:sz w:val="20"/>
                <w:szCs w:val="20"/>
                <w:color w:val="auto"/>
              </w:rPr>
            </w:pPr>
            <w:r>
              <w:rPr>
                <w:rFonts w:ascii="Arial" w:cs="Arial" w:eastAsia="Arial" w:hAnsi="Arial"/>
                <w:sz w:val="18"/>
                <w:szCs w:val="18"/>
                <w:b w:val="1"/>
                <w:bCs w:val="1"/>
                <w:color w:val="auto"/>
                <w:w w:val="98"/>
              </w:rPr>
              <w:t>Percentage</w:t>
            </w:r>
          </w:p>
        </w:tc>
        <w:tc>
          <w:tcPr>
            <w:tcW w:w="23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Number</w:t>
            </w:r>
          </w:p>
        </w:tc>
      </w:tr>
      <w:tr>
        <w:trPr>
          <w:trHeight w:val="229"/>
        </w:trPr>
        <w:tc>
          <w:tcPr>
            <w:tcW w:w="268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rPr>
              <w:t>235,153,526</w:t>
            </w:r>
          </w:p>
        </w:tc>
        <w:tc>
          <w:tcPr>
            <w:tcW w:w="1660" w:type="dxa"/>
            <w:vAlign w:val="bottom"/>
            <w:shd w:val="clear" w:color="auto" w:fill="DBDBDB"/>
          </w:tcPr>
          <w:p>
            <w:pPr>
              <w:jc w:val="right"/>
              <w:ind w:right="670"/>
              <w:spacing w:after="0"/>
              <w:rPr>
                <w:sz w:val="20"/>
                <w:szCs w:val="20"/>
                <w:color w:val="auto"/>
              </w:rPr>
            </w:pPr>
            <w:r>
              <w:rPr>
                <w:rFonts w:ascii="Arial" w:cs="Arial" w:eastAsia="Arial" w:hAnsi="Arial"/>
                <w:sz w:val="18"/>
                <w:szCs w:val="18"/>
                <w:color w:val="auto"/>
              </w:rPr>
              <w:t>13.86%</w:t>
            </w:r>
          </w:p>
        </w:tc>
        <w:tc>
          <w:tcPr>
            <w:tcW w:w="290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rPr>
              <w:t>1,460,922,955</w:t>
            </w:r>
          </w:p>
        </w:tc>
        <w:tc>
          <w:tcPr>
            <w:tcW w:w="148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86.14%</w:t>
            </w:r>
          </w:p>
        </w:tc>
        <w:tc>
          <w:tcPr>
            <w:tcW w:w="234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9"/>
              </w:rPr>
              <w:t>76,273,736</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abstentions on this proposal.</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93"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On June 16, 2026, the Company issued a press release announcing the voting results of the 2026 annual general meeting of shareholders held virtually on June 16, 2026. A copy of the press release is attached as Exhibit 99.1 to this Current Report on Form 8-K.</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1"/>
                <w:szCs w:val="21"/>
                <w:color w:val="auto"/>
              </w:rPr>
            </w:pP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3"/>
        </w:trPr>
        <w:tc>
          <w:tcPr>
            <w:tcW w:w="1380" w:type="dxa"/>
            <w:vAlign w:val="bottom"/>
          </w:tcPr>
          <w:p>
            <w:pPr>
              <w:ind w:left="140"/>
              <w:spacing w:after="0"/>
              <w:rPr>
                <w:sz w:val="20"/>
                <w:szCs w:val="20"/>
                <w:color w:val="auto"/>
              </w:rPr>
            </w:pPr>
            <w:r>
              <w:rPr>
                <w:rFonts w:ascii="Arial" w:cs="Arial" w:eastAsia="Arial" w:hAnsi="Arial"/>
                <w:sz w:val="18"/>
                <w:szCs w:val="18"/>
                <w:color w:val="auto"/>
              </w:rPr>
              <w:t>99.1</w:t>
            </w:r>
          </w:p>
        </w:tc>
        <w:tc>
          <w:tcPr>
            <w:tcW w:w="9860" w:type="dxa"/>
            <w:vAlign w:val="bottom"/>
            <w:gridSpan w:val="3"/>
          </w:tcPr>
          <w:p>
            <w:pPr>
              <w:ind w:left="420"/>
              <w:spacing w:after="0"/>
              <w:rPr>
                <w:sz w:val="20"/>
                <w:szCs w:val="20"/>
                <w:color w:val="auto"/>
              </w:rPr>
            </w:pPr>
            <w:r>
              <w:rPr>
                <w:rFonts w:ascii="Arial" w:cs="Arial" w:eastAsia="Arial" w:hAnsi="Arial"/>
                <w:sz w:val="18"/>
                <w:szCs w:val="18"/>
                <w:color w:val="0000FF"/>
              </w:rPr>
              <w:t>Press release issued by Shopify Inc. on June 16, 2026</w:t>
            </w:r>
          </w:p>
        </w:tc>
      </w:tr>
      <w:tr>
        <w:trPr>
          <w:trHeight w:val="20"/>
        </w:trPr>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54"/>
        </w:trPr>
        <w:tc>
          <w:tcPr>
            <w:tcW w:w="1380" w:type="dxa"/>
            <w:vAlign w:val="bottom"/>
          </w:tcPr>
          <w:p>
            <w:pPr>
              <w:ind w:left="1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988"/>
        </w:trPr>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06" w:lineRule="exact"/>
        <w:rPr>
          <w:sz w:val="20"/>
          <w:szCs w:val="20"/>
          <w:color w:val="auto"/>
        </w:rPr>
      </w:pPr>
    </w:p>
    <w:p>
      <w:pPr>
        <w:ind w:left="60"/>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SHOPIFY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2026</w:t>
      </w:r>
    </w:p>
    <w:p>
      <w:pPr>
        <w:spacing w:after="0" w:line="32"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12065</wp:posOffset>
            </wp:positionV>
            <wp:extent cx="3171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Michael L. Johnson</w:t>
      </w:r>
    </w:p>
    <w:p>
      <w:pPr>
        <w:spacing w:after="0" w:line="7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Corporate Secretary</w:t>
      </w:r>
    </w:p>
    <w:p>
      <w:pPr>
        <w:sectPr>
          <w:pgSz w:w="11900" w:h="16838" w:orient="portrait"/>
          <w:cols w:equalWidth="0" w:num="1">
            <w:col w:w="11180"/>
          </w:cols>
          <w:pgMar w:left="340" w:top="143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258" w:lineRule="exact"/>
        <w:rPr>
          <w:sz w:val="20"/>
          <w:szCs w:val="20"/>
          <w:color w:val="auto"/>
        </w:rPr>
      </w:pPr>
    </w:p>
    <w:p>
      <w:pPr>
        <w:ind w:right="2060"/>
        <w:spacing w:after="0" w:line="326" w:lineRule="auto"/>
        <w:rPr>
          <w:sz w:val="20"/>
          <w:szCs w:val="20"/>
          <w:color w:val="auto"/>
        </w:rPr>
      </w:pPr>
      <w:r>
        <w:rPr>
          <w:rFonts w:ascii="Arial" w:cs="Arial" w:eastAsia="Arial" w:hAnsi="Arial"/>
          <w:sz w:val="36"/>
          <w:szCs w:val="36"/>
          <w:color w:val="auto"/>
        </w:rPr>
        <w:t>Shopify Announces Results of its 2026 Annual Meeting of Shareholders</w:t>
      </w:r>
    </w:p>
    <w:p>
      <w:pPr>
        <w:spacing w:after="0" w:line="114" w:lineRule="exact"/>
        <w:rPr>
          <w:sz w:val="20"/>
          <w:szCs w:val="20"/>
          <w:color w:val="auto"/>
        </w:rPr>
      </w:pPr>
    </w:p>
    <w:p>
      <w:pPr>
        <w:jc w:val="both"/>
        <w:spacing w:after="0" w:line="383" w:lineRule="auto"/>
        <w:rPr>
          <w:sz w:val="20"/>
          <w:szCs w:val="20"/>
          <w:color w:val="auto"/>
        </w:rPr>
      </w:pPr>
      <w:r>
        <w:rPr>
          <w:rFonts w:ascii="Arial" w:cs="Arial" w:eastAsia="Arial" w:hAnsi="Arial"/>
          <w:sz w:val="16"/>
          <w:szCs w:val="16"/>
          <w:color w:val="auto"/>
        </w:rPr>
        <w:t>June 16, 2026 - Shopify Inc. announced today the results of its annual meeting of shareholders held on June 16, 2026. All director nominees were elected to the Board of Directors and PricewaterhouseCoopers LLP was reappointed as Shopify's auditors. Shareholders also accepted, on a non-binding advisory basis, Shopify's approach to executive compensation, as further described in Shopify's management information circular dated April 21, 2026. A shareholder proposal regarding an artificial intelligence policy was not approved.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detailed results of the meeting are as follows:</w:t>
      </w:r>
    </w:p>
    <w:p>
      <w:pPr>
        <w:spacing w:after="0" w:line="34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9"/>
          <w:szCs w:val="19"/>
          <w:b w:val="1"/>
          <w:bCs w:val="1"/>
          <w:color w:val="auto"/>
        </w:rPr>
        <w:t>Election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Each of the ten (10) nominees for director was elected to the Board of Directors. The votes cast for each nominee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Director</w:t>
            </w:r>
          </w:p>
        </w:tc>
        <w:tc>
          <w:tcPr>
            <w:tcW w:w="2580" w:type="dxa"/>
            <w:vAlign w:val="bottom"/>
          </w:tcPr>
          <w:p>
            <w:pPr>
              <w:jc w:val="right"/>
              <w:ind w:right="659"/>
              <w:spacing w:after="0"/>
              <w:rPr>
                <w:sz w:val="20"/>
                <w:szCs w:val="20"/>
                <w:color w:val="auto"/>
              </w:rPr>
            </w:pPr>
            <w:r>
              <w:rPr>
                <w:rFonts w:ascii="Arial" w:cs="Arial" w:eastAsia="Arial" w:hAnsi="Arial"/>
                <w:sz w:val="16"/>
                <w:szCs w:val="16"/>
                <w:b w:val="1"/>
                <w:bCs w:val="1"/>
                <w:color w:val="auto"/>
              </w:rPr>
              <w:t>Votes</w:t>
            </w:r>
          </w:p>
        </w:tc>
        <w:tc>
          <w:tcPr>
            <w:tcW w:w="2080" w:type="dxa"/>
            <w:vAlign w:val="bottom"/>
          </w:tcPr>
          <w:p>
            <w:pPr>
              <w:jc w:val="right"/>
              <w:ind w:right="579"/>
              <w:spacing w:after="0"/>
              <w:rPr>
                <w:sz w:val="20"/>
                <w:szCs w:val="20"/>
                <w:color w:val="auto"/>
              </w:rPr>
            </w:pPr>
            <w:r>
              <w:rPr>
                <w:rFonts w:ascii="Arial" w:cs="Arial" w:eastAsia="Arial" w:hAnsi="Arial"/>
                <w:sz w:val="16"/>
                <w:szCs w:val="16"/>
                <w:b w:val="1"/>
                <w:bCs w:val="1"/>
                <w:color w:val="auto"/>
              </w:rPr>
              <w:t>% of</w:t>
            </w:r>
          </w:p>
        </w:tc>
        <w:tc>
          <w:tcPr>
            <w:tcW w:w="2080" w:type="dxa"/>
            <w:vAlign w:val="bottom"/>
          </w:tcPr>
          <w:p>
            <w:pPr>
              <w:jc w:val="right"/>
              <w:ind w:right="479"/>
              <w:spacing w:after="0"/>
              <w:rPr>
                <w:sz w:val="20"/>
                <w:szCs w:val="20"/>
                <w:color w:val="auto"/>
              </w:rPr>
            </w:pPr>
            <w:r>
              <w:rPr>
                <w:rFonts w:ascii="Arial" w:cs="Arial" w:eastAsia="Arial" w:hAnsi="Arial"/>
                <w:sz w:val="16"/>
                <w:szCs w:val="16"/>
                <w:b w:val="1"/>
                <w:bCs w:val="1"/>
                <w:color w:val="auto"/>
              </w:rPr>
              <w:t>Votes</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for</w:t>
            </w:r>
          </w:p>
        </w:tc>
        <w:tc>
          <w:tcPr>
            <w:tcW w:w="20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Votes for</w:t>
            </w:r>
          </w:p>
        </w:tc>
        <w:tc>
          <w:tcPr>
            <w:tcW w:w="2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Against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Votes Against</w:t>
            </w:r>
          </w:p>
        </w:tc>
        <w:tc>
          <w:tcPr>
            <w:tcW w:w="0" w:type="dxa"/>
            <w:vAlign w:val="bottom"/>
          </w:tcPr>
          <w:p>
            <w:pPr>
              <w:spacing w:after="0"/>
              <w:rPr>
                <w:sz w:val="1"/>
                <w:szCs w:val="1"/>
                <w:color w:val="auto"/>
              </w:rPr>
            </w:pPr>
          </w:p>
        </w:tc>
      </w:tr>
      <w:tr>
        <w:trPr>
          <w:trHeight w:val="210"/>
        </w:trPr>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Tobias Lütke</w:t>
            </w:r>
          </w:p>
        </w:tc>
        <w:tc>
          <w:tcPr>
            <w:tcW w:w="258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1,657,446,737</w:t>
            </w:r>
          </w:p>
        </w:tc>
        <w:tc>
          <w:tcPr>
            <w:tcW w:w="208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97.72%</w:t>
            </w:r>
          </w:p>
        </w:tc>
        <w:tc>
          <w:tcPr>
            <w:tcW w:w="208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38,629,744</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2860" w:type="dxa"/>
            <w:vAlign w:val="bottom"/>
          </w:tcPr>
          <w:p>
            <w:pPr>
              <w:ind w:left="40"/>
              <w:spacing w:after="0"/>
              <w:rPr>
                <w:sz w:val="20"/>
                <w:szCs w:val="20"/>
                <w:color w:val="auto"/>
              </w:rPr>
            </w:pPr>
            <w:r>
              <w:rPr>
                <w:rFonts w:ascii="Arial" w:cs="Arial" w:eastAsia="Arial" w:hAnsi="Arial"/>
                <w:sz w:val="16"/>
                <w:szCs w:val="16"/>
                <w:color w:val="auto"/>
              </w:rPr>
              <w:t>Lulu Cheng Meservey</w:t>
            </w:r>
          </w:p>
        </w:tc>
        <w:tc>
          <w:tcPr>
            <w:tcW w:w="2580" w:type="dxa"/>
            <w:vAlign w:val="bottom"/>
          </w:tcPr>
          <w:p>
            <w:pPr>
              <w:jc w:val="right"/>
              <w:ind w:right="639"/>
              <w:spacing w:after="0"/>
              <w:rPr>
                <w:sz w:val="20"/>
                <w:szCs w:val="20"/>
                <w:color w:val="auto"/>
              </w:rPr>
            </w:pPr>
            <w:r>
              <w:rPr>
                <w:rFonts w:ascii="Arial" w:cs="Arial" w:eastAsia="Arial" w:hAnsi="Arial"/>
                <w:sz w:val="16"/>
                <w:szCs w:val="16"/>
                <w:color w:val="auto"/>
              </w:rPr>
              <w:t>1,691,141,695</w:t>
            </w:r>
          </w:p>
        </w:tc>
        <w:tc>
          <w:tcPr>
            <w:tcW w:w="2080" w:type="dxa"/>
            <w:vAlign w:val="bottom"/>
          </w:tcPr>
          <w:p>
            <w:pPr>
              <w:jc w:val="right"/>
              <w:ind w:right="559"/>
              <w:spacing w:after="0"/>
              <w:rPr>
                <w:sz w:val="20"/>
                <w:szCs w:val="20"/>
                <w:color w:val="auto"/>
              </w:rPr>
            </w:pPr>
            <w:r>
              <w:rPr>
                <w:rFonts w:ascii="Arial" w:cs="Arial" w:eastAsia="Arial" w:hAnsi="Arial"/>
                <w:sz w:val="16"/>
                <w:szCs w:val="16"/>
                <w:color w:val="auto"/>
              </w:rPr>
              <w:t>99.71%</w:t>
            </w:r>
          </w:p>
        </w:tc>
        <w:tc>
          <w:tcPr>
            <w:tcW w:w="2080" w:type="dxa"/>
            <w:vAlign w:val="bottom"/>
          </w:tcPr>
          <w:p>
            <w:pPr>
              <w:jc w:val="right"/>
              <w:ind w:right="479"/>
              <w:spacing w:after="0"/>
              <w:rPr>
                <w:sz w:val="20"/>
                <w:szCs w:val="20"/>
                <w:color w:val="auto"/>
              </w:rPr>
            </w:pPr>
            <w:r>
              <w:rPr>
                <w:rFonts w:ascii="Arial" w:cs="Arial" w:eastAsia="Arial" w:hAnsi="Arial"/>
                <w:sz w:val="16"/>
                <w:szCs w:val="16"/>
                <w:color w:val="auto"/>
              </w:rPr>
              <w:t>4,934,787</w:t>
            </w:r>
          </w:p>
        </w:tc>
        <w:tc>
          <w:tcPr>
            <w:tcW w:w="164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17"/>
        </w:trPr>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Jeanne DeWitt Grosser</w:t>
            </w:r>
          </w:p>
        </w:tc>
        <w:tc>
          <w:tcPr>
            <w:tcW w:w="258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1,684,061,536</w:t>
            </w:r>
          </w:p>
        </w:tc>
        <w:tc>
          <w:tcPr>
            <w:tcW w:w="208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99.29%</w:t>
            </w:r>
          </w:p>
        </w:tc>
        <w:tc>
          <w:tcPr>
            <w:tcW w:w="208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12,014,945</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15"/>
        </w:trPr>
        <w:tc>
          <w:tcPr>
            <w:tcW w:w="2860" w:type="dxa"/>
            <w:vAlign w:val="bottom"/>
          </w:tcPr>
          <w:p>
            <w:pPr>
              <w:ind w:left="40"/>
              <w:spacing w:after="0"/>
              <w:rPr>
                <w:sz w:val="20"/>
                <w:szCs w:val="20"/>
                <w:color w:val="auto"/>
              </w:rPr>
            </w:pPr>
            <w:r>
              <w:rPr>
                <w:rFonts w:ascii="Arial" w:cs="Arial" w:eastAsia="Arial" w:hAnsi="Arial"/>
                <w:sz w:val="16"/>
                <w:szCs w:val="16"/>
                <w:color w:val="auto"/>
              </w:rPr>
              <w:t>David Heinemeier Hansson</w:t>
            </w:r>
          </w:p>
        </w:tc>
        <w:tc>
          <w:tcPr>
            <w:tcW w:w="2580" w:type="dxa"/>
            <w:vAlign w:val="bottom"/>
          </w:tcPr>
          <w:p>
            <w:pPr>
              <w:jc w:val="right"/>
              <w:ind w:right="639"/>
              <w:spacing w:after="0"/>
              <w:rPr>
                <w:sz w:val="20"/>
                <w:szCs w:val="20"/>
                <w:color w:val="auto"/>
              </w:rPr>
            </w:pPr>
            <w:r>
              <w:rPr>
                <w:rFonts w:ascii="Arial" w:cs="Arial" w:eastAsia="Arial" w:hAnsi="Arial"/>
                <w:sz w:val="16"/>
                <w:szCs w:val="16"/>
                <w:color w:val="auto"/>
              </w:rPr>
              <w:t>1,691,045,519</w:t>
            </w:r>
          </w:p>
        </w:tc>
        <w:tc>
          <w:tcPr>
            <w:tcW w:w="2080" w:type="dxa"/>
            <w:vAlign w:val="bottom"/>
          </w:tcPr>
          <w:p>
            <w:pPr>
              <w:jc w:val="right"/>
              <w:ind w:right="559"/>
              <w:spacing w:after="0"/>
              <w:rPr>
                <w:sz w:val="20"/>
                <w:szCs w:val="20"/>
                <w:color w:val="auto"/>
              </w:rPr>
            </w:pPr>
            <w:r>
              <w:rPr>
                <w:rFonts w:ascii="Arial" w:cs="Arial" w:eastAsia="Arial" w:hAnsi="Arial"/>
                <w:sz w:val="16"/>
                <w:szCs w:val="16"/>
                <w:color w:val="auto"/>
              </w:rPr>
              <w:t>99.70%</w:t>
            </w:r>
          </w:p>
        </w:tc>
        <w:tc>
          <w:tcPr>
            <w:tcW w:w="2080" w:type="dxa"/>
            <w:vAlign w:val="bottom"/>
          </w:tcPr>
          <w:p>
            <w:pPr>
              <w:jc w:val="right"/>
              <w:ind w:right="479"/>
              <w:spacing w:after="0"/>
              <w:rPr>
                <w:sz w:val="20"/>
                <w:szCs w:val="20"/>
                <w:color w:val="auto"/>
              </w:rPr>
            </w:pPr>
            <w:r>
              <w:rPr>
                <w:rFonts w:ascii="Arial" w:cs="Arial" w:eastAsia="Arial" w:hAnsi="Arial"/>
                <w:sz w:val="16"/>
                <w:szCs w:val="16"/>
                <w:color w:val="auto"/>
              </w:rPr>
              <w:t>5,030,963</w:t>
            </w:r>
          </w:p>
        </w:tc>
        <w:tc>
          <w:tcPr>
            <w:tcW w:w="1640" w:type="dxa"/>
            <w:vAlign w:val="bottom"/>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17"/>
        </w:trPr>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Jeremy Levine</w:t>
            </w:r>
          </w:p>
        </w:tc>
        <w:tc>
          <w:tcPr>
            <w:tcW w:w="258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1,665,712,404</w:t>
            </w:r>
          </w:p>
        </w:tc>
        <w:tc>
          <w:tcPr>
            <w:tcW w:w="208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98.21%</w:t>
            </w:r>
          </w:p>
        </w:tc>
        <w:tc>
          <w:tcPr>
            <w:tcW w:w="208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30,364,079</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5"/>
        </w:trPr>
        <w:tc>
          <w:tcPr>
            <w:tcW w:w="2860" w:type="dxa"/>
            <w:vAlign w:val="bottom"/>
          </w:tcPr>
          <w:p>
            <w:pPr>
              <w:ind w:left="40"/>
              <w:spacing w:after="0"/>
              <w:rPr>
                <w:sz w:val="20"/>
                <w:szCs w:val="20"/>
                <w:color w:val="auto"/>
              </w:rPr>
            </w:pPr>
            <w:r>
              <w:rPr>
                <w:rFonts w:ascii="Arial" w:cs="Arial" w:eastAsia="Arial" w:hAnsi="Arial"/>
                <w:sz w:val="16"/>
                <w:szCs w:val="16"/>
                <w:color w:val="auto"/>
              </w:rPr>
              <w:t>Prashanth Mahendra-Rajah</w:t>
            </w:r>
          </w:p>
        </w:tc>
        <w:tc>
          <w:tcPr>
            <w:tcW w:w="2580" w:type="dxa"/>
            <w:vAlign w:val="bottom"/>
          </w:tcPr>
          <w:p>
            <w:pPr>
              <w:jc w:val="right"/>
              <w:ind w:right="639"/>
              <w:spacing w:after="0"/>
              <w:rPr>
                <w:sz w:val="20"/>
                <w:szCs w:val="20"/>
                <w:color w:val="auto"/>
              </w:rPr>
            </w:pPr>
            <w:r>
              <w:rPr>
                <w:rFonts w:ascii="Arial" w:cs="Arial" w:eastAsia="Arial" w:hAnsi="Arial"/>
                <w:sz w:val="16"/>
                <w:szCs w:val="16"/>
                <w:color w:val="auto"/>
              </w:rPr>
              <w:t>1,687,117,698</w:t>
            </w:r>
          </w:p>
        </w:tc>
        <w:tc>
          <w:tcPr>
            <w:tcW w:w="2080" w:type="dxa"/>
            <w:vAlign w:val="bottom"/>
          </w:tcPr>
          <w:p>
            <w:pPr>
              <w:jc w:val="right"/>
              <w:ind w:right="559"/>
              <w:spacing w:after="0"/>
              <w:rPr>
                <w:sz w:val="20"/>
                <w:szCs w:val="20"/>
                <w:color w:val="auto"/>
              </w:rPr>
            </w:pPr>
            <w:r>
              <w:rPr>
                <w:rFonts w:ascii="Arial" w:cs="Arial" w:eastAsia="Arial" w:hAnsi="Arial"/>
                <w:sz w:val="16"/>
                <w:szCs w:val="16"/>
                <w:color w:val="auto"/>
              </w:rPr>
              <w:t>99.47%</w:t>
            </w:r>
          </w:p>
        </w:tc>
        <w:tc>
          <w:tcPr>
            <w:tcW w:w="2080" w:type="dxa"/>
            <w:vAlign w:val="bottom"/>
          </w:tcPr>
          <w:p>
            <w:pPr>
              <w:jc w:val="right"/>
              <w:ind w:right="479"/>
              <w:spacing w:after="0"/>
              <w:rPr>
                <w:sz w:val="20"/>
                <w:szCs w:val="20"/>
                <w:color w:val="auto"/>
              </w:rPr>
            </w:pPr>
            <w:r>
              <w:rPr>
                <w:rFonts w:ascii="Arial" w:cs="Arial" w:eastAsia="Arial" w:hAnsi="Arial"/>
                <w:sz w:val="16"/>
                <w:szCs w:val="16"/>
                <w:color w:val="auto"/>
              </w:rPr>
              <w:t>8,958,784</w:t>
            </w:r>
          </w:p>
        </w:tc>
        <w:tc>
          <w:tcPr>
            <w:tcW w:w="1640" w:type="dxa"/>
            <w:vAlign w:val="bottom"/>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17"/>
        </w:trPr>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Joseph Natale</w:t>
            </w:r>
          </w:p>
        </w:tc>
        <w:tc>
          <w:tcPr>
            <w:tcW w:w="258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1,534,092,144</w:t>
            </w:r>
          </w:p>
        </w:tc>
        <w:tc>
          <w:tcPr>
            <w:tcW w:w="208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90.45%</w:t>
            </w:r>
          </w:p>
        </w:tc>
        <w:tc>
          <w:tcPr>
            <w:tcW w:w="208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161,984,336</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15"/>
        </w:trPr>
        <w:tc>
          <w:tcPr>
            <w:tcW w:w="2860" w:type="dxa"/>
            <w:vAlign w:val="bottom"/>
          </w:tcPr>
          <w:p>
            <w:pPr>
              <w:ind w:left="40"/>
              <w:spacing w:after="0"/>
              <w:rPr>
                <w:sz w:val="20"/>
                <w:szCs w:val="20"/>
                <w:color w:val="auto"/>
              </w:rPr>
            </w:pPr>
            <w:r>
              <w:rPr>
                <w:rFonts w:ascii="Arial" w:cs="Arial" w:eastAsia="Arial" w:hAnsi="Arial"/>
                <w:sz w:val="16"/>
                <w:szCs w:val="16"/>
                <w:color w:val="auto"/>
              </w:rPr>
              <w:t>Kevin Scott</w:t>
            </w:r>
          </w:p>
        </w:tc>
        <w:tc>
          <w:tcPr>
            <w:tcW w:w="2580" w:type="dxa"/>
            <w:vAlign w:val="bottom"/>
          </w:tcPr>
          <w:p>
            <w:pPr>
              <w:jc w:val="right"/>
              <w:ind w:right="639"/>
              <w:spacing w:after="0"/>
              <w:rPr>
                <w:sz w:val="20"/>
                <w:szCs w:val="20"/>
                <w:color w:val="auto"/>
              </w:rPr>
            </w:pPr>
            <w:r>
              <w:rPr>
                <w:rFonts w:ascii="Arial" w:cs="Arial" w:eastAsia="Arial" w:hAnsi="Arial"/>
                <w:sz w:val="16"/>
                <w:szCs w:val="16"/>
                <w:color w:val="auto"/>
              </w:rPr>
              <w:t>1,692,124,196</w:t>
            </w:r>
          </w:p>
        </w:tc>
        <w:tc>
          <w:tcPr>
            <w:tcW w:w="2080" w:type="dxa"/>
            <w:vAlign w:val="bottom"/>
          </w:tcPr>
          <w:p>
            <w:pPr>
              <w:jc w:val="right"/>
              <w:ind w:right="559"/>
              <w:spacing w:after="0"/>
              <w:rPr>
                <w:sz w:val="20"/>
                <w:szCs w:val="20"/>
                <w:color w:val="auto"/>
              </w:rPr>
            </w:pPr>
            <w:r>
              <w:rPr>
                <w:rFonts w:ascii="Arial" w:cs="Arial" w:eastAsia="Arial" w:hAnsi="Arial"/>
                <w:sz w:val="16"/>
                <w:szCs w:val="16"/>
                <w:color w:val="auto"/>
              </w:rPr>
              <w:t>99.77%</w:t>
            </w:r>
          </w:p>
        </w:tc>
        <w:tc>
          <w:tcPr>
            <w:tcW w:w="2080" w:type="dxa"/>
            <w:vAlign w:val="bottom"/>
          </w:tcPr>
          <w:p>
            <w:pPr>
              <w:jc w:val="right"/>
              <w:ind w:right="479"/>
              <w:spacing w:after="0"/>
              <w:rPr>
                <w:sz w:val="20"/>
                <w:szCs w:val="20"/>
                <w:color w:val="auto"/>
              </w:rPr>
            </w:pPr>
            <w:r>
              <w:rPr>
                <w:rFonts w:ascii="Arial" w:cs="Arial" w:eastAsia="Arial" w:hAnsi="Arial"/>
                <w:sz w:val="16"/>
                <w:szCs w:val="16"/>
                <w:color w:val="auto"/>
              </w:rPr>
              <w:t>3,952,285</w:t>
            </w:r>
          </w:p>
        </w:tc>
        <w:tc>
          <w:tcPr>
            <w:tcW w:w="164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7"/>
        </w:trPr>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Toby Shannan</w:t>
            </w:r>
          </w:p>
        </w:tc>
        <w:tc>
          <w:tcPr>
            <w:tcW w:w="258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1,692,107,202</w:t>
            </w:r>
          </w:p>
        </w:tc>
        <w:tc>
          <w:tcPr>
            <w:tcW w:w="208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99.77%</w:t>
            </w:r>
          </w:p>
        </w:tc>
        <w:tc>
          <w:tcPr>
            <w:tcW w:w="208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3,969,280</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5"/>
        </w:trPr>
        <w:tc>
          <w:tcPr>
            <w:tcW w:w="2860" w:type="dxa"/>
            <w:vAlign w:val="bottom"/>
          </w:tcPr>
          <w:p>
            <w:pPr>
              <w:ind w:left="40"/>
              <w:spacing w:after="0"/>
              <w:rPr>
                <w:sz w:val="20"/>
                <w:szCs w:val="20"/>
                <w:color w:val="auto"/>
              </w:rPr>
            </w:pPr>
            <w:r>
              <w:rPr>
                <w:rFonts w:ascii="Arial" w:cs="Arial" w:eastAsia="Arial" w:hAnsi="Arial"/>
                <w:sz w:val="16"/>
                <w:szCs w:val="16"/>
                <w:color w:val="auto"/>
              </w:rPr>
              <w:t>Fidji Simo</w:t>
            </w:r>
          </w:p>
        </w:tc>
        <w:tc>
          <w:tcPr>
            <w:tcW w:w="2580" w:type="dxa"/>
            <w:vAlign w:val="bottom"/>
          </w:tcPr>
          <w:p>
            <w:pPr>
              <w:jc w:val="right"/>
              <w:ind w:right="639"/>
              <w:spacing w:after="0"/>
              <w:rPr>
                <w:sz w:val="20"/>
                <w:szCs w:val="20"/>
                <w:color w:val="auto"/>
              </w:rPr>
            </w:pPr>
            <w:r>
              <w:rPr>
                <w:rFonts w:ascii="Arial" w:cs="Arial" w:eastAsia="Arial" w:hAnsi="Arial"/>
                <w:sz w:val="16"/>
                <w:szCs w:val="16"/>
                <w:color w:val="auto"/>
              </w:rPr>
              <w:t>1,639,426,472</w:t>
            </w:r>
          </w:p>
        </w:tc>
        <w:tc>
          <w:tcPr>
            <w:tcW w:w="2080" w:type="dxa"/>
            <w:vAlign w:val="bottom"/>
          </w:tcPr>
          <w:p>
            <w:pPr>
              <w:jc w:val="right"/>
              <w:ind w:right="559"/>
              <w:spacing w:after="0"/>
              <w:rPr>
                <w:sz w:val="20"/>
                <w:szCs w:val="20"/>
                <w:color w:val="auto"/>
              </w:rPr>
            </w:pPr>
            <w:r>
              <w:rPr>
                <w:rFonts w:ascii="Arial" w:cs="Arial" w:eastAsia="Arial" w:hAnsi="Arial"/>
                <w:sz w:val="16"/>
                <w:szCs w:val="16"/>
                <w:color w:val="auto"/>
              </w:rPr>
              <w:t>96.66%</w:t>
            </w:r>
          </w:p>
        </w:tc>
        <w:tc>
          <w:tcPr>
            <w:tcW w:w="2080" w:type="dxa"/>
            <w:vAlign w:val="bottom"/>
          </w:tcPr>
          <w:p>
            <w:pPr>
              <w:jc w:val="right"/>
              <w:ind w:right="479"/>
              <w:spacing w:after="0"/>
              <w:rPr>
                <w:sz w:val="20"/>
                <w:szCs w:val="20"/>
                <w:color w:val="auto"/>
              </w:rPr>
            </w:pPr>
            <w:r>
              <w:rPr>
                <w:rFonts w:ascii="Arial" w:cs="Arial" w:eastAsia="Arial" w:hAnsi="Arial"/>
                <w:sz w:val="16"/>
                <w:szCs w:val="16"/>
                <w:color w:val="auto"/>
              </w:rPr>
              <w:t>56,649,985</w:t>
            </w:r>
          </w:p>
        </w:tc>
        <w:tc>
          <w:tcPr>
            <w:tcW w:w="164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bl>
    <w:p>
      <w:pPr>
        <w:spacing w:after="0" w:line="365" w:lineRule="exact"/>
        <w:rPr>
          <w:sz w:val="20"/>
          <w:szCs w:val="20"/>
          <w:color w:val="auto"/>
        </w:rPr>
      </w:pPr>
    </w:p>
    <w:p>
      <w:pPr>
        <w:jc w:val="both"/>
        <w:ind w:right="20"/>
        <w:spacing w:after="0" w:line="409" w:lineRule="auto"/>
        <w:rPr>
          <w:sz w:val="20"/>
          <w:szCs w:val="20"/>
          <w:color w:val="auto"/>
        </w:rPr>
      </w:pPr>
      <w:r>
        <w:rPr>
          <w:rFonts w:ascii="Arial" w:cs="Arial" w:eastAsia="Arial" w:hAnsi="Arial"/>
          <w:sz w:val="16"/>
          <w:szCs w:val="16"/>
          <w:color w:val="auto"/>
        </w:rPr>
        <w:t>Following the meeting, the Board of Directors intends to select Tobias Lütke to continue to serve as Chair of the Board of Directors and Joseph Natale to continue to serve as Lead Independent Director.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Appointment of Independent Registered Public Accounting Firm</w:t>
      </w:r>
    </w:p>
    <w:p>
      <w:pPr>
        <w:spacing w:after="0" w:line="252" w:lineRule="exact"/>
        <w:rPr>
          <w:sz w:val="20"/>
          <w:szCs w:val="20"/>
          <w:color w:val="auto"/>
        </w:rPr>
      </w:pPr>
    </w:p>
    <w:p>
      <w:pPr>
        <w:jc w:val="both"/>
        <w:ind w:right="20"/>
        <w:spacing w:after="0" w:line="409" w:lineRule="auto"/>
        <w:rPr>
          <w:sz w:val="20"/>
          <w:szCs w:val="20"/>
          <w:color w:val="auto"/>
        </w:rPr>
      </w:pPr>
      <w:r>
        <w:rPr>
          <w:rFonts w:ascii="Arial" w:cs="Arial" w:eastAsia="Arial" w:hAnsi="Arial"/>
          <w:sz w:val="16"/>
          <w:szCs w:val="16"/>
          <w:color w:val="auto"/>
        </w:rPr>
        <w:t>PricewaterhouseCoopers LLP was reappointed as Shopify's auditors, and the directors were authorized to fix the auditors' remuneration. The votes were cast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3040" w:type="dxa"/>
            <w:vAlign w:val="bottom"/>
          </w:tcPr>
          <w:p>
            <w:pPr>
              <w:jc w:val="right"/>
              <w:ind w:right="719"/>
              <w:spacing w:after="0"/>
              <w:rPr>
                <w:sz w:val="20"/>
                <w:szCs w:val="20"/>
                <w:color w:val="auto"/>
              </w:rPr>
            </w:pPr>
            <w:r>
              <w:rPr>
                <w:rFonts w:ascii="Arial" w:cs="Arial" w:eastAsia="Arial" w:hAnsi="Arial"/>
                <w:sz w:val="16"/>
                <w:szCs w:val="16"/>
                <w:b w:val="1"/>
                <w:bCs w:val="1"/>
                <w:color w:val="auto"/>
              </w:rPr>
              <w:t>Votes</w:t>
            </w:r>
          </w:p>
        </w:tc>
        <w:tc>
          <w:tcPr>
            <w:tcW w:w="2220" w:type="dxa"/>
            <w:vAlign w:val="bottom"/>
          </w:tcPr>
          <w:p>
            <w:pPr>
              <w:jc w:val="right"/>
              <w:ind w:right="659"/>
              <w:spacing w:after="0"/>
              <w:rPr>
                <w:sz w:val="20"/>
                <w:szCs w:val="20"/>
                <w:color w:val="auto"/>
              </w:rPr>
            </w:pPr>
            <w:r>
              <w:rPr>
                <w:rFonts w:ascii="Arial" w:cs="Arial" w:eastAsia="Arial" w:hAnsi="Arial"/>
                <w:sz w:val="16"/>
                <w:szCs w:val="16"/>
                <w:b w:val="1"/>
                <w:bCs w:val="1"/>
                <w:color w:val="auto"/>
              </w:rPr>
              <w:t>% of</w:t>
            </w:r>
          </w:p>
        </w:tc>
        <w:tc>
          <w:tcPr>
            <w:tcW w:w="2120" w:type="dxa"/>
            <w:vAlign w:val="bottom"/>
          </w:tcPr>
          <w:p>
            <w:pPr>
              <w:jc w:val="right"/>
              <w:ind w:right="499"/>
              <w:spacing w:after="0"/>
              <w:rPr>
                <w:sz w:val="20"/>
                <w:szCs w:val="20"/>
                <w:color w:val="auto"/>
              </w:rPr>
            </w:pPr>
            <w:r>
              <w:rPr>
                <w:rFonts w:ascii="Arial" w:cs="Arial" w:eastAsia="Arial" w:hAnsi="Arial"/>
                <w:sz w:val="16"/>
                <w:szCs w:val="16"/>
                <w:b w:val="1"/>
                <w:bCs w:val="1"/>
                <w:color w:val="auto"/>
              </w:rPr>
              <w:t>Votes</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 of</w:t>
            </w:r>
          </w:p>
        </w:tc>
      </w:tr>
      <w:tr>
        <w:trPr>
          <w:trHeight w:val="216"/>
        </w:trPr>
        <w:tc>
          <w:tcPr>
            <w:tcW w:w="3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for</w:t>
            </w:r>
          </w:p>
        </w:tc>
        <w:tc>
          <w:tcPr>
            <w:tcW w:w="2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Votes for</w:t>
            </w:r>
          </w:p>
        </w:tc>
        <w:tc>
          <w:tcPr>
            <w:tcW w:w="2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Withheld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Votes Withheld</w:t>
            </w:r>
          </w:p>
        </w:tc>
      </w:tr>
      <w:tr>
        <w:trPr>
          <w:trHeight w:val="210"/>
        </w:trPr>
        <w:tc>
          <w:tcPr>
            <w:tcW w:w="3040" w:type="dxa"/>
            <w:vAlign w:val="bottom"/>
            <w:shd w:val="clear" w:color="auto" w:fill="DBDBDB"/>
          </w:tcPr>
          <w:p>
            <w:pPr>
              <w:jc w:val="right"/>
              <w:ind w:right="699"/>
              <w:spacing w:after="0"/>
              <w:rPr>
                <w:sz w:val="20"/>
                <w:szCs w:val="20"/>
                <w:color w:val="auto"/>
              </w:rPr>
            </w:pPr>
            <w:r>
              <w:rPr>
                <w:rFonts w:ascii="Arial" w:cs="Arial" w:eastAsia="Arial" w:hAnsi="Arial"/>
                <w:sz w:val="16"/>
                <w:szCs w:val="16"/>
                <w:color w:val="auto"/>
              </w:rPr>
              <w:t>1,762,083,817</w:t>
            </w:r>
          </w:p>
        </w:tc>
        <w:tc>
          <w:tcPr>
            <w:tcW w:w="222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99.42%</w:t>
            </w:r>
          </w:p>
        </w:tc>
        <w:tc>
          <w:tcPr>
            <w:tcW w:w="212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10,266,401</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0.58%</w:t>
            </w: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Non-binding Advisory Vote on 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Shareholders accepted, on a non-binding advisory basis, the Company's approach to executive compensation. The votes were cast as follows:</w:t>
      </w:r>
    </w:p>
    <w:p>
      <w:pPr>
        <w:spacing w:after="0" w:line="32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3040" w:type="dxa"/>
            <w:vAlign w:val="bottom"/>
          </w:tcPr>
          <w:p>
            <w:pPr>
              <w:jc w:val="right"/>
              <w:ind w:right="719"/>
              <w:spacing w:after="0"/>
              <w:rPr>
                <w:sz w:val="20"/>
                <w:szCs w:val="20"/>
                <w:color w:val="auto"/>
              </w:rPr>
            </w:pPr>
            <w:r>
              <w:rPr>
                <w:rFonts w:ascii="Arial" w:cs="Arial" w:eastAsia="Arial" w:hAnsi="Arial"/>
                <w:sz w:val="16"/>
                <w:szCs w:val="16"/>
                <w:b w:val="1"/>
                <w:bCs w:val="1"/>
                <w:color w:val="auto"/>
              </w:rPr>
              <w:t>Votes</w:t>
            </w:r>
          </w:p>
        </w:tc>
        <w:tc>
          <w:tcPr>
            <w:tcW w:w="2180" w:type="dxa"/>
            <w:vAlign w:val="bottom"/>
          </w:tcPr>
          <w:p>
            <w:pPr>
              <w:jc w:val="right"/>
              <w:ind w:right="619"/>
              <w:spacing w:after="0"/>
              <w:rPr>
                <w:sz w:val="20"/>
                <w:szCs w:val="20"/>
                <w:color w:val="auto"/>
              </w:rPr>
            </w:pPr>
            <w:r>
              <w:rPr>
                <w:rFonts w:ascii="Arial" w:cs="Arial" w:eastAsia="Arial" w:hAnsi="Arial"/>
                <w:sz w:val="16"/>
                <w:szCs w:val="16"/>
                <w:b w:val="1"/>
                <w:bCs w:val="1"/>
                <w:color w:val="auto"/>
              </w:rPr>
              <w:t>% of</w:t>
            </w:r>
          </w:p>
        </w:tc>
        <w:tc>
          <w:tcPr>
            <w:tcW w:w="2200" w:type="dxa"/>
            <w:vAlign w:val="bottom"/>
          </w:tcPr>
          <w:p>
            <w:pPr>
              <w:jc w:val="right"/>
              <w:ind w:right="539"/>
              <w:spacing w:after="0"/>
              <w:rPr>
                <w:sz w:val="20"/>
                <w:szCs w:val="20"/>
                <w:color w:val="auto"/>
              </w:rPr>
            </w:pPr>
            <w:r>
              <w:rPr>
                <w:rFonts w:ascii="Arial" w:cs="Arial" w:eastAsia="Arial" w:hAnsi="Arial"/>
                <w:sz w:val="16"/>
                <w:szCs w:val="16"/>
                <w:b w:val="1"/>
                <w:bCs w:val="1"/>
                <w:color w:val="auto"/>
              </w:rPr>
              <w:t>Votes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 of</w:t>
            </w:r>
          </w:p>
        </w:tc>
      </w:tr>
      <w:tr>
        <w:trPr>
          <w:trHeight w:val="216"/>
        </w:trPr>
        <w:tc>
          <w:tcPr>
            <w:tcW w:w="3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for</w:t>
            </w:r>
          </w:p>
        </w:tc>
        <w:tc>
          <w:tcPr>
            <w:tcW w:w="2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Votes for</w:t>
            </w:r>
          </w:p>
        </w:tc>
        <w:tc>
          <w:tcPr>
            <w:tcW w:w="2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Against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Votes Against</w:t>
            </w:r>
          </w:p>
        </w:tc>
      </w:tr>
      <w:tr>
        <w:trPr>
          <w:trHeight w:val="209"/>
        </w:trPr>
        <w:tc>
          <w:tcPr>
            <w:tcW w:w="3040" w:type="dxa"/>
            <w:vAlign w:val="bottom"/>
            <w:shd w:val="clear" w:color="auto" w:fill="DBDBDB"/>
          </w:tcPr>
          <w:p>
            <w:pPr>
              <w:jc w:val="right"/>
              <w:ind w:right="699"/>
              <w:spacing w:after="0"/>
              <w:rPr>
                <w:sz w:val="20"/>
                <w:szCs w:val="20"/>
                <w:color w:val="auto"/>
              </w:rPr>
            </w:pPr>
            <w:r>
              <w:rPr>
                <w:rFonts w:ascii="Arial" w:cs="Arial" w:eastAsia="Arial" w:hAnsi="Arial"/>
                <w:sz w:val="16"/>
                <w:szCs w:val="16"/>
                <w:color w:val="auto"/>
              </w:rPr>
              <w:t>1,377,881,961</w:t>
            </w:r>
          </w:p>
        </w:tc>
        <w:tc>
          <w:tcPr>
            <w:tcW w:w="2180" w:type="dxa"/>
            <w:vAlign w:val="bottom"/>
            <w:shd w:val="clear" w:color="auto" w:fill="DBDBDB"/>
          </w:tcPr>
          <w:p>
            <w:pPr>
              <w:jc w:val="right"/>
              <w:ind w:right="599"/>
              <w:spacing w:after="0"/>
              <w:rPr>
                <w:sz w:val="20"/>
                <w:szCs w:val="20"/>
                <w:color w:val="auto"/>
              </w:rPr>
            </w:pPr>
            <w:r>
              <w:rPr>
                <w:rFonts w:ascii="Arial" w:cs="Arial" w:eastAsia="Arial" w:hAnsi="Arial"/>
                <w:sz w:val="16"/>
                <w:szCs w:val="16"/>
                <w:color w:val="auto"/>
              </w:rPr>
              <w:t>81.24%</w:t>
            </w:r>
          </w:p>
        </w:tc>
        <w:tc>
          <w:tcPr>
            <w:tcW w:w="2200" w:type="dxa"/>
            <w:vAlign w:val="bottom"/>
            <w:shd w:val="clear" w:color="auto" w:fill="DBDBDB"/>
          </w:tcPr>
          <w:p>
            <w:pPr>
              <w:jc w:val="right"/>
              <w:ind w:right="519"/>
              <w:spacing w:after="0"/>
              <w:rPr>
                <w:sz w:val="20"/>
                <w:szCs w:val="20"/>
                <w:color w:val="auto"/>
              </w:rPr>
            </w:pPr>
            <w:r>
              <w:rPr>
                <w:rFonts w:ascii="Arial" w:cs="Arial" w:eastAsia="Arial" w:hAnsi="Arial"/>
                <w:sz w:val="16"/>
                <w:szCs w:val="16"/>
                <w:color w:val="auto"/>
              </w:rPr>
              <w:t>318,194,521</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18.76%</w:t>
            </w:r>
          </w:p>
        </w:tc>
      </w:tr>
    </w:tbl>
    <w:p>
      <w:pPr>
        <w:spacing w:after="0" w:line="28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Shareholder Proposal</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 shareholder proposal regarding an artificial intelligence policy was not approved. The votes were cast as follows:</w:t>
      </w:r>
    </w:p>
    <w:p>
      <w:pPr>
        <w:spacing w:after="0" w:line="32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240" w:type="dxa"/>
            <w:vAlign w:val="bottom"/>
          </w:tcPr>
          <w:p>
            <w:pPr>
              <w:jc w:val="right"/>
              <w:ind w:right="779"/>
              <w:spacing w:after="0"/>
              <w:rPr>
                <w:sz w:val="20"/>
                <w:szCs w:val="20"/>
                <w:color w:val="auto"/>
              </w:rPr>
            </w:pPr>
            <w:r>
              <w:rPr>
                <w:rFonts w:ascii="Arial" w:cs="Arial" w:eastAsia="Arial" w:hAnsi="Arial"/>
                <w:sz w:val="16"/>
                <w:szCs w:val="16"/>
                <w:b w:val="1"/>
                <w:bCs w:val="1"/>
                <w:color w:val="auto"/>
              </w:rPr>
              <w:t>Votes</w:t>
            </w:r>
          </w:p>
        </w:tc>
        <w:tc>
          <w:tcPr>
            <w:tcW w:w="2240" w:type="dxa"/>
            <w:vAlign w:val="bottom"/>
          </w:tcPr>
          <w:p>
            <w:pPr>
              <w:jc w:val="right"/>
              <w:ind w:right="619"/>
              <w:spacing w:after="0"/>
              <w:rPr>
                <w:sz w:val="20"/>
                <w:szCs w:val="20"/>
                <w:color w:val="auto"/>
              </w:rPr>
            </w:pPr>
            <w:r>
              <w:rPr>
                <w:rFonts w:ascii="Arial" w:cs="Arial" w:eastAsia="Arial" w:hAnsi="Arial"/>
                <w:sz w:val="16"/>
                <w:szCs w:val="16"/>
                <w:b w:val="1"/>
                <w:bCs w:val="1"/>
                <w:color w:val="auto"/>
              </w:rPr>
              <w:t>% of</w:t>
            </w:r>
          </w:p>
        </w:tc>
        <w:tc>
          <w:tcPr>
            <w:tcW w:w="2400" w:type="dxa"/>
            <w:vAlign w:val="bottom"/>
          </w:tcPr>
          <w:p>
            <w:pPr>
              <w:jc w:val="right"/>
              <w:ind w:right="599"/>
              <w:spacing w:after="0"/>
              <w:rPr>
                <w:sz w:val="20"/>
                <w:szCs w:val="20"/>
                <w:color w:val="auto"/>
              </w:rPr>
            </w:pPr>
            <w:r>
              <w:rPr>
                <w:rFonts w:ascii="Arial" w:cs="Arial" w:eastAsia="Arial" w:hAnsi="Arial"/>
                <w:sz w:val="16"/>
                <w:szCs w:val="16"/>
                <w:b w:val="1"/>
                <w:bCs w:val="1"/>
                <w:color w:val="auto"/>
              </w:rPr>
              <w:t>Votes</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 of</w:t>
            </w:r>
          </w:p>
        </w:tc>
      </w:tr>
      <w:tr>
        <w:trPr>
          <w:trHeight w:val="216"/>
        </w:trPr>
        <w:tc>
          <w:tcPr>
            <w:tcW w:w="32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for</w:t>
            </w:r>
          </w:p>
        </w:tc>
        <w:tc>
          <w:tcPr>
            <w:tcW w:w="22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Votes for</w:t>
            </w:r>
          </w:p>
        </w:tc>
        <w:tc>
          <w:tcPr>
            <w:tcW w:w="2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Against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Votes Against</w:t>
            </w:r>
          </w:p>
        </w:tc>
      </w:tr>
      <w:tr>
        <w:trPr>
          <w:trHeight w:val="210"/>
        </w:trPr>
        <w:tc>
          <w:tcPr>
            <w:tcW w:w="3240" w:type="dxa"/>
            <w:vAlign w:val="bottom"/>
            <w:shd w:val="clear" w:color="auto" w:fill="DBDBDB"/>
          </w:tcPr>
          <w:p>
            <w:pPr>
              <w:jc w:val="right"/>
              <w:ind w:right="779"/>
              <w:spacing w:after="0"/>
              <w:rPr>
                <w:sz w:val="20"/>
                <w:szCs w:val="20"/>
                <w:color w:val="auto"/>
              </w:rPr>
            </w:pPr>
            <w:r>
              <w:rPr>
                <w:rFonts w:ascii="Arial" w:cs="Arial" w:eastAsia="Arial" w:hAnsi="Arial"/>
                <w:sz w:val="16"/>
                <w:szCs w:val="16"/>
                <w:color w:val="auto"/>
              </w:rPr>
              <w:t>235,153,526</w:t>
            </w:r>
          </w:p>
        </w:tc>
        <w:tc>
          <w:tcPr>
            <w:tcW w:w="2240" w:type="dxa"/>
            <w:vAlign w:val="bottom"/>
            <w:shd w:val="clear" w:color="auto" w:fill="DBDBDB"/>
          </w:tcPr>
          <w:p>
            <w:pPr>
              <w:jc w:val="right"/>
              <w:ind w:right="619"/>
              <w:spacing w:after="0"/>
              <w:rPr>
                <w:sz w:val="20"/>
                <w:szCs w:val="20"/>
                <w:color w:val="auto"/>
              </w:rPr>
            </w:pPr>
            <w:r>
              <w:rPr>
                <w:rFonts w:ascii="Arial" w:cs="Arial" w:eastAsia="Arial" w:hAnsi="Arial"/>
                <w:sz w:val="16"/>
                <w:szCs w:val="16"/>
                <w:color w:val="auto"/>
              </w:rPr>
              <w:t>13.86%</w:t>
            </w:r>
          </w:p>
        </w:tc>
        <w:tc>
          <w:tcPr>
            <w:tcW w:w="2400" w:type="dxa"/>
            <w:vAlign w:val="bottom"/>
            <w:shd w:val="clear" w:color="auto" w:fill="DBDBDB"/>
          </w:tcPr>
          <w:p>
            <w:pPr>
              <w:jc w:val="right"/>
              <w:ind w:right="599"/>
              <w:spacing w:after="0"/>
              <w:rPr>
                <w:sz w:val="20"/>
                <w:szCs w:val="20"/>
                <w:color w:val="auto"/>
              </w:rPr>
            </w:pPr>
            <w:r>
              <w:rPr>
                <w:rFonts w:ascii="Arial" w:cs="Arial" w:eastAsia="Arial" w:hAnsi="Arial"/>
                <w:sz w:val="16"/>
                <w:szCs w:val="16"/>
                <w:color w:val="auto"/>
              </w:rPr>
              <w:t>1,460,922,955</w:t>
            </w: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86.14%</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Shopify</w:t>
      </w:r>
    </w:p>
    <w:p>
      <w:pPr>
        <w:spacing w:after="0" w:line="239" w:lineRule="exact"/>
        <w:rPr>
          <w:sz w:val="20"/>
          <w:szCs w:val="20"/>
          <w:color w:val="auto"/>
        </w:rPr>
      </w:pPr>
    </w:p>
    <w:p>
      <w:pPr>
        <w:jc w:val="both"/>
        <w:spacing w:after="0" w:line="389" w:lineRule="auto"/>
        <w:rPr>
          <w:sz w:val="20"/>
          <w:szCs w:val="20"/>
          <w:color w:val="auto"/>
        </w:rPr>
      </w:pPr>
      <w:r>
        <w:rPr>
          <w:rFonts w:ascii="Arial" w:cs="Arial" w:eastAsia="Arial" w:hAnsi="Arial"/>
          <w:sz w:val="16"/>
          <w:szCs w:val="16"/>
          <w:color w:val="auto"/>
        </w:rPr>
        <w:t>Shopify provides essential internet infrastructure for commerce. Shopify's all-in-one platform makes it easier to start, run, and grow a business, powering sales online, in-store, and everywhere in between. Millions of businesses in 175+ countries use Shopify—from entrepreneurs to brands like Aldo, BarkBox, Carrier, Meta, Vuori, SKIMS, and Supreme.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visit </w:t>
      </w:r>
      <w:r>
        <w:rPr>
          <w:rFonts w:ascii="Arial" w:cs="Arial" w:eastAsia="Arial" w:hAnsi="Arial"/>
          <w:sz w:val="16"/>
          <w:szCs w:val="16"/>
          <w:b w:val="1"/>
          <w:bCs w:val="1"/>
          <w:u w:val="single" w:color="auto"/>
          <w:color w:val="14896B"/>
        </w:rPr>
        <w:t>www.shopify.com.</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080" w:type="dxa"/>
            <w:vAlign w:val="bottom"/>
            <w:gridSpan w:val="2"/>
          </w:tcPr>
          <w:p>
            <w:pPr>
              <w:spacing w:after="0"/>
              <w:rPr>
                <w:sz w:val="20"/>
                <w:szCs w:val="20"/>
                <w:color w:val="auto"/>
              </w:rPr>
            </w:pPr>
            <w:r>
              <w:rPr>
                <w:rFonts w:ascii="Arial" w:cs="Arial" w:eastAsia="Arial" w:hAnsi="Arial"/>
                <w:sz w:val="16"/>
                <w:szCs w:val="16"/>
                <w:color w:val="auto"/>
              </w:rPr>
              <w:t>CONTACT INVESTORS:</w:t>
            </w:r>
          </w:p>
        </w:tc>
        <w:tc>
          <w:tcPr>
            <w:tcW w:w="1860" w:type="dxa"/>
            <w:vAlign w:val="bottom"/>
            <w:gridSpan w:val="2"/>
          </w:tcPr>
          <w:p>
            <w:pPr>
              <w:spacing w:after="0"/>
              <w:rPr>
                <w:sz w:val="20"/>
                <w:szCs w:val="20"/>
                <w:color w:val="auto"/>
              </w:rPr>
            </w:pPr>
            <w:r>
              <w:rPr>
                <w:rFonts w:ascii="Arial" w:cs="Arial" w:eastAsia="Arial" w:hAnsi="Arial"/>
                <w:sz w:val="16"/>
                <w:szCs w:val="16"/>
                <w:color w:val="auto"/>
              </w:rPr>
              <w:t>CONTACT MEDIA:</w:t>
            </w:r>
          </w:p>
        </w:tc>
      </w:tr>
      <w:tr>
        <w:trPr>
          <w:trHeight w:val="216"/>
        </w:trPr>
        <w:tc>
          <w:tcPr>
            <w:tcW w:w="6080" w:type="dxa"/>
            <w:vAlign w:val="bottom"/>
            <w:gridSpan w:val="2"/>
          </w:tcPr>
          <w:p>
            <w:pPr>
              <w:spacing w:after="0"/>
              <w:rPr>
                <w:sz w:val="20"/>
                <w:szCs w:val="20"/>
                <w:color w:val="auto"/>
              </w:rPr>
            </w:pPr>
            <w:r>
              <w:rPr>
                <w:rFonts w:ascii="Arial" w:cs="Arial" w:eastAsia="Arial" w:hAnsi="Arial"/>
                <w:sz w:val="16"/>
                <w:szCs w:val="16"/>
                <w:color w:val="auto"/>
              </w:rPr>
              <w:t>Shane Kleinstein</w:t>
            </w:r>
          </w:p>
        </w:tc>
        <w:tc>
          <w:tcPr>
            <w:tcW w:w="1860" w:type="dxa"/>
            <w:vAlign w:val="bottom"/>
            <w:gridSpan w:val="2"/>
          </w:tcPr>
          <w:p>
            <w:pPr>
              <w:spacing w:after="0"/>
              <w:rPr>
                <w:sz w:val="20"/>
                <w:szCs w:val="20"/>
                <w:color w:val="auto"/>
              </w:rPr>
            </w:pPr>
            <w:r>
              <w:rPr>
                <w:rFonts w:ascii="Arial" w:cs="Arial" w:eastAsia="Arial" w:hAnsi="Arial"/>
                <w:sz w:val="16"/>
                <w:szCs w:val="16"/>
                <w:color w:val="auto"/>
              </w:rPr>
              <w:t>Ben McConaghy</w:t>
            </w:r>
          </w:p>
        </w:tc>
      </w:tr>
      <w:tr>
        <w:trPr>
          <w:trHeight w:val="216"/>
        </w:trPr>
        <w:tc>
          <w:tcPr>
            <w:tcW w:w="6080" w:type="dxa"/>
            <w:vAlign w:val="bottom"/>
            <w:gridSpan w:val="2"/>
          </w:tcPr>
          <w:p>
            <w:pPr>
              <w:spacing w:after="0"/>
              <w:rPr>
                <w:sz w:val="20"/>
                <w:szCs w:val="20"/>
                <w:color w:val="auto"/>
              </w:rPr>
            </w:pPr>
            <w:r>
              <w:rPr>
                <w:rFonts w:ascii="Arial" w:cs="Arial" w:eastAsia="Arial" w:hAnsi="Arial"/>
                <w:sz w:val="16"/>
                <w:szCs w:val="16"/>
                <w:color w:val="auto"/>
              </w:rPr>
              <w:t>Director, Investor Relations</w:t>
            </w:r>
          </w:p>
        </w:tc>
        <w:tc>
          <w:tcPr>
            <w:tcW w:w="1860" w:type="dxa"/>
            <w:vAlign w:val="bottom"/>
            <w:gridSpan w:val="2"/>
          </w:tcPr>
          <w:p>
            <w:pPr>
              <w:spacing w:after="0"/>
              <w:rPr>
                <w:sz w:val="20"/>
                <w:szCs w:val="20"/>
                <w:color w:val="auto"/>
              </w:rPr>
            </w:pPr>
            <w:r>
              <w:rPr>
                <w:rFonts w:ascii="Arial" w:cs="Arial" w:eastAsia="Arial" w:hAnsi="Arial"/>
                <w:sz w:val="16"/>
                <w:szCs w:val="16"/>
                <w:color w:val="auto"/>
                <w:w w:val="99"/>
              </w:rPr>
              <w:t>Director, Communications</w:t>
            </w:r>
          </w:p>
        </w:tc>
      </w:tr>
      <w:tr>
        <w:trPr>
          <w:trHeight w:val="178"/>
        </w:trPr>
        <w:tc>
          <w:tcPr>
            <w:tcW w:w="6080" w:type="dxa"/>
            <w:vAlign w:val="bottom"/>
            <w:gridSpan w:val="2"/>
          </w:tcPr>
          <w:p>
            <w:pPr>
              <w:spacing w:after="0" w:line="178" w:lineRule="exact"/>
              <w:rPr>
                <w:sz w:val="20"/>
                <w:szCs w:val="20"/>
                <w:color w:val="auto"/>
              </w:rPr>
            </w:pPr>
            <w:r>
              <w:rPr>
                <w:rFonts w:ascii="Arial" w:cs="Arial" w:eastAsia="Arial" w:hAnsi="Arial"/>
                <w:sz w:val="16"/>
                <w:szCs w:val="16"/>
                <w:color w:val="14896B"/>
              </w:rPr>
              <w:t>IR@shopify.com</w:t>
            </w:r>
          </w:p>
        </w:tc>
        <w:tc>
          <w:tcPr>
            <w:tcW w:w="1860" w:type="dxa"/>
            <w:vAlign w:val="bottom"/>
            <w:gridSpan w:val="2"/>
          </w:tcPr>
          <w:p>
            <w:pPr>
              <w:spacing w:after="0" w:line="178" w:lineRule="exact"/>
              <w:rPr>
                <w:sz w:val="20"/>
                <w:szCs w:val="20"/>
                <w:color w:val="auto"/>
              </w:rPr>
            </w:pPr>
            <w:r>
              <w:rPr>
                <w:rFonts w:ascii="Arial" w:cs="Arial" w:eastAsia="Arial" w:hAnsi="Arial"/>
                <w:sz w:val="16"/>
                <w:szCs w:val="16"/>
                <w:color w:val="14896B"/>
              </w:rPr>
              <w:t>press@shopify.com</w:t>
            </w:r>
          </w:p>
        </w:tc>
      </w:tr>
      <w:tr>
        <w:trPr>
          <w:trHeight w:val="20"/>
        </w:trPr>
        <w:tc>
          <w:tcPr>
            <w:tcW w:w="1180" w:type="dxa"/>
            <w:vAlign w:val="bottom"/>
            <w:shd w:val="clear" w:color="auto" w:fill="14896B"/>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20" w:type="dxa"/>
            <w:vAlign w:val="bottom"/>
            <w:shd w:val="clear" w:color="auto" w:fill="14896B"/>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2026-06-16T15:07:38Z</dcterms:created>
  <dcterms:modified xsi:type="dcterms:W3CDTF">2026-06-16T15:07:38Z</dcterms:modified>
</cp:coreProperties>
</file>