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5, 2026</w:t>
      </w:r>
    </w:p>
    <w:p>
      <w:pPr>
        <w:spacing w:after="0" w:line="2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333-204568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POST EFFECTIVE AMENDMENT NO. 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jc w:val="center"/>
        <w:spacing w:after="0" w:line="221" w:lineRule="auto"/>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SHOPIFY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49" w:lineRule="exact"/>
        <w:rPr>
          <w:sz w:val="24"/>
          <w:szCs w:val="24"/>
          <w:color w:val="auto"/>
        </w:rPr>
      </w:pPr>
    </w:p>
    <w:tbl>
      <w:tblPr>
        <w:tblLayout w:type="fixed"/>
        <w:tblInd w:w="540" w:type="dxa"/>
        <w:tblCellMar>
          <w:top w:w="0" w:type="dxa"/>
          <w:left w:w="0" w:type="dxa"/>
          <w:bottom w:w="0" w:type="dxa"/>
          <w:right w:w="0" w:type="dxa"/>
        </w:tblCellMar>
      </w:tblPr>
      <w:tr>
        <w:trPr>
          <w:trHeight w:val="196"/>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Canada</w:t>
            </w:r>
          </w:p>
        </w:tc>
        <w:tc>
          <w:tcPr>
            <w:tcW w:w="3040" w:type="dxa"/>
            <w:vAlign w:val="bottom"/>
          </w:tcPr>
          <w:p>
            <w:pPr>
              <w:jc w:val="center"/>
              <w:ind w:right="328"/>
              <w:spacing w:after="0"/>
              <w:rPr>
                <w:sz w:val="20"/>
                <w:szCs w:val="20"/>
                <w:color w:val="auto"/>
              </w:rPr>
            </w:pPr>
            <w:r>
              <w:rPr>
                <w:rFonts w:ascii="Arial" w:cs="Arial" w:eastAsia="Arial" w:hAnsi="Arial"/>
                <w:sz w:val="14"/>
                <w:szCs w:val="14"/>
                <w:b w:val="1"/>
                <w:bCs w:val="1"/>
                <w:color w:val="auto"/>
              </w:rPr>
              <w:t>001-37400</w:t>
            </w:r>
          </w:p>
        </w:tc>
        <w:tc>
          <w:tcPr>
            <w:tcW w:w="2560" w:type="dxa"/>
            <w:vAlign w:val="bottom"/>
          </w:tcPr>
          <w:p>
            <w:pPr>
              <w:jc w:val="center"/>
              <w:ind w:left="408"/>
              <w:spacing w:after="0"/>
              <w:rPr>
                <w:sz w:val="20"/>
                <w:szCs w:val="20"/>
                <w:color w:val="auto"/>
              </w:rPr>
            </w:pPr>
            <w:r>
              <w:rPr>
                <w:rFonts w:ascii="Arial" w:cs="Arial" w:eastAsia="Arial" w:hAnsi="Arial"/>
                <w:sz w:val="14"/>
                <w:szCs w:val="14"/>
                <w:b w:val="1"/>
                <w:bCs w:val="1"/>
                <w:color w:val="auto"/>
              </w:rPr>
              <w:t>98-0486686</w:t>
            </w:r>
          </w:p>
        </w:tc>
      </w:tr>
      <w:tr>
        <w:trPr>
          <w:trHeight w:val="197"/>
        </w:trPr>
        <w:tc>
          <w:tcPr>
            <w:tcW w:w="3760" w:type="dxa"/>
            <w:vAlign w:val="bottom"/>
          </w:tcPr>
          <w:p>
            <w:pPr>
              <w:jc w:val="center"/>
              <w:spacing w:after="0"/>
              <w:rPr>
                <w:sz w:val="20"/>
                <w:szCs w:val="20"/>
                <w:color w:val="auto"/>
              </w:rPr>
            </w:pPr>
            <w:r>
              <w:rPr>
                <w:rFonts w:ascii="Arial" w:cs="Arial" w:eastAsia="Arial" w:hAnsi="Arial"/>
                <w:sz w:val="14"/>
                <w:szCs w:val="14"/>
                <w:color w:val="auto"/>
              </w:rPr>
              <w:t>(State or other jurisdiction of incorporation or organization)</w:t>
            </w:r>
          </w:p>
        </w:tc>
        <w:tc>
          <w:tcPr>
            <w:tcW w:w="3040" w:type="dxa"/>
            <w:vAlign w:val="bottom"/>
          </w:tcPr>
          <w:p>
            <w:pPr>
              <w:jc w:val="center"/>
              <w:ind w:right="328"/>
              <w:spacing w:after="0"/>
              <w:rPr>
                <w:sz w:val="20"/>
                <w:szCs w:val="20"/>
                <w:color w:val="auto"/>
              </w:rPr>
            </w:pPr>
            <w:r>
              <w:rPr>
                <w:rFonts w:ascii="Arial" w:cs="Arial" w:eastAsia="Arial" w:hAnsi="Arial"/>
                <w:sz w:val="14"/>
                <w:szCs w:val="14"/>
                <w:color w:val="auto"/>
              </w:rPr>
              <w:t>(Commission File Number)</w:t>
            </w:r>
          </w:p>
        </w:tc>
        <w:tc>
          <w:tcPr>
            <w:tcW w:w="2560" w:type="dxa"/>
            <w:vAlign w:val="bottom"/>
          </w:tcPr>
          <w:p>
            <w:pPr>
              <w:jc w:val="center"/>
              <w:ind w:left="408"/>
              <w:spacing w:after="0"/>
              <w:rPr>
                <w:sz w:val="20"/>
                <w:szCs w:val="20"/>
                <w:color w:val="auto"/>
              </w:rPr>
            </w:pPr>
            <w:r>
              <w:rPr>
                <w:rFonts w:ascii="Arial" w:cs="Arial" w:eastAsia="Arial" w:hAnsi="Arial"/>
                <w:sz w:val="14"/>
                <w:szCs w:val="14"/>
                <w:color w:val="auto"/>
              </w:rPr>
              <w:t>(IRS Employer Identification No.)</w:t>
            </w:r>
          </w:p>
        </w:tc>
      </w:tr>
      <w:tr>
        <w:trPr>
          <w:trHeight w:val="263"/>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151 O'Connor Street, Ground Floor</w:t>
            </w:r>
          </w:p>
        </w:tc>
        <w:tc>
          <w:tcPr>
            <w:tcW w:w="3040" w:type="dxa"/>
            <w:vAlign w:val="bottom"/>
          </w:tcPr>
          <w:p>
            <w:pPr>
              <w:spacing w:after="0"/>
              <w:rPr>
                <w:sz w:val="22"/>
                <w:szCs w:val="22"/>
                <w:color w:val="auto"/>
              </w:rPr>
            </w:pPr>
          </w:p>
        </w:tc>
        <w:tc>
          <w:tcPr>
            <w:tcW w:w="2560" w:type="dxa"/>
            <w:vAlign w:val="bottom"/>
          </w:tcPr>
          <w:p>
            <w:pPr>
              <w:jc w:val="center"/>
              <w:ind w:left="408"/>
              <w:spacing w:after="0"/>
              <w:rPr>
                <w:sz w:val="20"/>
                <w:szCs w:val="20"/>
                <w:color w:val="auto"/>
              </w:rPr>
            </w:pPr>
            <w:r>
              <w:rPr>
                <w:rFonts w:ascii="Arial" w:cs="Arial" w:eastAsia="Arial" w:hAnsi="Arial"/>
                <w:sz w:val="14"/>
                <w:szCs w:val="14"/>
                <w:b w:val="1"/>
                <w:bCs w:val="1"/>
                <w:color w:val="auto"/>
              </w:rPr>
              <w:t>85 10th Avenue, Suite 800</w:t>
            </w:r>
          </w:p>
        </w:tc>
      </w:tr>
      <w:tr>
        <w:trPr>
          <w:trHeight w:val="203"/>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rPr>
              <w:t>Ottawa, Ontario</w:t>
            </w:r>
          </w:p>
        </w:tc>
        <w:tc>
          <w:tcPr>
            <w:tcW w:w="3040" w:type="dxa"/>
            <w:vAlign w:val="bottom"/>
          </w:tcPr>
          <w:p>
            <w:pPr>
              <w:spacing w:after="0"/>
              <w:rPr>
                <w:sz w:val="17"/>
                <w:szCs w:val="17"/>
                <w:color w:val="auto"/>
              </w:rPr>
            </w:pPr>
          </w:p>
        </w:tc>
        <w:tc>
          <w:tcPr>
            <w:tcW w:w="2560" w:type="dxa"/>
            <w:vAlign w:val="bottom"/>
          </w:tcPr>
          <w:p>
            <w:pPr>
              <w:ind w:left="800"/>
              <w:spacing w:after="0"/>
              <w:rPr>
                <w:sz w:val="20"/>
                <w:szCs w:val="20"/>
                <w:color w:val="auto"/>
              </w:rPr>
            </w:pPr>
            <w:r>
              <w:rPr>
                <w:rFonts w:ascii="Arial" w:cs="Arial" w:eastAsia="Arial" w:hAnsi="Arial"/>
                <w:sz w:val="14"/>
                <w:szCs w:val="14"/>
                <w:b w:val="1"/>
                <w:bCs w:val="1"/>
                <w:color w:val="auto"/>
              </w:rPr>
              <w:t>New York, New York</w:t>
            </w:r>
          </w:p>
        </w:tc>
      </w:tr>
      <w:tr>
        <w:trPr>
          <w:trHeight w:val="203"/>
        </w:trPr>
        <w:tc>
          <w:tcPr>
            <w:tcW w:w="3760" w:type="dxa"/>
            <w:vAlign w:val="bottom"/>
          </w:tcPr>
          <w:p>
            <w:pPr>
              <w:ind w:left="1320"/>
              <w:spacing w:after="0"/>
              <w:rPr>
                <w:sz w:val="20"/>
                <w:szCs w:val="20"/>
                <w:color w:val="auto"/>
              </w:rPr>
            </w:pPr>
            <w:r>
              <w:rPr>
                <w:rFonts w:ascii="Arial" w:cs="Arial" w:eastAsia="Arial" w:hAnsi="Arial"/>
                <w:sz w:val="14"/>
                <w:szCs w:val="14"/>
                <w:b w:val="1"/>
                <w:bCs w:val="1"/>
                <w:color w:val="auto"/>
              </w:rPr>
              <w:t>Canada K2P 2L8</w:t>
            </w:r>
          </w:p>
        </w:tc>
        <w:tc>
          <w:tcPr>
            <w:tcW w:w="3040" w:type="dxa"/>
            <w:vAlign w:val="bottom"/>
          </w:tcPr>
          <w:p>
            <w:pPr>
              <w:spacing w:after="0"/>
              <w:rPr>
                <w:sz w:val="17"/>
                <w:szCs w:val="17"/>
                <w:color w:val="auto"/>
              </w:rPr>
            </w:pPr>
          </w:p>
        </w:tc>
        <w:tc>
          <w:tcPr>
            <w:tcW w:w="2560" w:type="dxa"/>
            <w:vAlign w:val="bottom"/>
          </w:tcPr>
          <w:p>
            <w:pPr>
              <w:ind w:left="1180"/>
              <w:spacing w:after="0"/>
              <w:rPr>
                <w:sz w:val="20"/>
                <w:szCs w:val="20"/>
                <w:color w:val="auto"/>
              </w:rPr>
            </w:pPr>
            <w:r>
              <w:rPr>
                <w:rFonts w:ascii="Arial" w:cs="Arial" w:eastAsia="Arial" w:hAnsi="Arial"/>
                <w:sz w:val="14"/>
                <w:szCs w:val="14"/>
                <w:b w:val="1"/>
                <w:bCs w:val="1"/>
                <w:color w:val="auto"/>
              </w:rPr>
              <w:t>USA 10011</w:t>
            </w:r>
          </w:p>
        </w:tc>
      </w:tr>
      <w:tr>
        <w:trPr>
          <w:trHeight w:val="196"/>
        </w:trPr>
        <w:tc>
          <w:tcPr>
            <w:tcW w:w="3760" w:type="dxa"/>
            <w:vAlign w:val="bottom"/>
          </w:tcPr>
          <w:p>
            <w:pPr>
              <w:spacing w:after="0"/>
              <w:rPr>
                <w:sz w:val="17"/>
                <w:szCs w:val="17"/>
                <w:color w:val="auto"/>
              </w:rPr>
            </w:pPr>
          </w:p>
        </w:tc>
        <w:tc>
          <w:tcPr>
            <w:tcW w:w="3040" w:type="dxa"/>
            <w:vAlign w:val="bottom"/>
          </w:tcPr>
          <w:p>
            <w:pPr>
              <w:jc w:val="center"/>
              <w:ind w:right="328"/>
              <w:spacing w:after="0"/>
              <w:rPr>
                <w:sz w:val="20"/>
                <w:szCs w:val="20"/>
                <w:color w:val="auto"/>
              </w:rPr>
            </w:pPr>
            <w:r>
              <w:rPr>
                <w:rFonts w:ascii="Arial" w:cs="Arial" w:eastAsia="Arial" w:hAnsi="Arial"/>
                <w:sz w:val="14"/>
                <w:szCs w:val="14"/>
                <w:color w:val="auto"/>
              </w:rPr>
              <w:t>(Address of Principal Executive Offices)</w:t>
            </w:r>
          </w:p>
        </w:tc>
        <w:tc>
          <w:tcPr>
            <w:tcW w:w="2560" w:type="dxa"/>
            <w:vAlign w:val="bottom"/>
          </w:tcPr>
          <w:p>
            <w:pPr>
              <w:spacing w:after="0"/>
              <w:rPr>
                <w:sz w:val="17"/>
                <w:szCs w:val="17"/>
                <w:color w:val="auto"/>
              </w:rPr>
            </w:pPr>
          </w:p>
        </w:tc>
      </w:tr>
    </w:tbl>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color w:val="181717"/>
        </w:rPr>
        <w:t xml:space="preserve">Registrant’s telephone number, including area code: </w:t>
      </w:r>
      <w:r>
        <w:rPr>
          <w:rFonts w:ascii="Arial" w:cs="Arial" w:eastAsia="Arial" w:hAnsi="Arial"/>
          <w:sz w:val="14"/>
          <w:szCs w:val="14"/>
          <w:b w:val="1"/>
          <w:bCs w:val="1"/>
          <w:color w:val="181717"/>
        </w:rPr>
        <w:t>(613) 241-2828 x1045</w:t>
      </w:r>
    </w:p>
    <w:p>
      <w:pPr>
        <w:spacing w:after="0" w:line="190"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Fourth Amended and Restated Incentive Stock Option Plan</w:t>
      </w:r>
    </w:p>
    <w:p>
      <w:pPr>
        <w:ind w:left="5000"/>
        <w:spacing w:after="0" w:line="223" w:lineRule="auto"/>
        <w:rPr>
          <w:sz w:val="20"/>
          <w:szCs w:val="20"/>
          <w:color w:val="auto"/>
        </w:rPr>
      </w:pPr>
      <w:r>
        <w:rPr>
          <w:rFonts w:ascii="Arial" w:cs="Arial" w:eastAsia="Arial" w:hAnsi="Arial"/>
          <w:sz w:val="14"/>
          <w:szCs w:val="14"/>
          <w:b w:val="1"/>
          <w:bCs w:val="1"/>
          <w:color w:val="auto"/>
        </w:rPr>
        <w:t>Stock Option Plan</w:t>
      </w:r>
    </w:p>
    <w:p>
      <w:pPr>
        <w:jc w:val="center"/>
        <w:spacing w:after="0" w:line="221" w:lineRule="auto"/>
        <w:rPr>
          <w:sz w:val="20"/>
          <w:szCs w:val="20"/>
          <w:color w:val="auto"/>
        </w:rPr>
      </w:pPr>
      <w:r>
        <w:rPr>
          <w:rFonts w:ascii="Arial" w:cs="Arial" w:eastAsia="Arial" w:hAnsi="Arial"/>
          <w:sz w:val="14"/>
          <w:szCs w:val="14"/>
          <w:b w:val="1"/>
          <w:bCs w:val="1"/>
          <w:color w:val="auto"/>
        </w:rPr>
        <w:t>Long Term Incentive Plan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Copy to:</w:t>
      </w:r>
    </w:p>
    <w:p>
      <w:pPr>
        <w:spacing w:after="0" w:line="15"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Michael L. Johnson</w:t>
      </w:r>
    </w:p>
    <w:p>
      <w:pPr>
        <w:spacing w:after="0" w:line="15"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Corporate Secretary</w:t>
      </w:r>
    </w:p>
    <w:p>
      <w:pPr>
        <w:spacing w:after="0" w:line="15"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Shopify Inc.</w:t>
      </w:r>
    </w:p>
    <w:p>
      <w:pPr>
        <w:spacing w:after="0" w:line="15"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151 O’Connor Street, Ground Floor</w:t>
      </w:r>
    </w:p>
    <w:p>
      <w:pPr>
        <w:spacing w:after="0" w:line="15"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Ottawa, ON K2P 2L8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Canada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(613) 241-2828 Ext. 1045</w:t>
      </w:r>
    </w:p>
    <w:p>
      <w:pPr>
        <w:spacing w:after="0" w:line="109"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94" w:right="339" w:bottom="1440" w:gutter="0" w:footer="0" w:header="0"/>
        </w:sectPr>
      </w:pP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jc w:val="center"/>
        <w:spacing w:after="0" w:line="119"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ectPr>
          <w:pgSz w:w="11900" w:h="16838" w:orient="portrait"/>
          <w:cols w:equalWidth="0" w:num="4">
            <w:col w:w="1440" w:space="160"/>
            <w:col w:w="120" w:space="160"/>
            <w:col w:w="1020" w:space="160"/>
            <w:col w:w="8180"/>
          </w:cols>
          <w:pgMar w:left="320" w:top="994" w:right="3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5" w:lineRule="exact"/>
        <w:rPr>
          <w:sz w:val="24"/>
          <w:szCs w:val="24"/>
          <w:color w:val="auto"/>
        </w:rPr>
      </w:pPr>
    </w:p>
    <w:p>
      <w:pPr>
        <w:sectPr>
          <w:pgSz w:w="11900" w:h="16838" w:orient="portrait"/>
          <w:cols w:equalWidth="0" w:num="4">
            <w:col w:w="1340" w:space="160"/>
            <w:col w:w="120" w:space="180"/>
            <w:col w:w="1700" w:space="160"/>
            <w:col w:w="7580"/>
          </w:cols>
          <w:pgMar w:left="320" w:top="994" w:right="3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9" w:lineRule="exact"/>
        <w:rPr>
          <w:sz w:val="24"/>
          <w:szCs w:val="24"/>
          <w:color w:val="auto"/>
        </w:rPr>
      </w:pPr>
    </w:p>
    <w:p>
      <w:pPr>
        <w:sectPr>
          <w:pgSz w:w="11900" w:h="16838" w:orient="portrait"/>
          <w:cols w:equalWidth="0" w:num="2">
            <w:col w:w="1720" w:space="160"/>
            <w:col w:w="9360"/>
          </w:cols>
          <w:pgMar w:left="320" w:top="994" w:right="339" w:bottom="1440" w:gutter="0" w:footer="0" w:header="0"/>
          <w:type w:val="continuous"/>
        </w:sect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DEREGISTRATION OF UNSOLD SECURITIES</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Post-Effective Amendment No. 1 (this “Post-Effective Amendment”) to the below listed Registration Statement on Form S-8 (the “Prior Registration Statement”) of Shopify Inc. (the “Registrant”) is being filed to terminate all offerings under the Prior Registration Statement and deregister any and all securities that remain unsold pursuant to the Prior Registration Statement.</w:t>
      </w:r>
    </w:p>
    <w:p>
      <w:pPr>
        <w:spacing w:after="0" w:line="130" w:lineRule="exact"/>
        <w:rPr>
          <w:sz w:val="20"/>
          <w:szCs w:val="20"/>
          <w:color w:val="auto"/>
        </w:rPr>
      </w:pPr>
    </w:p>
    <w:p>
      <w:pPr>
        <w:jc w:val="both"/>
        <w:ind w:firstLine="656"/>
        <w:spacing w:after="0" w:line="262" w:lineRule="auto"/>
        <w:tabs>
          <w:tab w:leader="none" w:pos="856"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File No. 333-204568, filed with the Securities and Exchange Commission on May 29, 2015, registering the offer and sale of (i) 630,000 Class B multiple voting shares of the Registrant, issuable pursuant to the Registrant’s Fourth Amended and Restated Incentive Stock Option Plan, and (ii) 370,000 Class A subordinate voting shares of the Registrant, issuable pursuant to the Registrant’s Stock Option Plan and Long Term Incentive Plan.</w:t>
      </w:r>
    </w:p>
    <w:p>
      <w:pPr>
        <w:spacing w:after="0" w:line="136" w:lineRule="exact"/>
        <w:rPr>
          <w:sz w:val="20"/>
          <w:szCs w:val="20"/>
          <w:color w:val="auto"/>
        </w:rPr>
      </w:pPr>
    </w:p>
    <w:p>
      <w:pPr>
        <w:jc w:val="both"/>
        <w:ind w:firstLine="455"/>
        <w:spacing w:after="0" w:line="257" w:lineRule="auto"/>
        <w:rPr>
          <w:sz w:val="20"/>
          <w:szCs w:val="20"/>
          <w:color w:val="auto"/>
        </w:rPr>
      </w:pPr>
      <w:r>
        <w:rPr>
          <w:rFonts w:ascii="Arial" w:cs="Arial" w:eastAsia="Arial" w:hAnsi="Arial"/>
          <w:sz w:val="18"/>
          <w:szCs w:val="18"/>
          <w:color w:val="auto"/>
        </w:rPr>
        <w:t>The Registrant has terminated all offerings of its securities under the Prior Registration Statement and is no longer issuing securities pursuant thereto. The Fourth Amended and Restated Incentive Stock Option Plan has been terminated, and the shares registered under the Prior Registration Statement for issuance pursuant to the Stock Option Plan and Long Term Incentive Plan have been fully utilized. In accordance with the undertaking made by the Registrant in Item 9(a)(iii) of the Prior Registration Statement, the Registrant hereby removes from registration by means of this Post-Effective Amendment any securities registered under the Prior Registration Statement that remain unsold as of the date hereof.</w:t>
      </w:r>
    </w:p>
    <w:p>
      <w:pPr>
        <w:sectPr>
          <w:pgSz w:w="11900" w:h="16838" w:orient="portrait"/>
          <w:cols w:equalWidth="0" w:num="1">
            <w:col w:w="11240"/>
          </w:cols>
          <w:pgMar w:left="320" w:top="1417" w:right="339" w:bottom="1440" w:gutter="0" w:footer="0" w:header="0"/>
        </w:sectPr>
      </w:pPr>
    </w:p>
    <w:bookmarkStart w:id="2" w:name="page3"/>
    <w:bookmarkEnd w:id="2"/>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City of Ottawa, Province of Ontario, Canada on May 5, 2026.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SHOPIFY INC.</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Johnson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 Michael L.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Corporate Secretary</w:t>
      </w:r>
    </w:p>
    <w:p>
      <w:pPr>
        <w:spacing w:after="0" w:line="234" w:lineRule="exact"/>
        <w:rPr>
          <w:sz w:val="20"/>
          <w:szCs w:val="20"/>
          <w:color w:val="auto"/>
        </w:rPr>
      </w:pPr>
    </w:p>
    <w:p>
      <w:pPr>
        <w:jc w:val="both"/>
        <w:ind w:firstLine="455"/>
        <w:spacing w:after="0" w:line="287" w:lineRule="auto"/>
        <w:rPr>
          <w:sz w:val="20"/>
          <w:szCs w:val="20"/>
          <w:color w:val="auto"/>
        </w:rPr>
      </w:pPr>
      <w:r>
        <w:rPr>
          <w:rFonts w:ascii="Arial" w:cs="Arial" w:eastAsia="Arial" w:hAnsi="Arial"/>
          <w:sz w:val="18"/>
          <w:szCs w:val="18"/>
          <w:color w:val="auto"/>
        </w:rPr>
        <w:t>No other person is required to sign this Post-Effective Amendment in reliance upon Rule 478 under the Securities Act of 1933, as amended.</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2026-05-05T06:20:39Z</dcterms:created>
  <dcterms:modified xsi:type="dcterms:W3CDTF">2026-05-05T06:20:39Z</dcterms:modified>
</cp:coreProperties>
</file>