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181717"/>
        </w:rPr>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181717"/>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181717"/>
        </w:rPr>
        <w:t>Washington, D.C. 20549</w:t>
      </w:r>
    </w:p>
    <w:p>
      <w:pPr>
        <w:spacing w:after="0" w:line="17"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181717"/>
        </w:rPr>
        <w:t>Form 10-Q</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84" w:lineRule="exact"/>
        <w:rPr>
          <w:sz w:val="24"/>
          <w:szCs w:val="24"/>
          <w:color w:val="auto"/>
        </w:rPr>
      </w:pPr>
    </w:p>
    <w:p>
      <w:pPr>
        <w:ind w:left="480" w:hanging="303"/>
        <w:spacing w:after="0"/>
        <w:tabs>
          <w:tab w:leader="none" w:pos="480" w:val="left"/>
        </w:tabs>
        <w:numPr>
          <w:ilvl w:val="0"/>
          <w:numId w:val="1"/>
        </w:numPr>
        <w:rPr>
          <w:rFonts w:ascii="MS PGothic" w:cs="MS PGothic" w:eastAsia="MS PGothic" w:hAnsi="MS PGothic"/>
          <w:sz w:val="14"/>
          <w:szCs w:val="14"/>
          <w:color w:val="181717"/>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68" w:lineRule="exact"/>
        <w:rPr>
          <w:sz w:val="24"/>
          <w:szCs w:val="24"/>
          <w:color w:val="auto"/>
        </w:rPr>
      </w:pPr>
    </w:p>
    <w:p>
      <w:pPr>
        <w:ind w:left="480" w:hanging="303"/>
        <w:spacing w:after="0"/>
        <w:tabs>
          <w:tab w:leader="none" w:pos="480" w:val="left"/>
        </w:tabs>
        <w:numPr>
          <w:ilvl w:val="0"/>
          <w:numId w:val="2"/>
        </w:numPr>
        <w:rPr>
          <w:rFonts w:ascii="MS PGothic" w:cs="MS PGothic" w:eastAsia="MS PGothic" w:hAnsi="MS PGothic"/>
          <w:sz w:val="14"/>
          <w:szCs w:val="14"/>
          <w:color w:val="181717"/>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181717"/>
        </w:rPr>
        <w:t>For the transition period from ___________ to ___________</w:t>
      </w:r>
    </w:p>
    <w:p>
      <w:pPr>
        <w:spacing w:after="0" w:line="31"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181717"/>
        </w:rPr>
        <w:t>Shopify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181717"/>
        </w:rPr>
        <w:t>(Exact name of registrant as specified in its charter)</w:t>
      </w:r>
    </w:p>
    <w:p>
      <w:pPr>
        <w:spacing w:after="0" w:line="15" w:lineRule="exact"/>
        <w:rPr>
          <w:sz w:val="24"/>
          <w:szCs w:val="24"/>
          <w:color w:val="auto"/>
        </w:rPr>
      </w:pPr>
    </w:p>
    <w:p>
      <w:pPr>
        <w:ind w:left="3640"/>
        <w:spacing w:after="0"/>
        <w:rPr>
          <w:sz w:val="20"/>
          <w:szCs w:val="20"/>
          <w:color w:val="auto"/>
        </w:rPr>
      </w:pPr>
      <w:r>
        <w:rPr>
          <w:rFonts w:ascii="Arial" w:cs="Arial" w:eastAsia="Arial" w:hAnsi="Arial"/>
          <w:sz w:val="22"/>
          <w:szCs w:val="22"/>
          <w:color w:val="181717"/>
        </w:rPr>
        <w:t>_________________________________</w:t>
      </w:r>
    </w:p>
    <w:p>
      <w:pPr>
        <w:sectPr>
          <w:pgSz w:w="11900" w:h="16838" w:orient="portrait"/>
          <w:cols w:equalWidth="0" w:num="1">
            <w:col w:w="11240"/>
          </w:cols>
          <w:pgMar w:left="320" w:top="1440" w:right="339" w:bottom="1440" w:gutter="0" w:footer="0" w:header="0"/>
        </w:sectPr>
      </w:pPr>
    </w:p>
    <w:p>
      <w:pPr>
        <w:spacing w:after="0" w:line="83"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Canada</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001-37400</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98-0486686</w:t>
      </w:r>
    </w:p>
    <w:p>
      <w:pPr>
        <w:spacing w:after="0" w:line="55" w:lineRule="exact"/>
        <w:rPr>
          <w:sz w:val="24"/>
          <w:szCs w:val="24"/>
          <w:color w:val="auto"/>
        </w:rPr>
      </w:pPr>
    </w:p>
    <w:p>
      <w:pPr>
        <w:sectPr>
          <w:pgSz w:w="11900" w:h="16838" w:orient="portrait"/>
          <w:cols w:equalWidth="0" w:num="3">
            <w:col w:w="4540" w:space="720"/>
            <w:col w:w="2360" w:space="720"/>
            <w:col w:w="2900"/>
          </w:cols>
          <w:pgMar w:left="320" w:top="1440" w:right="339" w:bottom="144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7" w:lineRule="exact"/>
        <w:rPr>
          <w:sz w:val="24"/>
          <w:szCs w:val="24"/>
          <w:color w:val="auto"/>
        </w:rPr>
      </w:pPr>
    </w:p>
    <w:p>
      <w:pPr>
        <w:sectPr>
          <w:pgSz w:w="11900" w:h="16838" w:orient="portrait"/>
          <w:cols w:equalWidth="0" w:num="3">
            <w:col w:w="4040" w:space="720"/>
            <w:col w:w="2200" w:space="720"/>
            <w:col w:w="3560"/>
          </w:cols>
          <w:pgMar w:left="320" w:top="1440" w:right="339" w:bottom="1440" w:gutter="0" w:footer="0" w:header="0"/>
          <w:type w:val="continuous"/>
        </w:sectPr>
      </w:pPr>
    </w:p>
    <w:p>
      <w:pPr>
        <w:ind w:left="2100"/>
        <w:spacing w:after="0"/>
        <w:rPr>
          <w:sz w:val="20"/>
          <w:szCs w:val="20"/>
          <w:color w:val="auto"/>
        </w:rPr>
      </w:pPr>
      <w:r>
        <w:rPr>
          <w:rFonts w:ascii="Arial" w:cs="Arial" w:eastAsia="Arial" w:hAnsi="Arial"/>
          <w:sz w:val="14"/>
          <w:szCs w:val="14"/>
          <w:color w:val="auto"/>
        </w:rPr>
        <w:t>organization)</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8488 Rozita Lee Ave, Bldg 3 Suite 100</w:t>
      </w:r>
    </w:p>
    <w:p>
      <w:pPr>
        <w:spacing w:after="0" w:line="96" w:lineRule="exact"/>
        <w:rPr>
          <w:sz w:val="24"/>
          <w:szCs w:val="24"/>
          <w:color w:val="auto"/>
        </w:rPr>
      </w:pPr>
    </w:p>
    <w:p>
      <w:pPr>
        <w:jc w:val="center"/>
        <w:ind w:right="40"/>
        <w:spacing w:after="0"/>
        <w:tabs>
          <w:tab w:leader="none" w:pos="140" w:val="left"/>
        </w:tabs>
        <w:rPr>
          <w:sz w:val="20"/>
          <w:szCs w:val="20"/>
          <w:color w:val="auto"/>
        </w:rPr>
      </w:pPr>
      <w:r>
        <w:rPr>
          <w:rFonts w:ascii="Arial" w:cs="Arial" w:eastAsia="Arial" w:hAnsi="Arial"/>
          <w:sz w:val="14"/>
          <w:szCs w:val="14"/>
          <w:b w:val="1"/>
          <w:bCs w:val="1"/>
          <w:color w:val="auto"/>
        </w:rPr>
        <w:t>Las Vegas, Nevada</w:t>
      </w:r>
      <w:r>
        <w:rPr>
          <w:sz w:val="20"/>
          <w:szCs w:val="20"/>
          <w:color w:val="auto"/>
        </w:rPr>
        <w:tab/>
      </w:r>
      <w:r>
        <w:rPr>
          <w:rFonts w:ascii="Arial" w:cs="Arial" w:eastAsia="Arial" w:hAnsi="Arial"/>
          <w:sz w:val="13"/>
          <w:szCs w:val="13"/>
          <w:b w:val="1"/>
          <w:bCs w:val="1"/>
          <w:color w:val="auto"/>
        </w:rPr>
        <w:t>89113</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 including zip code)</w:t>
      </w:r>
    </w:p>
    <w:p>
      <w:pPr>
        <w:spacing w:after="0" w:line="177" w:lineRule="exact"/>
        <w:rPr>
          <w:sz w:val="24"/>
          <w:szCs w:val="24"/>
          <w:color w:val="auto"/>
        </w:rPr>
      </w:pPr>
    </w:p>
    <w:p>
      <w:pPr>
        <w:ind w:left="3220"/>
        <w:spacing w:after="0"/>
        <w:rPr>
          <w:sz w:val="20"/>
          <w:szCs w:val="20"/>
          <w:color w:val="auto"/>
        </w:rPr>
      </w:pPr>
      <w:r>
        <w:rPr>
          <w:rFonts w:ascii="Arial" w:cs="Arial" w:eastAsia="Arial" w:hAnsi="Arial"/>
          <w:sz w:val="14"/>
          <w:szCs w:val="14"/>
          <w:color w:val="181717"/>
        </w:rPr>
        <w:t xml:space="preserve">Registrant’s telephone number, including area code: </w:t>
      </w:r>
      <w:r>
        <w:rPr>
          <w:rFonts w:ascii="Arial" w:cs="Arial" w:eastAsia="Arial" w:hAnsi="Arial"/>
          <w:sz w:val="14"/>
          <w:szCs w:val="14"/>
          <w:b w:val="1"/>
          <w:bCs w:val="1"/>
          <w:color w:val="000000"/>
        </w:rPr>
        <w:t>(613) 241-2828 x 1045</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181717"/>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Subordinate Voting Shares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SHOP</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53"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1817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33" w:lineRule="exact"/>
        <w:rPr>
          <w:sz w:val="24"/>
          <w:szCs w:val="24"/>
          <w:color w:val="auto"/>
        </w:rPr>
      </w:pPr>
    </w:p>
    <w:p>
      <w:pPr>
        <w:ind w:right="520"/>
        <w:spacing w:after="0" w:line="193" w:lineRule="exact"/>
        <w:rPr>
          <w:sz w:val="20"/>
          <w:szCs w:val="20"/>
          <w:color w:val="auto"/>
        </w:rPr>
      </w:pPr>
      <w:r>
        <w:rPr>
          <w:rFonts w:ascii="Arial" w:cs="Arial" w:eastAsia="Arial" w:hAnsi="Arial"/>
          <w:sz w:val="14"/>
          <w:szCs w:val="14"/>
          <w:color w:val="181717"/>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33"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1817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80" w:type="dxa"/>
            <w:vAlign w:val="bottom"/>
          </w:tcPr>
          <w:p>
            <w:pPr>
              <w:ind w:left="980"/>
              <w:spacing w:after="0" w:line="141" w:lineRule="exact"/>
              <w:rPr>
                <w:sz w:val="20"/>
                <w:szCs w:val="20"/>
                <w:color w:val="auto"/>
              </w:rPr>
            </w:pPr>
            <w:r>
              <w:rPr>
                <w:rFonts w:ascii="MS PGothic" w:cs="MS PGothic" w:eastAsia="MS PGothic" w:hAnsi="MS PGothic"/>
                <w:sz w:val="14"/>
                <w:szCs w:val="14"/>
                <w:color w:val="181717"/>
              </w:rPr>
              <w:t>☒</w:t>
            </w:r>
          </w:p>
        </w:tc>
        <w:tc>
          <w:tcPr>
            <w:tcW w:w="43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24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3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1817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181717"/>
        </w:rPr>
        <w:t xml:space="preserve">Indicate by check mark whether the registrant is a shell company (as defined in Rule 12b-2 of the Exchange Act). Yes </w:t>
      </w:r>
      <w:r>
        <w:rPr>
          <w:rFonts w:ascii="MS PGothic" w:cs="MS PGothic" w:eastAsia="MS PGothic" w:hAnsi="MS PGothic"/>
          <w:sz w:val="14"/>
          <w:szCs w:val="14"/>
          <w:color w:val="000000"/>
        </w:rPr>
        <w:t>☐</w:t>
      </w:r>
      <w:r>
        <w:rPr>
          <w:rFonts w:ascii="Arial" w:cs="Arial" w:eastAsia="Arial" w:hAnsi="Arial"/>
          <w:sz w:val="14"/>
          <w:szCs w:val="14"/>
          <w:color w:val="181717"/>
        </w:rPr>
        <w:t xml:space="preserve"> No </w:t>
      </w:r>
      <w:r>
        <w:rPr>
          <w:rFonts w:ascii="MS PGothic" w:cs="MS PGothic" w:eastAsia="MS PGothic" w:hAnsi="MS PGothic"/>
          <w:sz w:val="14"/>
          <w:szCs w:val="14"/>
          <w:color w:val="000000"/>
        </w:rPr>
        <w:t>☒</w:t>
      </w:r>
    </w:p>
    <w:p>
      <w:pPr>
        <w:spacing w:after="0" w:line="113" w:lineRule="exact"/>
        <w:rPr>
          <w:sz w:val="24"/>
          <w:szCs w:val="24"/>
          <w:color w:val="auto"/>
        </w:rPr>
      </w:pPr>
    </w:p>
    <w:p>
      <w:pPr>
        <w:ind w:right="580"/>
        <w:spacing w:after="0" w:line="305" w:lineRule="auto"/>
        <w:rPr>
          <w:sz w:val="20"/>
          <w:szCs w:val="20"/>
          <w:color w:val="auto"/>
        </w:rPr>
      </w:pPr>
      <w:r>
        <w:rPr>
          <w:rFonts w:ascii="Arial" w:cs="Arial" w:eastAsia="Arial" w:hAnsi="Arial"/>
          <w:sz w:val="14"/>
          <w:szCs w:val="14"/>
          <w:color w:val="181717"/>
        </w:rPr>
        <w:t xml:space="preserve">The registrant had 1,208,456,928 Class A Subordinate Voting Shares, 78,065,084 Class B Restricted Voting Shares and </w:t>
      </w:r>
      <w:r>
        <w:rPr>
          <w:rFonts w:ascii="Arial" w:cs="Arial" w:eastAsia="Arial" w:hAnsi="Arial"/>
          <w:sz w:val="14"/>
          <w:szCs w:val="14"/>
          <w:color w:val="000000"/>
        </w:rPr>
        <w:t>1</w:t>
      </w:r>
      <w:r>
        <w:rPr>
          <w:rFonts w:ascii="Arial" w:cs="Arial" w:eastAsia="Arial" w:hAnsi="Arial"/>
          <w:sz w:val="14"/>
          <w:szCs w:val="14"/>
          <w:color w:val="181717"/>
        </w:rPr>
        <w:t xml:space="preserve"> Founder Share issued and outstanding as of </w:t>
      </w:r>
      <w:r>
        <w:rPr>
          <w:rFonts w:ascii="Arial" w:cs="Arial" w:eastAsia="Arial" w:hAnsi="Arial"/>
          <w:sz w:val="14"/>
          <w:szCs w:val="14"/>
          <w:color w:val="000000"/>
        </w:rPr>
        <w:t>October 30, 2026</w:t>
      </w:r>
      <w:r>
        <w:rPr>
          <w:rFonts w:ascii="Arial" w:cs="Arial" w:eastAsia="Arial" w:hAnsi="Arial"/>
          <w:sz w:val="14"/>
          <w:szCs w:val="14"/>
          <w:color w:val="181717"/>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7"/>
              </w:rPr>
              <w:t>Page</w:t>
            </w:r>
          </w:p>
        </w:tc>
      </w:tr>
      <w:tr>
        <w:trPr>
          <w:trHeight w:val="128"/>
        </w:trPr>
        <w:tc>
          <w:tcPr>
            <w:tcW w:w="20" w:type="dxa"/>
            <w:vAlign w:val="bottom"/>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1: Financial Statements (unaudited)</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6</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44</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4: Controls and Procedures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347"/>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8"/>
        </w:trPr>
        <w:tc>
          <w:tcPr>
            <w:tcW w:w="20" w:type="dxa"/>
            <w:vAlign w:val="bottom"/>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1: Legal Proceedings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49</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1A: Risk Factors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49</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3: Defaults Upon Senior Securities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4: Mine Safety Disclosures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49</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Item 5: Other Information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Borders>
              <w:bottom w:val="single" w:sz="8" w:color="F7F7F7"/>
            </w:tcBorders>
            <w:shd w:val="clear" w:color="auto" w:fill="F7F7F7"/>
          </w:tcPr>
          <w:p>
            <w:pPr>
              <w:spacing w:after="0"/>
              <w:rPr>
                <w:sz w:val="21"/>
                <w:szCs w:val="21"/>
                <w:color w:val="auto"/>
              </w:rPr>
            </w:pPr>
          </w:p>
        </w:tc>
        <w:tc>
          <w:tcPr>
            <w:tcW w:w="10100" w:type="dxa"/>
            <w:vAlign w:val="bottom"/>
            <w:tcBorders>
              <w:bottom w:val="single" w:sz="8" w:color="F7F7F7"/>
            </w:tcBorders>
            <w:gridSpan w:val="3"/>
            <w:shd w:val="clear" w:color="auto" w:fill="F7F7F7"/>
          </w:tcPr>
          <w:p>
            <w:pPr>
              <w:ind w:left="220"/>
              <w:spacing w:after="0"/>
              <w:rPr>
                <w:sz w:val="20"/>
                <w:szCs w:val="20"/>
                <w:color w:val="auto"/>
              </w:rPr>
            </w:pPr>
            <w:r>
              <w:rPr>
                <w:rFonts w:ascii="Arial" w:cs="Arial" w:eastAsia="Arial" w:hAnsi="Arial"/>
                <w:sz w:val="18"/>
                <w:szCs w:val="18"/>
                <w:color w:val="auto"/>
              </w:rPr>
              <w:t>Item 6: Exhibits</w:t>
            </w:r>
          </w:p>
        </w:tc>
        <w:tc>
          <w:tcPr>
            <w:tcW w:w="1120" w:type="dxa"/>
            <w:vAlign w:val="bottom"/>
            <w:tcBorders>
              <w:bottom w:val="single" w:sz="8" w:color="F7F7F7"/>
            </w:tcBorders>
            <w:gridSpan w:val="2"/>
            <w:shd w:val="clear" w:color="auto" w:fill="F7F7F7"/>
          </w:tcPr>
          <w:p>
            <w:pPr>
              <w:jc w:val="right"/>
              <w:ind w:right="20"/>
              <w:spacing w:after="0"/>
              <w:rPr>
                <w:sz w:val="20"/>
                <w:szCs w:val="20"/>
                <w:color w:val="auto"/>
              </w:rPr>
            </w:pPr>
            <w:r>
              <w:rPr>
                <w:rFonts w:ascii="Arial" w:cs="Arial" w:eastAsia="Arial" w:hAnsi="Arial"/>
                <w:sz w:val="18"/>
                <w:szCs w:val="18"/>
                <w:color w:val="auto"/>
              </w:rPr>
              <w:t>51</w:t>
            </w:r>
          </w:p>
        </w:tc>
      </w:tr>
      <w:tr>
        <w:trPr>
          <w:trHeight w:val="247"/>
        </w:trPr>
        <w:tc>
          <w:tcPr>
            <w:tcW w:w="20" w:type="dxa"/>
            <w:vAlign w:val="bottom"/>
          </w:tcPr>
          <w:p>
            <w:pPr>
              <w:spacing w:after="0"/>
              <w:rPr>
                <w:sz w:val="21"/>
                <w:szCs w:val="21"/>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Signatures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1178"/>
        </w:trPr>
        <w:tc>
          <w:tcPr>
            <w:tcW w:w="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Quarterly Report on Form 10-Q contains forward-looking statements under the provisions of the United States ("U.S.") Private Securities Litigation Reform Act of 1995, Section 27A of the U.S. Securities Act of 1933 (as amended, the "Securities Act"), Section 21E of the U.S. Securities Exchange Act of 1934 (as amended, the "Exchange Act") and forward-looking information within the meaning of applicable Canadian securities legislation.</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some cases, you can identify forward-looking statements by terminology such as "enable", "may", "might", "will", "should", "could", "expects", "focused on", "intends", "plans", "anticipates", "believes", "predicts", "potential", "continue", "become", "seek", "strive" or the negative of these terms or other similar words. Any forward-looking statements are based on our management’s perception of historic trends, current conditions and expected future developments, as well as other assumptions that management believes are appropriate in the circumstances. In addition, any statements or information that refer to expectations, beliefs, plans, projections, objectives, performance or other characterizations of future events or circumstances, including any underlying assumptions, are forward-looking. In particular, forward-looking statements include, but are not limited to, statements about:</w:t>
      </w:r>
    </w:p>
    <w:p>
      <w:pPr>
        <w:spacing w:after="0" w:line="88" w:lineRule="exact"/>
        <w:rPr>
          <w:sz w:val="20"/>
          <w:szCs w:val="20"/>
          <w:color w:val="auto"/>
        </w:rPr>
      </w:pPr>
    </w:p>
    <w:p>
      <w:pPr>
        <w:jc w:val="both"/>
        <w:ind w:left="820" w:hanging="326"/>
        <w:spacing w:after="0" w:line="255"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grow and retain our merchant base; localize features; offer more sales channels that can connect to our platform; increase and extend the functionality of our platform; catalyze merchants' sales growth; leverage emerging technologies, including artificial intelligence ("AI"); enhance our ecosystem and partner programs; provide a high level of merchant service; hire key talent and retain and motivate qualified personnel; and maximize long-term value;</w:t>
      </w:r>
    </w:p>
    <w:p>
      <w:pPr>
        <w:spacing w:after="0" w:line="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and solutions enabling and increasing the probability of merchant success;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future macroeconomic conditions and their impact on Shopify and our merchants, including with regard to inflationary pressures, international trade risks and trade protection measures, including tariffs, trade wars, barriers and restrictions, or threats of such actions and related uncertainty;</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impact of seasonality on our current and future business;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fluctuations in foreign currencies;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grow our addressable markets and meet merchant needs;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invest in data analytics, machine learning and AI;</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of emerging technologies, including AI, and applications of these technologies to our business;</w:t>
      </w:r>
    </w:p>
    <w:p>
      <w:pPr>
        <w:ind w:left="820" w:right="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regarding future growth and investments to drive future growth, the impact of those investments and our ability to manage such growth effectively;</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further tailor our sales strategies to attract large volume brands;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platform's capabilities;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ecosystem and partner program, including through the formation of strategic partnerships;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quickly distribute new versions of our platform;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sustainability initiatives;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assumptions regarding competitive factors in our markets and the expectation of increased competition;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continuously enhance, protect and safeguard our intellectual property;</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cybersecurity attacks in the future and future efforts to harden our infrastructure to build resilience in the face of such threats;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legislation and government regulation and the impact on our platform;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strategic decisions on short-term revenue or profitability;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devote additional resources to improve our operational infrastructure and continue to enhance its scalability;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revenue, gross margin, operating expenses and cash flows;</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risks, including foreign currency exchange risk and interest rate risk, and the effectiveness of our hedging activities;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liquidity position;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expansion of our platform and offerings internationally;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corporate culture as we execute with a remote-first global workforce;</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adoption of our platform and solutions by Shopify Plus merchants and enterprise-level businesses;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the growth of our business will depend in part on the success of our relationships with third parties;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pursue additional third-party relationships;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future investment in the business, including with respect to key talent, sales and marketing, research and development, the creation and implementation of new products and services, the functionality of our platform, merchant service and support, security and operational requirements, our network infrastructure, acquisitions and the expansion of our international operations;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optimize marketing spend and successfully sell to and support enterprise merchants in order to drive growth;</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Flex Comp compensation system in attracting, motivating and retaining qualified personnel;</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as our consumer-facing offerings evolve and grow in popularity, the risk of additional laws and regulations impacting our business will also increase;</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continue our use and development of open source software;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acquisitions, divestitures and investments;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synergies and other benefits from acquisitions, including from the integration of acquired technology;</w:t>
      </w:r>
    </w:p>
    <w:p>
      <w:pPr>
        <w:spacing w:after="0" w:line="9" w:lineRule="exact"/>
        <w:rPr>
          <w:rFonts w:ascii="Arial" w:cs="Arial" w:eastAsia="Arial" w:hAnsi="Arial"/>
          <w:sz w:val="18"/>
          <w:szCs w:val="18"/>
          <w:color w:val="auto"/>
        </w:rPr>
      </w:pPr>
    </w:p>
    <w:p>
      <w:pPr>
        <w:ind w:left="820" w:hanging="326"/>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exploration, expansion and evolution of other products, models, structures and additional markets for our lending and financing products;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changes in our pricing models;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we will not pay any cash dividends in the foreseeable future;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adoption and impact of new accounting standards;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of Class B restricted voting shares and preferred shares;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the Founder Share;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invest our future earnings, if any, to fund our growth;</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tax positions and our expectations about defending them with global tax authorities;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adapting our current facilities.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Factors that may cause actual results to differ materially from current expectations may include, but are not limited to, risks and uncertainties that are discussed in greater detail in Part I — Item 1A "Risk Factors" of the Company’s Annual Report on Form 10-K for the year ended December 31, 2025 (the "2025 Form 10-K"), as well as in our condensed consolidated financial statements, related notes, and the other information appearing elsewhere in this report and our other filings with the Securities and Exchange Commission ("SEC").</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No forward-looking statement is a guarantee of future results. These statements are inherently uncertain and investors are cautioned not to unduly rely upon these statements. You should read this Quarterly Report on Form 10-Q and the documents that we reference in this Quarterly Report on Form 10-Q completely and with the understanding that our actual future results may be materially different from any future results expressed or implied by these forward-looking statements.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forward-looking statements in this Quarterly Report on Form 10-Q represent our views as at the date of this Quarterly Report on Form 10-Q. We anticipate that subsequent events and developments may cause our views to change. However, while we may elect to update these forward-looking statements at some point in the future, we have no current intention of doing so except to the extent required by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applicable law. Therefore, these forward-looking statements do not represent our views as of any date other than the date of this Quarterly Report on Form 10-Q.</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92"/>
        </w:trPr>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Index</w:t>
            </w:r>
          </w:p>
        </w:tc>
        <w:tc>
          <w:tcPr>
            <w:tcW w:w="4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68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r>
      <w:tr>
        <w:trPr>
          <w:trHeight w:val="283"/>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r>
      <w:tr>
        <w:trPr>
          <w:trHeight w:val="283"/>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r>
      <w:tr>
        <w:trPr>
          <w:trHeight w:val="283"/>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w:t>
            </w:r>
          </w:p>
        </w:tc>
      </w:tr>
      <w:tr>
        <w:trPr>
          <w:trHeight w:val="283"/>
        </w:trPr>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Notes to the Condensed Consolidated Financial Statements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r>
      <w:tr>
        <w:trPr>
          <w:trHeight w:val="276"/>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Nature of Business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Basis of Presentation and Consolidation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Significant Accounting Policies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Financial Instruments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Trade and Other Receivables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Loans and Merchant Cash Advances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Deferred Revenue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Credit Facility</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Contingencies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70"/>
        </w:trPr>
        <w:tc>
          <w:tcPr>
            <w:tcW w:w="540" w:type="dxa"/>
            <w:vAlign w:val="bottom"/>
            <w:gridSpan w:val="3"/>
          </w:tcPr>
          <w:p>
            <w:pPr>
              <w:ind w:left="240"/>
              <w:spacing w:after="0"/>
              <w:rPr>
                <w:sz w:val="20"/>
                <w:szCs w:val="20"/>
                <w:color w:val="auto"/>
              </w:rPr>
            </w:pPr>
            <w:r>
              <w:rPr>
                <w:rFonts w:ascii="Arial" w:cs="Arial" w:eastAsia="Arial" w:hAnsi="Arial"/>
                <w:sz w:val="18"/>
                <w:szCs w:val="18"/>
                <w:color w:val="auto"/>
              </w:rPr>
              <w:t>10.</w:t>
            </w:r>
          </w:p>
        </w:tc>
        <w:tc>
          <w:tcPr>
            <w:tcW w:w="958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70"/>
        </w:trPr>
        <w:tc>
          <w:tcPr>
            <w:tcW w:w="500" w:type="dxa"/>
            <w:vAlign w:val="bottom"/>
            <w:gridSpan w:val="2"/>
          </w:tcPr>
          <w:p>
            <w:pPr>
              <w:ind w:left="240"/>
              <w:spacing w:after="0"/>
              <w:rPr>
                <w:sz w:val="20"/>
                <w:szCs w:val="20"/>
                <w:color w:val="auto"/>
              </w:rPr>
            </w:pPr>
            <w:r>
              <w:rPr>
                <w:rFonts w:ascii="Arial" w:cs="Arial" w:eastAsia="Arial" w:hAnsi="Arial"/>
                <w:sz w:val="18"/>
                <w:szCs w:val="18"/>
                <w:color w:val="auto"/>
                <w:w w:val="95"/>
              </w:rPr>
              <w:t>11.</w:t>
            </w:r>
          </w:p>
        </w:tc>
        <w:tc>
          <w:tcPr>
            <w:tcW w:w="40" w:type="dxa"/>
            <w:vAlign w:val="bottom"/>
          </w:tcPr>
          <w:p>
            <w:pPr>
              <w:spacing w:after="0"/>
              <w:rPr>
                <w:sz w:val="23"/>
                <w:szCs w:val="23"/>
                <w:color w:val="auto"/>
              </w:rPr>
            </w:pPr>
          </w:p>
        </w:tc>
        <w:tc>
          <w:tcPr>
            <w:tcW w:w="9580" w:type="dxa"/>
            <w:vAlign w:val="bottom"/>
          </w:tcPr>
          <w:p>
            <w:pPr>
              <w:ind w:left="140"/>
              <w:spacing w:after="0"/>
              <w:rPr>
                <w:sz w:val="20"/>
                <w:szCs w:val="20"/>
                <w:color w:val="auto"/>
              </w:rPr>
            </w:pPr>
            <w:r>
              <w:rPr>
                <w:rFonts w:ascii="Arial" w:cs="Arial" w:eastAsia="Arial" w:hAnsi="Arial"/>
                <w:sz w:val="18"/>
                <w:szCs w:val="18"/>
                <w:color w:val="auto"/>
              </w:rPr>
              <w:t>Shareholders’ Equity</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70"/>
        </w:trPr>
        <w:tc>
          <w:tcPr>
            <w:tcW w:w="20" w:type="dxa"/>
            <w:vAlign w:val="bottom"/>
          </w:tcPr>
          <w:p>
            <w:pPr>
              <w:spacing w:after="0"/>
              <w:rPr>
                <w:sz w:val="23"/>
                <w:szCs w:val="23"/>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12.  Changes in Accumulated Other Comprehensive (Loss) Income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70"/>
        </w:trPr>
        <w:tc>
          <w:tcPr>
            <w:tcW w:w="540" w:type="dxa"/>
            <w:vAlign w:val="bottom"/>
            <w:gridSpan w:val="3"/>
          </w:tcPr>
          <w:p>
            <w:pPr>
              <w:ind w:left="240"/>
              <w:spacing w:after="0"/>
              <w:rPr>
                <w:sz w:val="20"/>
                <w:szCs w:val="20"/>
                <w:color w:val="auto"/>
              </w:rPr>
            </w:pPr>
            <w:r>
              <w:rPr>
                <w:rFonts w:ascii="Arial" w:cs="Arial" w:eastAsia="Arial" w:hAnsi="Arial"/>
                <w:sz w:val="18"/>
                <w:szCs w:val="18"/>
                <w:color w:val="auto"/>
              </w:rPr>
              <w:t>13.</w:t>
            </w:r>
          </w:p>
        </w:tc>
        <w:tc>
          <w:tcPr>
            <w:tcW w:w="95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70"/>
        </w:trPr>
        <w:tc>
          <w:tcPr>
            <w:tcW w:w="20" w:type="dxa"/>
            <w:vAlign w:val="bottom"/>
          </w:tcPr>
          <w:p>
            <w:pPr>
              <w:spacing w:after="0"/>
              <w:rPr>
                <w:sz w:val="23"/>
                <w:szCs w:val="23"/>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14.  Net Income per Share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70"/>
        </w:trPr>
        <w:tc>
          <w:tcPr>
            <w:tcW w:w="20" w:type="dxa"/>
            <w:vAlign w:val="bottom"/>
          </w:tcPr>
          <w:p>
            <w:pPr>
              <w:spacing w:after="0"/>
              <w:rPr>
                <w:sz w:val="23"/>
                <w:szCs w:val="23"/>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15.  Segment and Geographical Information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89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tcPr>
          <w:p>
            <w:pPr>
              <w:ind w:left="504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6"/>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(Expressed in US $ millions, except share amounts)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9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September 30, 2026</w:t>
            </w:r>
          </w:p>
        </w:tc>
        <w:tc>
          <w:tcPr>
            <w:tcW w:w="2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23"/>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b w:val="1"/>
                <w:bCs w:val="1"/>
                <w:color w:val="auto"/>
              </w:rPr>
              <w:t>Current assets</w:t>
            </w:r>
          </w:p>
        </w:tc>
        <w:tc>
          <w:tcPr>
            <w:tcW w:w="2160" w:type="dxa"/>
            <w:vAlign w:val="bottom"/>
            <w:shd w:val="clear" w:color="auto" w:fill="F7F7F7"/>
          </w:tcPr>
          <w:p>
            <w:pPr>
              <w:spacing w:after="0"/>
              <w:rPr>
                <w:sz w:val="19"/>
                <w:szCs w:val="19"/>
                <w:color w:val="auto"/>
              </w:rPr>
            </w:pPr>
          </w:p>
        </w:tc>
        <w:tc>
          <w:tcPr>
            <w:tcW w:w="204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8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1,868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31"/>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Marketable securities</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2,859</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28"/>
        </w:trPr>
        <w:tc>
          <w:tcPr>
            <w:tcW w:w="6980" w:type="dxa"/>
            <w:vAlign w:val="bottom"/>
          </w:tcPr>
          <w:p>
            <w:pPr>
              <w:ind w:left="340"/>
              <w:spacing w:after="0"/>
              <w:rPr>
                <w:sz w:val="20"/>
                <w:szCs w:val="20"/>
                <w:color w:val="auto"/>
              </w:rPr>
            </w:pPr>
            <w:r>
              <w:rPr>
                <w:rFonts w:ascii="Arial" w:cs="Arial" w:eastAsia="Arial" w:hAnsi="Arial"/>
                <w:sz w:val="16"/>
                <w:szCs w:val="16"/>
                <w:color w:val="auto"/>
              </w:rPr>
              <w:t>Trade and other receivables, net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483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0"/>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Loans and merchant cash advances,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2,350</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28"/>
        </w:trPr>
        <w:tc>
          <w:tcPr>
            <w:tcW w:w="6980" w:type="dxa"/>
            <w:vAlign w:val="bottom"/>
            <w:tcBorders>
              <w:bottom w:val="single" w:sz="8" w:color="F7F7F7"/>
            </w:tcBorders>
          </w:tcPr>
          <w:p>
            <w:pPr>
              <w:ind w:left="340"/>
              <w:spacing w:after="0"/>
              <w:rPr>
                <w:sz w:val="20"/>
                <w:szCs w:val="20"/>
                <w:color w:val="auto"/>
              </w:rPr>
            </w:pPr>
            <w:r>
              <w:rPr>
                <w:rFonts w:ascii="Arial" w:cs="Arial" w:eastAsia="Arial" w:hAnsi="Arial"/>
                <w:sz w:val="16"/>
                <w:szCs w:val="16"/>
                <w:color w:val="auto"/>
              </w:rPr>
              <w:t>Other current assets</w:t>
            </w: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226</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24"/>
        </w:trPr>
        <w:tc>
          <w:tcPr>
            <w:tcW w:w="6980" w:type="dxa"/>
            <w:vAlign w:val="bottom"/>
            <w:shd w:val="clear" w:color="auto" w:fill="F7F7F7"/>
          </w:tcPr>
          <w:p>
            <w:pPr>
              <w:spacing w:after="0"/>
              <w:rPr>
                <w:sz w:val="19"/>
                <w:szCs w:val="19"/>
                <w:color w:val="auto"/>
              </w:rPr>
            </w:pP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7,786</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10"/>
        </w:trPr>
        <w:tc>
          <w:tcPr>
            <w:tcW w:w="6980" w:type="dxa"/>
            <w:vAlign w:val="bottom"/>
          </w:tcPr>
          <w:p>
            <w:pPr>
              <w:ind w:left="340"/>
              <w:spacing w:after="0"/>
              <w:rPr>
                <w:sz w:val="20"/>
                <w:szCs w:val="20"/>
                <w:color w:val="auto"/>
              </w:rPr>
            </w:pPr>
            <w:r>
              <w:rPr>
                <w:rFonts w:ascii="Arial" w:cs="Arial" w:eastAsia="Arial" w:hAnsi="Arial"/>
                <w:sz w:val="16"/>
                <w:szCs w:val="16"/>
                <w:b w:val="1"/>
                <w:bCs w:val="1"/>
                <w:color w:val="auto"/>
              </w:rPr>
              <w:t>Long-term assets</w:t>
            </w: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Property and equipment,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50</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8"/>
        </w:trPr>
        <w:tc>
          <w:tcPr>
            <w:tcW w:w="6980" w:type="dxa"/>
            <w:vAlign w:val="bottom"/>
          </w:tcPr>
          <w:p>
            <w:pPr>
              <w:ind w:left="340"/>
              <w:spacing w:after="0"/>
              <w:rPr>
                <w:sz w:val="20"/>
                <w:szCs w:val="20"/>
                <w:color w:val="auto"/>
              </w:rPr>
            </w:pPr>
            <w:r>
              <w:rPr>
                <w:rFonts w:ascii="Arial" w:cs="Arial" w:eastAsia="Arial" w:hAnsi="Arial"/>
                <w:sz w:val="16"/>
                <w:szCs w:val="16"/>
                <w:color w:val="auto"/>
              </w:rPr>
              <w:t>Operating lease right-of-use assets, net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102</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1"/>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Intangible assets, net</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125</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8"/>
        </w:trPr>
        <w:tc>
          <w:tcPr>
            <w:tcW w:w="6980" w:type="dxa"/>
            <w:vAlign w:val="bottom"/>
          </w:tcPr>
          <w:p>
            <w:pPr>
              <w:ind w:left="340"/>
              <w:spacing w:after="0"/>
              <w:rPr>
                <w:sz w:val="20"/>
                <w:szCs w:val="20"/>
                <w:color w:val="auto"/>
              </w:rPr>
            </w:pPr>
            <w:r>
              <w:rPr>
                <w:rFonts w:ascii="Arial" w:cs="Arial" w:eastAsia="Arial" w:hAnsi="Arial"/>
                <w:sz w:val="16"/>
                <w:szCs w:val="16"/>
                <w:color w:val="auto"/>
              </w:rPr>
              <w:t>Deferred tax assets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83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1"/>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Other long-term assets</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50</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8"/>
        </w:trPr>
        <w:tc>
          <w:tcPr>
            <w:tcW w:w="6980" w:type="dxa"/>
            <w:vAlign w:val="bottom"/>
          </w:tcPr>
          <w:p>
            <w:pPr>
              <w:ind w:left="340"/>
              <w:spacing w:after="0"/>
              <w:rPr>
                <w:sz w:val="20"/>
                <w:szCs w:val="20"/>
                <w:color w:val="auto"/>
              </w:rPr>
            </w:pPr>
            <w:r>
              <w:rPr>
                <w:rFonts w:ascii="Arial" w:cs="Arial" w:eastAsia="Arial" w:hAnsi="Arial"/>
                <w:sz w:val="16"/>
                <w:szCs w:val="16"/>
                <w:color w:val="auto"/>
              </w:rPr>
              <w:t>Long-term investments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524</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31"/>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Equity and other investments ($3,205 and $3,619, carried at fair value)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4,911</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Arial" w:cs="Arial" w:eastAsia="Arial" w:hAnsi="Arial"/>
                <w:sz w:val="16"/>
                <w:szCs w:val="16"/>
                <w:color w:val="auto"/>
              </w:rPr>
              <w:t>Equity method investment</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538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29"/>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Goodwill</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495</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F7F7F7"/>
            </w:tcBorders>
          </w:tcPr>
          <w:p>
            <w:pPr>
              <w:spacing w:after="0"/>
              <w:rPr>
                <w:sz w:val="19"/>
                <w:szCs w:val="19"/>
                <w:color w:val="auto"/>
              </w:rPr>
            </w:pP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6,878</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6"/>
                <w:szCs w:val="16"/>
                <w:b w:val="1"/>
                <w:bCs w:val="1"/>
                <w:color w:val="auto"/>
              </w:rPr>
              <w:t>Total assets</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b w:val="1"/>
                <w:bCs w:val="1"/>
                <w:color w:val="auto"/>
              </w:rPr>
              <w:t>14,664</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15,189</w:t>
            </w:r>
          </w:p>
        </w:tc>
        <w:tc>
          <w:tcPr>
            <w:tcW w:w="0" w:type="dxa"/>
            <w:vAlign w:val="bottom"/>
          </w:tcPr>
          <w:p>
            <w:pPr>
              <w:spacing w:after="0"/>
              <w:rPr>
                <w:sz w:val="1"/>
                <w:szCs w:val="1"/>
                <w:color w:val="auto"/>
              </w:rPr>
            </w:pPr>
          </w:p>
        </w:tc>
      </w:tr>
      <w:tr>
        <w:trPr>
          <w:trHeight w:val="223"/>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Liabilities and shareholders’ equity</w:t>
            </w:r>
          </w:p>
        </w:tc>
        <w:tc>
          <w:tcPr>
            <w:tcW w:w="2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b w:val="1"/>
                <w:bCs w:val="1"/>
                <w:color w:val="auto"/>
              </w:rPr>
              <w:t>Current liabilities</w:t>
            </w:r>
          </w:p>
        </w:tc>
        <w:tc>
          <w:tcPr>
            <w:tcW w:w="2160" w:type="dxa"/>
            <w:vAlign w:val="bottom"/>
            <w:shd w:val="clear" w:color="auto" w:fill="F7F7F7"/>
          </w:tcPr>
          <w:p>
            <w:pPr>
              <w:spacing w:after="0"/>
              <w:rPr>
                <w:sz w:val="19"/>
                <w:szCs w:val="19"/>
                <w:color w:val="auto"/>
              </w:rPr>
            </w:pPr>
          </w:p>
        </w:tc>
        <w:tc>
          <w:tcPr>
            <w:tcW w:w="204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1,250</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0"/>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revenue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345</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8"/>
        </w:trPr>
        <w:tc>
          <w:tcPr>
            <w:tcW w:w="6980" w:type="dxa"/>
            <w:vAlign w:val="bottom"/>
            <w:tcBorders>
              <w:bottom w:val="single" w:sz="8" w:color="F7F7F7"/>
            </w:tcBorders>
          </w:tcPr>
          <w:p>
            <w:pPr>
              <w:ind w:left="340"/>
              <w:spacing w:after="0"/>
              <w:rPr>
                <w:sz w:val="20"/>
                <w:szCs w:val="20"/>
                <w:color w:val="auto"/>
              </w:rPr>
            </w:pPr>
            <w:r>
              <w:rPr>
                <w:rFonts w:ascii="Arial" w:cs="Arial" w:eastAsia="Arial" w:hAnsi="Arial"/>
                <w:sz w:val="16"/>
                <w:szCs w:val="16"/>
                <w:color w:val="auto"/>
              </w:rPr>
              <w:t>Operating lease liabilities</w:t>
            </w: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6980" w:type="dxa"/>
            <w:vAlign w:val="bottom"/>
            <w:shd w:val="clear" w:color="auto" w:fill="F7F7F7"/>
          </w:tcPr>
          <w:p>
            <w:pPr>
              <w:spacing w:after="0"/>
              <w:rPr>
                <w:sz w:val="19"/>
                <w:szCs w:val="19"/>
                <w:color w:val="auto"/>
              </w:rPr>
            </w:pP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1,602</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10"/>
        </w:trPr>
        <w:tc>
          <w:tcPr>
            <w:tcW w:w="6980" w:type="dxa"/>
            <w:vAlign w:val="bottom"/>
          </w:tcPr>
          <w:p>
            <w:pPr>
              <w:ind w:left="340"/>
              <w:spacing w:after="0"/>
              <w:rPr>
                <w:sz w:val="20"/>
                <w:szCs w:val="20"/>
                <w:color w:val="auto"/>
              </w:rPr>
            </w:pPr>
            <w:r>
              <w:rPr>
                <w:rFonts w:ascii="Arial" w:cs="Arial" w:eastAsia="Arial" w:hAnsi="Arial"/>
                <w:sz w:val="16"/>
                <w:szCs w:val="16"/>
                <w:b w:val="1"/>
                <w:bCs w:val="1"/>
                <w:color w:val="auto"/>
              </w:rPr>
              <w:t>Long-term liabilities</w:t>
            </w: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revenue</w:t>
            </w:r>
          </w:p>
        </w:tc>
        <w:tc>
          <w:tcPr>
            <w:tcW w:w="216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69</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181</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29"/>
        </w:trPr>
        <w:tc>
          <w:tcPr>
            <w:tcW w:w="6980" w:type="dxa"/>
            <w:vAlign w:val="bottom"/>
            <w:shd w:val="clear" w:color="auto" w:fill="F7F7F7"/>
          </w:tcPr>
          <w:p>
            <w:pPr>
              <w:ind w:left="340"/>
              <w:spacing w:after="0"/>
              <w:rPr>
                <w:sz w:val="20"/>
                <w:szCs w:val="20"/>
                <w:color w:val="auto"/>
              </w:rPr>
            </w:pPr>
            <w:r>
              <w:rPr>
                <w:rFonts w:ascii="Arial" w:cs="Arial" w:eastAsia="Arial" w:hAnsi="Arial"/>
                <w:sz w:val="16"/>
                <w:szCs w:val="16"/>
                <w:color w:val="auto"/>
              </w:rPr>
              <w:t>Deferred tax liabilities</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63</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F7F7F7"/>
            </w:tcBorders>
          </w:tcPr>
          <w:p>
            <w:pPr>
              <w:spacing w:after="0"/>
              <w:rPr>
                <w:sz w:val="19"/>
                <w:szCs w:val="19"/>
                <w:color w:val="auto"/>
              </w:rPr>
            </w:pP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313</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shd w:val="clear" w:color="auto" w:fill="F7F7F7"/>
          </w:tcPr>
          <w:p>
            <w:pPr>
              <w:ind w:left="340"/>
              <w:spacing w:after="0"/>
              <w:rPr>
                <w:sz w:val="20"/>
                <w:szCs w:val="20"/>
                <w:color w:val="auto"/>
              </w:rPr>
            </w:pPr>
            <w:r>
              <w:rPr>
                <w:rFonts w:ascii="Arial" w:cs="Arial" w:eastAsia="Arial" w:hAnsi="Arial"/>
                <w:sz w:val="16"/>
                <w:szCs w:val="16"/>
                <w:b w:val="1"/>
                <w:bCs w:val="1"/>
                <w:color w:val="auto"/>
              </w:rPr>
              <w:t>Contingencies (Note 9)</w:t>
            </w:r>
          </w:p>
        </w:tc>
        <w:tc>
          <w:tcPr>
            <w:tcW w:w="2160" w:type="dxa"/>
            <w:vAlign w:val="bottom"/>
            <w:tcBorders>
              <w:bottom w:val="single" w:sz="8" w:color="auto"/>
            </w:tcBorders>
            <w:shd w:val="clear" w:color="auto" w:fill="F7F7F7"/>
          </w:tcPr>
          <w:p>
            <w:pPr>
              <w:spacing w:after="0"/>
              <w:rPr>
                <w:sz w:val="18"/>
                <w:szCs w:val="18"/>
                <w:color w:val="auto"/>
              </w:rPr>
            </w:pPr>
          </w:p>
        </w:tc>
        <w:tc>
          <w:tcPr>
            <w:tcW w:w="2040" w:type="dxa"/>
            <w:vAlign w:val="bottom"/>
            <w:tcBorders>
              <w:bottom w:val="single" w:sz="8" w:color="auto"/>
            </w:tcBorders>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Shareholders’ equity</w:t>
            </w:r>
          </w:p>
        </w:tc>
        <w:tc>
          <w:tcPr>
            <w:tcW w:w="2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80" w:type="dxa"/>
            <w:vAlign w:val="bottom"/>
            <w:shd w:val="clear" w:color="auto" w:fill="F7F7F7"/>
          </w:tcPr>
          <w:p>
            <w:pPr>
              <w:ind w:left="420"/>
              <w:spacing w:after="0" w:line="175" w:lineRule="exact"/>
              <w:rPr>
                <w:sz w:val="20"/>
                <w:szCs w:val="20"/>
                <w:color w:val="auto"/>
              </w:rPr>
            </w:pPr>
            <w:r>
              <w:rPr>
                <w:rFonts w:ascii="Arial" w:cs="Arial" w:eastAsia="Arial" w:hAnsi="Arial"/>
                <w:sz w:val="16"/>
                <w:szCs w:val="16"/>
                <w:color w:val="auto"/>
              </w:rPr>
              <w:t>Common stock, unlimited Class A subordinate voting shares authorized, 1,208,317,826</w:t>
            </w:r>
          </w:p>
        </w:tc>
        <w:tc>
          <w:tcPr>
            <w:tcW w:w="2160" w:type="dxa"/>
            <w:vAlign w:val="bottom"/>
            <w:shd w:val="clear" w:color="auto" w:fill="F7F7F7"/>
          </w:tcPr>
          <w:p>
            <w:pPr>
              <w:spacing w:after="0"/>
              <w:rPr>
                <w:sz w:val="15"/>
                <w:szCs w:val="15"/>
                <w:color w:val="auto"/>
              </w:rPr>
            </w:pPr>
          </w:p>
        </w:tc>
        <w:tc>
          <w:tcPr>
            <w:tcW w:w="2040" w:type="dxa"/>
            <w:vAlign w:val="bottom"/>
            <w:shd w:val="clear" w:color="auto" w:fill="F7F7F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F7F7F7"/>
          </w:tcPr>
          <w:p>
            <w:pPr>
              <w:ind w:left="420"/>
              <w:spacing w:after="0" w:line="162" w:lineRule="exact"/>
              <w:rPr>
                <w:sz w:val="20"/>
                <w:szCs w:val="20"/>
                <w:color w:val="auto"/>
              </w:rPr>
            </w:pPr>
            <w:r>
              <w:rPr>
                <w:rFonts w:ascii="Arial" w:cs="Arial" w:eastAsia="Arial" w:hAnsi="Arial"/>
                <w:sz w:val="16"/>
                <w:szCs w:val="16"/>
                <w:color w:val="auto"/>
              </w:rPr>
              <w:t>and 1,225,830,706, issued and outstanding; unlimited Class B restricted voting shares</w:t>
            </w:r>
          </w:p>
        </w:tc>
        <w:tc>
          <w:tcPr>
            <w:tcW w:w="2160" w:type="dxa"/>
            <w:vAlign w:val="bottom"/>
            <w:shd w:val="clear" w:color="auto" w:fill="F7F7F7"/>
          </w:tcPr>
          <w:p>
            <w:pPr>
              <w:spacing w:after="0"/>
              <w:rPr>
                <w:sz w:val="14"/>
                <w:szCs w:val="14"/>
                <w:color w:val="auto"/>
              </w:rPr>
            </w:pPr>
          </w:p>
        </w:tc>
        <w:tc>
          <w:tcPr>
            <w:tcW w:w="204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F7F7F7"/>
          </w:tcPr>
          <w:p>
            <w:pPr>
              <w:ind w:left="420"/>
              <w:spacing w:after="0" w:line="162" w:lineRule="exact"/>
              <w:rPr>
                <w:sz w:val="20"/>
                <w:szCs w:val="20"/>
                <w:color w:val="auto"/>
              </w:rPr>
            </w:pPr>
            <w:r>
              <w:rPr>
                <w:rFonts w:ascii="Arial" w:cs="Arial" w:eastAsia="Arial" w:hAnsi="Arial"/>
                <w:sz w:val="16"/>
                <w:szCs w:val="16"/>
                <w:color w:val="auto"/>
              </w:rPr>
              <w:t>authorized, 78,065,084 and 78,073,594 issued and outstanding; 1 Founder Share</w:t>
            </w:r>
          </w:p>
        </w:tc>
        <w:tc>
          <w:tcPr>
            <w:tcW w:w="2160" w:type="dxa"/>
            <w:vAlign w:val="bottom"/>
            <w:vMerge w:val="restart"/>
            <w:shd w:val="clear" w:color="auto" w:fill="F7F7F7"/>
          </w:tcPr>
          <w:p>
            <w:pPr>
              <w:jc w:val="right"/>
              <w:ind w:right="219"/>
              <w:spacing w:after="0"/>
              <w:rPr>
                <w:sz w:val="20"/>
                <w:szCs w:val="20"/>
                <w:color w:val="auto"/>
              </w:rPr>
            </w:pPr>
            <w:r>
              <w:rPr>
                <w:rFonts w:ascii="Arial" w:cs="Arial" w:eastAsia="Arial" w:hAnsi="Arial"/>
                <w:sz w:val="16"/>
                <w:szCs w:val="16"/>
                <w:color w:val="auto"/>
              </w:rPr>
              <w:t>8,219</w:t>
            </w:r>
          </w:p>
        </w:tc>
        <w:tc>
          <w:tcPr>
            <w:tcW w:w="2040" w:type="dxa"/>
            <w:vAlign w:val="bottom"/>
            <w:vMerge w:val="restart"/>
            <w:shd w:val="clear" w:color="auto" w:fill="F7F7F7"/>
          </w:tcPr>
          <w:p>
            <w:pPr>
              <w:jc w:val="right"/>
              <w:ind w:right="79"/>
              <w:spacing w:after="0"/>
              <w:rPr>
                <w:sz w:val="20"/>
                <w:szCs w:val="20"/>
                <w:color w:val="auto"/>
              </w:rPr>
            </w:pPr>
            <w:r>
              <w:rPr>
                <w:rFonts w:ascii="Arial" w:cs="Arial" w:eastAsia="Arial" w:hAnsi="Arial"/>
                <w:sz w:val="16"/>
                <w:szCs w:val="16"/>
                <w:color w:val="auto"/>
              </w:rPr>
              <w:t>10,376</w:t>
            </w:r>
          </w:p>
        </w:tc>
        <w:tc>
          <w:tcPr>
            <w:tcW w:w="0" w:type="dxa"/>
            <w:vAlign w:val="bottom"/>
          </w:tcPr>
          <w:p>
            <w:pPr>
              <w:spacing w:after="0"/>
              <w:rPr>
                <w:sz w:val="1"/>
                <w:szCs w:val="1"/>
                <w:color w:val="auto"/>
              </w:rPr>
            </w:pPr>
          </w:p>
        </w:tc>
      </w:tr>
      <w:tr>
        <w:trPr>
          <w:trHeight w:val="216"/>
        </w:trPr>
        <w:tc>
          <w:tcPr>
            <w:tcW w:w="6980" w:type="dxa"/>
            <w:vAlign w:val="bottom"/>
            <w:shd w:val="clear" w:color="auto" w:fill="F7F7F7"/>
          </w:tcPr>
          <w:p>
            <w:pPr>
              <w:ind w:left="420"/>
              <w:spacing w:after="0"/>
              <w:rPr>
                <w:sz w:val="20"/>
                <w:szCs w:val="20"/>
                <w:color w:val="auto"/>
              </w:rPr>
            </w:pPr>
            <w:r>
              <w:rPr>
                <w:rFonts w:ascii="Arial" w:cs="Arial" w:eastAsia="Arial" w:hAnsi="Arial"/>
                <w:sz w:val="16"/>
                <w:szCs w:val="16"/>
                <w:color w:val="auto"/>
              </w:rPr>
              <w:t>authorized, 1 and 1 issued and outstanding</w:t>
            </w:r>
          </w:p>
        </w:tc>
        <w:tc>
          <w:tcPr>
            <w:tcW w:w="2160" w:type="dxa"/>
            <w:vAlign w:val="bottom"/>
            <w:vMerge w:val="continue"/>
            <w:shd w:val="clear" w:color="auto" w:fill="F7F7F7"/>
          </w:tcPr>
          <w:p>
            <w:pPr>
              <w:spacing w:after="0"/>
              <w:rPr>
                <w:sz w:val="18"/>
                <w:szCs w:val="18"/>
                <w:color w:val="auto"/>
              </w:rPr>
            </w:pPr>
          </w:p>
        </w:tc>
        <w:tc>
          <w:tcPr>
            <w:tcW w:w="204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293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0"/>
        </w:trPr>
        <w:tc>
          <w:tcPr>
            <w:tcW w:w="69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Accumulated other comprehensive (loss) income</w:t>
            </w:r>
          </w:p>
        </w:tc>
        <w:tc>
          <w:tcPr>
            <w:tcW w:w="2160" w:type="dxa"/>
            <w:vAlign w:val="bottom"/>
            <w:shd w:val="clear" w:color="auto" w:fill="F7F7F7"/>
          </w:tcPr>
          <w:p>
            <w:pPr>
              <w:jc w:val="right"/>
              <w:ind w:right="199"/>
              <w:spacing w:after="0"/>
              <w:rPr>
                <w:sz w:val="20"/>
                <w:szCs w:val="20"/>
                <w:color w:val="auto"/>
              </w:rPr>
            </w:pPr>
            <w:r>
              <w:rPr>
                <w:rFonts w:ascii="Arial" w:cs="Arial" w:eastAsia="Arial" w:hAnsi="Arial"/>
                <w:sz w:val="16"/>
                <w:szCs w:val="16"/>
                <w:color w:val="auto"/>
              </w:rPr>
              <w:t>(6)</w:t>
            </w:r>
          </w:p>
        </w:tc>
        <w:tc>
          <w:tcPr>
            <w:tcW w:w="20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8"/>
        </w:trPr>
        <w:tc>
          <w:tcPr>
            <w:tcW w:w="6980" w:type="dxa"/>
            <w:vAlign w:val="bottom"/>
            <w:tcBorders>
              <w:bottom w:val="single" w:sz="8" w:color="F7F7F7"/>
            </w:tcBorders>
          </w:tcPr>
          <w:p>
            <w:pPr>
              <w:ind w:left="460"/>
              <w:spacing w:after="0"/>
              <w:rPr>
                <w:sz w:val="20"/>
                <w:szCs w:val="20"/>
                <w:color w:val="auto"/>
              </w:rPr>
            </w:pPr>
            <w:r>
              <w:rPr>
                <w:rFonts w:ascii="Arial" w:cs="Arial" w:eastAsia="Arial" w:hAnsi="Arial"/>
                <w:sz w:val="16"/>
                <w:szCs w:val="16"/>
                <w:color w:val="auto"/>
              </w:rPr>
              <w:t>Accumulated surplus</w:t>
            </w:r>
          </w:p>
        </w:tc>
        <w:tc>
          <w:tcPr>
            <w:tcW w:w="2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4,243</w:t>
            </w: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6"/>
                <w:szCs w:val="16"/>
                <w:color w:val="auto"/>
              </w:rPr>
              <w:t>Total shareholders’ equity</w:t>
            </w:r>
          </w:p>
        </w:tc>
        <w:tc>
          <w:tcPr>
            <w:tcW w:w="216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12,749</w:t>
            </w:r>
          </w:p>
        </w:tc>
        <w:tc>
          <w:tcPr>
            <w:tcW w:w="20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13,473</w:t>
            </w:r>
          </w:p>
        </w:tc>
        <w:tc>
          <w:tcPr>
            <w:tcW w:w="0" w:type="dxa"/>
            <w:vAlign w:val="bottom"/>
          </w:tcPr>
          <w:p>
            <w:pPr>
              <w:spacing w:after="0"/>
              <w:rPr>
                <w:sz w:val="1"/>
                <w:szCs w:val="1"/>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6"/>
                <w:szCs w:val="16"/>
                <w:b w:val="1"/>
                <w:bCs w:val="1"/>
                <w:color w:val="auto"/>
              </w:rPr>
              <w:t>Total liabilities and shareholders’ equity</w:t>
            </w:r>
          </w:p>
        </w:tc>
        <w:tc>
          <w:tcPr>
            <w:tcW w:w="2160" w:type="dxa"/>
            <w:vAlign w:val="bottom"/>
          </w:tcPr>
          <w:p>
            <w:pPr>
              <w:jc w:val="right"/>
              <w:ind w:right="219"/>
              <w:spacing w:after="0"/>
              <w:rPr>
                <w:sz w:val="20"/>
                <w:szCs w:val="20"/>
                <w:color w:val="auto"/>
              </w:rPr>
            </w:pPr>
            <w:r>
              <w:rPr>
                <w:rFonts w:ascii="Arial" w:cs="Arial" w:eastAsia="Arial" w:hAnsi="Arial"/>
                <w:sz w:val="16"/>
                <w:szCs w:val="16"/>
                <w:b w:val="1"/>
                <w:bCs w:val="1"/>
                <w:color w:val="auto"/>
              </w:rPr>
              <w:t>14,664</w:t>
            </w:r>
          </w:p>
        </w:tc>
        <w:tc>
          <w:tcPr>
            <w:tcW w:w="2040" w:type="dxa"/>
            <w:vAlign w:val="bottom"/>
          </w:tcPr>
          <w:p>
            <w:pPr>
              <w:jc w:val="right"/>
              <w:ind w:right="79"/>
              <w:spacing w:after="0"/>
              <w:rPr>
                <w:sz w:val="20"/>
                <w:szCs w:val="20"/>
                <w:color w:val="auto"/>
              </w:rPr>
            </w:pPr>
            <w:r>
              <w:rPr>
                <w:rFonts w:ascii="Arial" w:cs="Arial" w:eastAsia="Arial" w:hAnsi="Arial"/>
                <w:sz w:val="16"/>
                <w:szCs w:val="16"/>
                <w:b w:val="1"/>
                <w:bCs w:val="1"/>
                <w:color w:val="auto"/>
              </w:rPr>
              <w:t>15,189</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ind w:right="4380"/>
        <w:spacing w:after="0" w:line="252" w:lineRule="auto"/>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rPr>
          <w:sz w:val="20"/>
          <w:szCs w:val="20"/>
          <w:color w:val="auto"/>
        </w:rPr>
      </w:pPr>
      <w:r>
        <w:rPr>
          <w:rFonts w:ascii="Arial" w:cs="Arial" w:eastAsia="Arial" w:hAnsi="Arial"/>
          <w:sz w:val="16"/>
          <w:szCs w:val="16"/>
          <w:color w:val="auto"/>
        </w:rPr>
        <w:t>(Expressed in US $ millions, except share and per share amounts)</w:t>
      </w:r>
    </w:p>
    <w:p>
      <w:pPr>
        <w:sectPr>
          <w:pgSz w:w="11900" w:h="16838" w:orient="portrait"/>
          <w:cols w:equalWidth="0" w:num="1">
            <w:col w:w="11240"/>
          </w:cols>
          <w:pgMar w:left="320" w:top="944" w:right="339" w:bottom="1440" w:gutter="0" w:footer="0" w:header="0"/>
        </w:sectPr>
      </w:pPr>
    </w:p>
    <w:p>
      <w:pPr>
        <w:spacing w:after="0" w:line="57" w:lineRule="exact"/>
        <w:rPr>
          <w:sz w:val="20"/>
          <w:szCs w:val="20"/>
          <w:color w:val="auto"/>
        </w:rPr>
      </w:pPr>
    </w:p>
    <w:p>
      <w:pPr>
        <w:jc w:val="center"/>
        <w:ind w:left="530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20955</wp:posOffset>
            </wp:positionV>
            <wp:extent cx="18599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9" w:lineRule="exact"/>
        <w:rPr>
          <w:sz w:val="20"/>
          <w:szCs w:val="20"/>
          <w:color w:val="auto"/>
        </w:rPr>
      </w:pPr>
    </w:p>
    <w:p>
      <w:pPr>
        <w:ind w:left="5720"/>
        <w:spacing w:after="0"/>
        <w:tabs>
          <w:tab w:leader="none" w:pos="724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160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18599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9"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1859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8040" w:space="400"/>
            <w:col w:w="2800"/>
          </w:cols>
          <w:pgMar w:left="320" w:top="944"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836</w:t>
            </w: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699</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2,388</w:t>
            </w: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1,975</w:t>
            </w:r>
          </w:p>
        </w:tc>
      </w:tr>
      <w:tr>
        <w:trPr>
          <w:trHeight w:val="229"/>
        </w:trPr>
        <w:tc>
          <w:tcPr>
            <w:tcW w:w="520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2,906</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8,107</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w:t>
            </w:r>
          </w:p>
        </w:tc>
      </w:tr>
      <w:tr>
        <w:trPr>
          <w:trHeight w:val="224"/>
        </w:trPr>
        <w:tc>
          <w:tcPr>
            <w:tcW w:w="5200" w:type="dxa"/>
            <w:vAlign w:val="bottom"/>
            <w:tcBorders>
              <w:bottom w:val="single" w:sz="8" w:color="auto"/>
            </w:tcBorders>
            <w:shd w:val="clear" w:color="auto" w:fill="F7F7F7"/>
          </w:tcPr>
          <w:p>
            <w:pPr>
              <w:spacing w:after="0"/>
              <w:rPr>
                <w:sz w:val="19"/>
                <w:szCs w:val="19"/>
                <w:color w:val="auto"/>
              </w:rPr>
            </w:pP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3,742</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2,844</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10,495</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7,884</w:t>
            </w:r>
          </w:p>
        </w:tc>
      </w:tr>
      <w:tr>
        <w:trPr>
          <w:trHeight w:val="88"/>
        </w:trPr>
        <w:tc>
          <w:tcPr>
            <w:tcW w:w="5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29"/>
        </w:trPr>
        <w:tc>
          <w:tcPr>
            <w:tcW w:w="520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Cost of revenues</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spacing w:after="0"/>
              <w:rPr>
                <w:sz w:val="19"/>
                <w:szCs w:val="19"/>
                <w:color w:val="auto"/>
              </w:rPr>
            </w:pP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spacing w:after="0"/>
              <w:rPr>
                <w:sz w:val="19"/>
                <w:szCs w:val="19"/>
                <w:color w:val="auto"/>
              </w:rPr>
            </w:pP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6"/>
                <w:szCs w:val="16"/>
                <w:color w:val="auto"/>
              </w:rPr>
              <w:t>Subscription solutions</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486</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29"/>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Merchant solutions</w:t>
            </w: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1,786</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1,325</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4,974</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3,650</w:t>
            </w: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1,961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5,460</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4,022</w:t>
            </w:r>
          </w:p>
        </w:tc>
      </w:tr>
      <w:tr>
        <w:trPr>
          <w:trHeight w:val="109"/>
        </w:trPr>
        <w:tc>
          <w:tcPr>
            <w:tcW w:w="5200" w:type="dxa"/>
            <w:vAlign w:val="bottom"/>
            <w:tcBorders>
              <w:bottom w:val="single" w:sz="8" w:color="auto"/>
            </w:tcBorders>
            <w:shd w:val="clear" w:color="auto" w:fill="F7F7F7"/>
          </w:tcPr>
          <w:p>
            <w:pPr>
              <w:spacing w:after="0"/>
              <w:rPr>
                <w:sz w:val="9"/>
                <w:szCs w:val="9"/>
                <w:color w:val="auto"/>
              </w:rPr>
            </w:pPr>
          </w:p>
        </w:tc>
        <w:tc>
          <w:tcPr>
            <w:tcW w:w="220" w:type="dxa"/>
            <w:vAlign w:val="bottom"/>
            <w:tcBorders>
              <w:bottom w:val="single" w:sz="8" w:color="auto"/>
            </w:tcBorders>
            <w:shd w:val="clear" w:color="auto" w:fill="F7F7F7"/>
          </w:tcPr>
          <w:p>
            <w:pPr>
              <w:spacing w:after="0"/>
              <w:rPr>
                <w:sz w:val="9"/>
                <w:szCs w:val="9"/>
                <w:color w:val="auto"/>
              </w:rPr>
            </w:pPr>
          </w:p>
        </w:tc>
        <w:tc>
          <w:tcPr>
            <w:tcW w:w="1240" w:type="dxa"/>
            <w:vAlign w:val="bottom"/>
            <w:tcBorders>
              <w:bottom w:val="single" w:sz="8" w:color="auto"/>
            </w:tcBorders>
            <w:shd w:val="clear" w:color="auto" w:fill="F7F7F7"/>
          </w:tcPr>
          <w:p>
            <w:pPr>
              <w:spacing w:after="0"/>
              <w:rPr>
                <w:sz w:val="9"/>
                <w:szCs w:val="9"/>
                <w:color w:val="auto"/>
              </w:rPr>
            </w:pPr>
          </w:p>
        </w:tc>
        <w:tc>
          <w:tcPr>
            <w:tcW w:w="300" w:type="dxa"/>
            <w:vAlign w:val="bottom"/>
            <w:tcBorders>
              <w:bottom w:val="single" w:sz="8" w:color="auto"/>
            </w:tcBorders>
            <w:shd w:val="clear" w:color="auto" w:fill="F7F7F7"/>
          </w:tcPr>
          <w:p>
            <w:pPr>
              <w:spacing w:after="0"/>
              <w:rPr>
                <w:sz w:val="9"/>
                <w:szCs w:val="9"/>
                <w:color w:val="auto"/>
              </w:rPr>
            </w:pPr>
          </w:p>
        </w:tc>
        <w:tc>
          <w:tcPr>
            <w:tcW w:w="1180" w:type="dxa"/>
            <w:vAlign w:val="bottom"/>
            <w:tcBorders>
              <w:bottom w:val="single" w:sz="8" w:color="auto"/>
            </w:tcBorders>
            <w:shd w:val="clear" w:color="auto" w:fill="F7F7F7"/>
          </w:tcPr>
          <w:p>
            <w:pPr>
              <w:spacing w:after="0"/>
              <w:rPr>
                <w:sz w:val="9"/>
                <w:szCs w:val="9"/>
                <w:color w:val="auto"/>
              </w:rPr>
            </w:pPr>
          </w:p>
        </w:tc>
        <w:tc>
          <w:tcPr>
            <w:tcW w:w="180" w:type="dxa"/>
            <w:vAlign w:val="bottom"/>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1260" w:type="dxa"/>
            <w:vAlign w:val="bottom"/>
            <w:tcBorders>
              <w:bottom w:val="single" w:sz="8" w:color="auto"/>
            </w:tcBorders>
            <w:shd w:val="clear" w:color="auto" w:fill="F7F7F7"/>
          </w:tcPr>
          <w:p>
            <w:pPr>
              <w:spacing w:after="0"/>
              <w:rPr>
                <w:sz w:val="9"/>
                <w:szCs w:val="9"/>
                <w:color w:val="auto"/>
              </w:rPr>
            </w:pPr>
          </w:p>
        </w:tc>
        <w:tc>
          <w:tcPr>
            <w:tcW w:w="300" w:type="dxa"/>
            <w:vAlign w:val="bottom"/>
            <w:tcBorders>
              <w:bottom w:val="single" w:sz="8" w:color="auto"/>
            </w:tcBorders>
            <w:shd w:val="clear" w:color="auto" w:fill="F7F7F7"/>
          </w:tcPr>
          <w:p>
            <w:pPr>
              <w:spacing w:after="0"/>
              <w:rPr>
                <w:sz w:val="9"/>
                <w:szCs w:val="9"/>
                <w:color w:val="auto"/>
              </w:rPr>
            </w:pPr>
          </w:p>
        </w:tc>
        <w:tc>
          <w:tcPr>
            <w:tcW w:w="1160" w:type="dxa"/>
            <w:vAlign w:val="bottom"/>
            <w:tcBorders>
              <w:bottom w:val="single" w:sz="8" w:color="auto"/>
            </w:tcBorders>
            <w:shd w:val="clear" w:color="auto" w:fill="F7F7F7"/>
          </w:tcPr>
          <w:p>
            <w:pPr>
              <w:spacing w:after="0"/>
              <w:rPr>
                <w:sz w:val="9"/>
                <w:szCs w:val="9"/>
                <w:color w:val="auto"/>
              </w:rPr>
            </w:pP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1,781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5,035</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3,862</w:t>
            </w:r>
          </w:p>
        </w:tc>
      </w:tr>
      <w:tr>
        <w:trPr>
          <w:trHeight w:val="88"/>
        </w:trPr>
        <w:tc>
          <w:tcPr>
            <w:tcW w:w="5200" w:type="dxa"/>
            <w:vAlign w:val="bottom"/>
            <w:shd w:val="clear" w:color="auto" w:fill="F7F7F7"/>
          </w:tcPr>
          <w:p>
            <w:pPr>
              <w:spacing w:after="0"/>
              <w:rPr>
                <w:sz w:val="7"/>
                <w:szCs w:val="7"/>
                <w:color w:val="auto"/>
              </w:rPr>
            </w:pPr>
          </w:p>
        </w:tc>
        <w:tc>
          <w:tcPr>
            <w:tcW w:w="220" w:type="dxa"/>
            <w:vAlign w:val="bottom"/>
            <w:shd w:val="clear" w:color="auto" w:fill="F7F7F7"/>
          </w:tcPr>
          <w:p>
            <w:pPr>
              <w:spacing w:after="0"/>
              <w:rPr>
                <w:sz w:val="7"/>
                <w:szCs w:val="7"/>
                <w:color w:val="auto"/>
              </w:rPr>
            </w:pPr>
          </w:p>
        </w:tc>
        <w:tc>
          <w:tcPr>
            <w:tcW w:w="124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8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200" w:type="dxa"/>
            <w:vAlign w:val="bottom"/>
            <w:shd w:val="clear" w:color="auto" w:fill="F7F7F7"/>
          </w:tcPr>
          <w:p>
            <w:pPr>
              <w:spacing w:after="0"/>
              <w:rPr>
                <w:sz w:val="7"/>
                <w:szCs w:val="7"/>
                <w:color w:val="auto"/>
              </w:rPr>
            </w:pPr>
          </w:p>
        </w:tc>
        <w:tc>
          <w:tcPr>
            <w:tcW w:w="126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466</w:t>
            </w: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1,460</w:t>
            </w: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1,230</w:t>
            </w:r>
          </w:p>
        </w:tc>
      </w:tr>
      <w:tr>
        <w:trPr>
          <w:trHeight w:val="229"/>
        </w:trPr>
        <w:tc>
          <w:tcPr>
            <w:tcW w:w="52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1,379</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F7F7F7"/>
          </w:tcPr>
          <w:p>
            <w:pPr>
              <w:spacing w:after="0"/>
              <w:rPr>
                <w:sz w:val="20"/>
                <w:szCs w:val="20"/>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130</w:t>
            </w:r>
          </w:p>
        </w:tc>
        <w:tc>
          <w:tcPr>
            <w:tcW w:w="3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381</w:t>
            </w:r>
          </w:p>
        </w:tc>
        <w:tc>
          <w:tcPr>
            <w:tcW w:w="300" w:type="dxa"/>
            <w:vAlign w:val="bottom"/>
            <w:shd w:val="clear" w:color="auto" w:fill="F7F7F7"/>
          </w:tcPr>
          <w:p>
            <w:pPr>
              <w:spacing w:after="0"/>
              <w:rPr>
                <w:sz w:val="20"/>
                <w:szCs w:val="20"/>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346</w:t>
            </w:r>
          </w:p>
        </w:tc>
      </w:tr>
      <w:tr>
        <w:trPr>
          <w:trHeight w:val="228"/>
        </w:trPr>
        <w:tc>
          <w:tcPr>
            <w:tcW w:w="520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Transaction and loan losses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377</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24"/>
        </w:trPr>
        <w:tc>
          <w:tcPr>
            <w:tcW w:w="52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1,213</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1,048</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3,597</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3,025</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568</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1,438</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r>
      <w:tr>
        <w:trPr>
          <w:trHeight w:val="88"/>
        </w:trPr>
        <w:tc>
          <w:tcPr>
            <w:tcW w:w="5200" w:type="dxa"/>
            <w:vAlign w:val="bottom"/>
            <w:shd w:val="clear" w:color="auto" w:fill="F7F7F7"/>
          </w:tcPr>
          <w:p>
            <w:pPr>
              <w:spacing w:after="0"/>
              <w:rPr>
                <w:sz w:val="7"/>
                <w:szCs w:val="7"/>
                <w:color w:val="auto"/>
              </w:rPr>
            </w:pPr>
          </w:p>
        </w:tc>
        <w:tc>
          <w:tcPr>
            <w:tcW w:w="220" w:type="dxa"/>
            <w:vAlign w:val="bottom"/>
            <w:shd w:val="clear" w:color="auto" w:fill="F7F7F7"/>
          </w:tcPr>
          <w:p>
            <w:pPr>
              <w:spacing w:after="0"/>
              <w:rPr>
                <w:sz w:val="7"/>
                <w:szCs w:val="7"/>
                <w:color w:val="auto"/>
              </w:rPr>
            </w:pPr>
          </w:p>
        </w:tc>
        <w:tc>
          <w:tcPr>
            <w:tcW w:w="124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8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200" w:type="dxa"/>
            <w:vAlign w:val="bottom"/>
            <w:shd w:val="clear" w:color="auto" w:fill="F7F7F7"/>
          </w:tcPr>
          <w:p>
            <w:pPr>
              <w:spacing w:after="0"/>
              <w:rPr>
                <w:sz w:val="7"/>
                <w:szCs w:val="7"/>
                <w:color w:val="auto"/>
              </w:rPr>
            </w:pPr>
          </w:p>
        </w:tc>
        <w:tc>
          <w:tcPr>
            <w:tcW w:w="126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65</w:t>
            </w: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206</w:t>
            </w: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252</w:t>
            </w:r>
          </w:p>
        </w:tc>
      </w:tr>
      <w:tr>
        <w:trPr>
          <w:trHeight w:val="228"/>
        </w:trPr>
        <w:tc>
          <w:tcPr>
            <w:tcW w:w="5200" w:type="dxa"/>
            <w:vAlign w:val="bottom"/>
          </w:tcPr>
          <w:p>
            <w:pPr>
              <w:ind w:left="360"/>
              <w:spacing w:after="0"/>
              <w:rPr>
                <w:sz w:val="20"/>
                <w:szCs w:val="20"/>
                <w:color w:val="auto"/>
              </w:rPr>
            </w:pPr>
            <w:r>
              <w:rPr>
                <w:rFonts w:ascii="Arial" w:cs="Arial" w:eastAsia="Arial" w:hAnsi="Arial"/>
                <w:sz w:val="16"/>
                <w:szCs w:val="16"/>
                <w:color w:val="auto"/>
              </w:rPr>
              <w:t>Net realized gain on equity and other investments</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Net unrealized (loss) gain on equity and other investments</w:t>
            </w:r>
          </w:p>
        </w:tc>
        <w:tc>
          <w:tcPr>
            <w:tcW w:w="220" w:type="dxa"/>
            <w:vAlign w:val="bottom"/>
            <w:shd w:val="clear" w:color="auto" w:fill="F7F7F7"/>
          </w:tcPr>
          <w:p>
            <w:pPr>
              <w:spacing w:after="0"/>
              <w:rPr>
                <w:sz w:val="20"/>
                <w:szCs w:val="20"/>
                <w:color w:val="auto"/>
              </w:rPr>
            </w:pPr>
          </w:p>
        </w:tc>
        <w:tc>
          <w:tcPr>
            <w:tcW w:w="124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(127)</w:t>
            </w:r>
          </w:p>
        </w:tc>
        <w:tc>
          <w:tcPr>
            <w:tcW w:w="3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(62)</w:t>
            </w:r>
          </w:p>
        </w:tc>
        <w:tc>
          <w:tcPr>
            <w:tcW w:w="18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58</w:t>
            </w:r>
          </w:p>
        </w:tc>
        <w:tc>
          <w:tcPr>
            <w:tcW w:w="300" w:type="dxa"/>
            <w:vAlign w:val="bottom"/>
            <w:shd w:val="clear" w:color="auto" w:fill="F7F7F7"/>
          </w:tcPr>
          <w:p>
            <w:pPr>
              <w:spacing w:after="0"/>
              <w:rPr>
                <w:sz w:val="20"/>
                <w:szCs w:val="20"/>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(402)</w:t>
            </w:r>
          </w:p>
        </w:tc>
      </w:tr>
      <w:tr>
        <w:trPr>
          <w:trHeight w:val="229"/>
        </w:trPr>
        <w:tc>
          <w:tcPr>
            <w:tcW w:w="5200" w:type="dxa"/>
            <w:vAlign w:val="bottom"/>
          </w:tcPr>
          <w:p>
            <w:pPr>
              <w:ind w:left="360"/>
              <w:spacing w:after="0"/>
              <w:rPr>
                <w:sz w:val="20"/>
                <w:szCs w:val="20"/>
                <w:color w:val="auto"/>
              </w:rPr>
            </w:pPr>
            <w:r>
              <w:rPr>
                <w:rFonts w:ascii="Arial" w:cs="Arial" w:eastAsia="Arial" w:hAnsi="Arial"/>
                <w:sz w:val="16"/>
                <w:szCs w:val="16"/>
                <w:color w:val="auto"/>
              </w:rPr>
              <w:t>Net loss on equity method investment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Unrealized loss on embedded derivative</w:t>
            </w:r>
          </w:p>
        </w:tc>
        <w:tc>
          <w:tcPr>
            <w:tcW w:w="220" w:type="dxa"/>
            <w:vAlign w:val="bottom"/>
            <w:shd w:val="clear" w:color="auto" w:fill="F7F7F7"/>
          </w:tcPr>
          <w:p>
            <w:pPr>
              <w:spacing w:after="0"/>
              <w:rPr>
                <w:sz w:val="20"/>
                <w:szCs w:val="20"/>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F7F7F7"/>
          </w:tcPr>
          <w:p>
            <w:pPr>
              <w:spacing w:after="0"/>
              <w:rPr>
                <w:sz w:val="20"/>
                <w:szCs w:val="20"/>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(29)</w:t>
            </w:r>
          </w:p>
        </w:tc>
      </w:tr>
      <w:tr>
        <w:trPr>
          <w:trHeight w:val="229"/>
        </w:trPr>
        <w:tc>
          <w:tcPr>
            <w:tcW w:w="520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Foreign exchange gain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4"/>
        </w:trPr>
        <w:tc>
          <w:tcPr>
            <w:tcW w:w="52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Total other (expense) income, net</w:t>
            </w: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202</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(220)</w:t>
            </w:r>
          </w:p>
        </w:tc>
      </w:tr>
      <w:tr>
        <w:trPr>
          <w:trHeight w:val="222"/>
        </w:trPr>
        <w:tc>
          <w:tcPr>
            <w:tcW w:w="520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499</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r>
      <w:tr>
        <w:trPr>
          <w:trHeight w:val="224"/>
        </w:trPr>
        <w:tc>
          <w:tcPr>
            <w:tcW w:w="52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(37)</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(257)</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462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1,383</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w:t>
            </w:r>
          </w:p>
        </w:tc>
      </w:tr>
      <w:tr>
        <w:trPr>
          <w:trHeight w:val="88"/>
        </w:trPr>
        <w:tc>
          <w:tcPr>
            <w:tcW w:w="5200" w:type="dxa"/>
            <w:vAlign w:val="bottom"/>
            <w:shd w:val="clear" w:color="auto" w:fill="F7F7F7"/>
          </w:tcPr>
          <w:p>
            <w:pPr>
              <w:spacing w:after="0"/>
              <w:rPr>
                <w:sz w:val="7"/>
                <w:szCs w:val="7"/>
                <w:color w:val="auto"/>
              </w:rPr>
            </w:pPr>
          </w:p>
        </w:tc>
        <w:tc>
          <w:tcPr>
            <w:tcW w:w="220" w:type="dxa"/>
            <w:vAlign w:val="bottom"/>
            <w:shd w:val="clear" w:color="auto" w:fill="F7F7F7"/>
          </w:tcPr>
          <w:p>
            <w:pPr>
              <w:spacing w:after="0"/>
              <w:rPr>
                <w:sz w:val="7"/>
                <w:szCs w:val="7"/>
                <w:color w:val="auto"/>
              </w:rPr>
            </w:pPr>
          </w:p>
        </w:tc>
        <w:tc>
          <w:tcPr>
            <w:tcW w:w="124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8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200" w:type="dxa"/>
            <w:vAlign w:val="bottom"/>
            <w:shd w:val="clear" w:color="auto" w:fill="F7F7F7"/>
          </w:tcPr>
          <w:p>
            <w:pPr>
              <w:spacing w:after="0"/>
              <w:rPr>
                <w:sz w:val="7"/>
                <w:szCs w:val="7"/>
                <w:color w:val="auto"/>
              </w:rPr>
            </w:pPr>
          </w:p>
        </w:tc>
        <w:tc>
          <w:tcPr>
            <w:tcW w:w="126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Net income per share attributable to shareholders: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0.36</w:t>
            </w:r>
          </w:p>
        </w:tc>
        <w:tc>
          <w:tcPr>
            <w:tcW w:w="3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0.20</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0.38</w:t>
            </w:r>
          </w:p>
        </w:tc>
      </w:tr>
      <w:tr>
        <w:trPr>
          <w:trHeight w:val="229"/>
        </w:trPr>
        <w:tc>
          <w:tcPr>
            <w:tcW w:w="5200" w:type="dxa"/>
            <w:vAlign w:val="bottom"/>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0.36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109"/>
        </w:trPr>
        <w:tc>
          <w:tcPr>
            <w:tcW w:w="5200" w:type="dxa"/>
            <w:vAlign w:val="bottom"/>
            <w:shd w:val="clear" w:color="auto" w:fill="F7F7F7"/>
          </w:tcPr>
          <w:p>
            <w:pPr>
              <w:spacing w:after="0"/>
              <w:rPr>
                <w:sz w:val="9"/>
                <w:szCs w:val="9"/>
                <w:color w:val="auto"/>
              </w:rPr>
            </w:pPr>
          </w:p>
        </w:tc>
        <w:tc>
          <w:tcPr>
            <w:tcW w:w="220" w:type="dxa"/>
            <w:vAlign w:val="bottom"/>
            <w:shd w:val="clear" w:color="auto" w:fill="F7F7F7"/>
          </w:tcPr>
          <w:p>
            <w:pPr>
              <w:spacing w:after="0"/>
              <w:rPr>
                <w:sz w:val="9"/>
                <w:szCs w:val="9"/>
                <w:color w:val="auto"/>
              </w:rPr>
            </w:pPr>
          </w:p>
        </w:tc>
        <w:tc>
          <w:tcPr>
            <w:tcW w:w="1240" w:type="dxa"/>
            <w:vAlign w:val="bottom"/>
            <w:shd w:val="clear" w:color="auto" w:fill="F7F7F7"/>
          </w:tcPr>
          <w:p>
            <w:pPr>
              <w:spacing w:after="0"/>
              <w:rPr>
                <w:sz w:val="9"/>
                <w:szCs w:val="9"/>
                <w:color w:val="auto"/>
              </w:rPr>
            </w:pPr>
          </w:p>
        </w:tc>
        <w:tc>
          <w:tcPr>
            <w:tcW w:w="300" w:type="dxa"/>
            <w:vAlign w:val="bottom"/>
            <w:shd w:val="clear" w:color="auto" w:fill="F7F7F7"/>
          </w:tcPr>
          <w:p>
            <w:pPr>
              <w:spacing w:after="0"/>
              <w:rPr>
                <w:sz w:val="9"/>
                <w:szCs w:val="9"/>
                <w:color w:val="auto"/>
              </w:rPr>
            </w:pPr>
          </w:p>
        </w:tc>
        <w:tc>
          <w:tcPr>
            <w:tcW w:w="1180" w:type="dxa"/>
            <w:vAlign w:val="bottom"/>
            <w:shd w:val="clear" w:color="auto" w:fill="F7F7F7"/>
          </w:tcPr>
          <w:p>
            <w:pPr>
              <w:spacing w:after="0"/>
              <w:rPr>
                <w:sz w:val="9"/>
                <w:szCs w:val="9"/>
                <w:color w:val="auto"/>
              </w:rPr>
            </w:pPr>
          </w:p>
        </w:tc>
        <w:tc>
          <w:tcPr>
            <w:tcW w:w="180" w:type="dxa"/>
            <w:vAlign w:val="bottom"/>
            <w:shd w:val="clear" w:color="auto" w:fill="F7F7F7"/>
          </w:tcPr>
          <w:p>
            <w:pPr>
              <w:spacing w:after="0"/>
              <w:rPr>
                <w:sz w:val="9"/>
                <w:szCs w:val="9"/>
                <w:color w:val="auto"/>
              </w:rPr>
            </w:pPr>
          </w:p>
        </w:tc>
        <w:tc>
          <w:tcPr>
            <w:tcW w:w="200" w:type="dxa"/>
            <w:vAlign w:val="bottom"/>
            <w:shd w:val="clear" w:color="auto" w:fill="F7F7F7"/>
          </w:tcPr>
          <w:p>
            <w:pPr>
              <w:spacing w:after="0"/>
              <w:rPr>
                <w:sz w:val="9"/>
                <w:szCs w:val="9"/>
                <w:color w:val="auto"/>
              </w:rPr>
            </w:pPr>
          </w:p>
        </w:tc>
        <w:tc>
          <w:tcPr>
            <w:tcW w:w="1260" w:type="dxa"/>
            <w:vAlign w:val="bottom"/>
            <w:shd w:val="clear" w:color="auto" w:fill="F7F7F7"/>
          </w:tcPr>
          <w:p>
            <w:pPr>
              <w:spacing w:after="0"/>
              <w:rPr>
                <w:sz w:val="9"/>
                <w:szCs w:val="9"/>
                <w:color w:val="auto"/>
              </w:rPr>
            </w:pPr>
          </w:p>
        </w:tc>
        <w:tc>
          <w:tcPr>
            <w:tcW w:w="300" w:type="dxa"/>
            <w:vAlign w:val="bottom"/>
            <w:shd w:val="clear" w:color="auto" w:fill="F7F7F7"/>
          </w:tcPr>
          <w:p>
            <w:pPr>
              <w:spacing w:after="0"/>
              <w:rPr>
                <w:sz w:val="9"/>
                <w:szCs w:val="9"/>
                <w:color w:val="auto"/>
              </w:rPr>
            </w:pPr>
          </w:p>
        </w:tc>
        <w:tc>
          <w:tcPr>
            <w:tcW w:w="1160" w:type="dxa"/>
            <w:vAlign w:val="bottom"/>
            <w:shd w:val="clear" w:color="auto" w:fill="F7F7F7"/>
          </w:tcPr>
          <w:p>
            <w:pPr>
              <w:spacing w:after="0"/>
              <w:rPr>
                <w:sz w:val="9"/>
                <w:szCs w:val="9"/>
                <w:color w:val="auto"/>
              </w:rPr>
            </w:pPr>
          </w:p>
        </w:tc>
      </w:tr>
      <w:tr>
        <w:trPr>
          <w:trHeight w:val="175"/>
        </w:trPr>
        <w:tc>
          <w:tcPr>
            <w:tcW w:w="5200" w:type="dxa"/>
            <w:vAlign w:val="bottom"/>
          </w:tcPr>
          <w:p>
            <w:pPr>
              <w:ind w:left="120"/>
              <w:spacing w:after="0" w:line="175" w:lineRule="exact"/>
              <w:rPr>
                <w:sz w:val="20"/>
                <w:szCs w:val="20"/>
                <w:color w:val="auto"/>
              </w:rPr>
            </w:pPr>
            <w:r>
              <w:rPr>
                <w:rFonts w:ascii="Arial" w:cs="Arial" w:eastAsia="Arial" w:hAnsi="Arial"/>
                <w:sz w:val="16"/>
                <w:szCs w:val="16"/>
                <w:b w:val="1"/>
                <w:bCs w:val="1"/>
                <w:color w:val="auto"/>
              </w:rPr>
              <w:t>Weighted average shares used to compute net income per share</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attributable to shareholders: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1,286,866,079</w:t>
            </w: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1,300,069,685</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1,295,087,677</w:t>
            </w: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1,297,764,857</w:t>
            </w:r>
          </w:p>
        </w:tc>
      </w:tr>
      <w:tr>
        <w:trPr>
          <w:trHeight w:val="229"/>
        </w:trPr>
        <w:tc>
          <w:tcPr>
            <w:tcW w:w="52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1,290,726,742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1,312,872,709</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1,298,617,944</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1,310,028,907</w:t>
            </w:r>
          </w:p>
        </w:tc>
      </w:tr>
      <w:tr>
        <w:trPr>
          <w:trHeight w:val="89"/>
        </w:trPr>
        <w:tc>
          <w:tcPr>
            <w:tcW w:w="5200" w:type="dxa"/>
            <w:vAlign w:val="bottom"/>
            <w:shd w:val="clear" w:color="auto" w:fill="F7F7F7"/>
          </w:tcPr>
          <w:p>
            <w:pPr>
              <w:spacing w:after="0"/>
              <w:rPr>
                <w:sz w:val="7"/>
                <w:szCs w:val="7"/>
                <w:color w:val="auto"/>
              </w:rPr>
            </w:pPr>
          </w:p>
        </w:tc>
        <w:tc>
          <w:tcPr>
            <w:tcW w:w="220" w:type="dxa"/>
            <w:vAlign w:val="bottom"/>
            <w:shd w:val="clear" w:color="auto" w:fill="F7F7F7"/>
          </w:tcPr>
          <w:p>
            <w:pPr>
              <w:spacing w:after="0"/>
              <w:rPr>
                <w:sz w:val="7"/>
                <w:szCs w:val="7"/>
                <w:color w:val="auto"/>
              </w:rPr>
            </w:pPr>
          </w:p>
        </w:tc>
        <w:tc>
          <w:tcPr>
            <w:tcW w:w="124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8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200" w:type="dxa"/>
            <w:vAlign w:val="bottom"/>
            <w:shd w:val="clear" w:color="auto" w:fill="F7F7F7"/>
          </w:tcPr>
          <w:p>
            <w:pPr>
              <w:spacing w:after="0"/>
              <w:rPr>
                <w:sz w:val="7"/>
                <w:szCs w:val="7"/>
                <w:color w:val="auto"/>
              </w:rPr>
            </w:pPr>
          </w:p>
        </w:tc>
        <w:tc>
          <w:tcPr>
            <w:tcW w:w="126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Other comprehensive income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2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Unrealized gain (loss) on cash flow hedges</w:t>
            </w:r>
          </w:p>
        </w:tc>
        <w:tc>
          <w:tcPr>
            <w:tcW w:w="220" w:type="dxa"/>
            <w:vAlign w:val="bottom"/>
            <w:shd w:val="clear" w:color="auto" w:fill="F7F7F7"/>
          </w:tcPr>
          <w:p>
            <w:pPr>
              <w:spacing w:after="0"/>
              <w:rPr>
                <w:sz w:val="19"/>
                <w:szCs w:val="19"/>
                <w:color w:val="auto"/>
              </w:rPr>
            </w:pPr>
          </w:p>
        </w:tc>
        <w:tc>
          <w:tcPr>
            <w:tcW w:w="12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w:t>
            </w:r>
          </w:p>
        </w:tc>
        <w:tc>
          <w:tcPr>
            <w:tcW w:w="3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26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(9)</w:t>
            </w:r>
          </w:p>
        </w:tc>
        <w:tc>
          <w:tcPr>
            <w:tcW w:w="300" w:type="dxa"/>
            <w:vAlign w:val="bottom"/>
            <w:shd w:val="clear" w:color="auto" w:fill="F7F7F7"/>
          </w:tcPr>
          <w:p>
            <w:pPr>
              <w:spacing w:after="0"/>
              <w:rPr>
                <w:sz w:val="19"/>
                <w:szCs w:val="19"/>
                <w:color w:val="auto"/>
              </w:rPr>
            </w:pPr>
          </w:p>
        </w:tc>
        <w:tc>
          <w:tcPr>
            <w:tcW w:w="1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w:t>
            </w:r>
          </w:p>
        </w:tc>
      </w:tr>
      <w:tr>
        <w:trPr>
          <w:trHeight w:val="228"/>
        </w:trPr>
        <w:tc>
          <w:tcPr>
            <w:tcW w:w="520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Tax effect on unrealized (loss) gain on cash flow hedges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52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26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shd w:val="clear" w:color="auto" w:fill="F7F7F7"/>
          </w:tcPr>
          <w:p>
            <w:pPr>
              <w:spacing w:after="0"/>
              <w:rPr>
                <w:sz w:val="19"/>
                <w:szCs w:val="19"/>
                <w:color w:val="auto"/>
              </w:rPr>
            </w:pPr>
          </w:p>
        </w:tc>
        <w:tc>
          <w:tcPr>
            <w:tcW w:w="1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5200" w:type="dxa"/>
            <w:vAlign w:val="bottom"/>
          </w:tcPr>
          <w:p>
            <w:pPr>
              <w:ind w:left="12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463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1,376</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497</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rPr>
          <w:sz w:val="20"/>
          <w:szCs w:val="20"/>
          <w:color w:val="auto"/>
        </w:rPr>
      </w:pPr>
      <w:r>
        <w:rPr>
          <w:rFonts w:ascii="Arial" w:cs="Arial" w:eastAsia="Arial" w:hAnsi="Arial"/>
          <w:sz w:val="16"/>
          <w:szCs w:val="16"/>
          <w:color w:val="auto"/>
        </w:rPr>
        <w:t>(Expressed in US $ millions, except share amounts)</w:t>
      </w:r>
    </w:p>
    <w:p>
      <w:pPr>
        <w:spacing w:after="0" w:line="12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72390</wp:posOffset>
            </wp:positionV>
            <wp:extent cx="14147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34" w:lineRule="exact"/>
        <w:rPr>
          <w:sz w:val="20"/>
          <w:szCs w:val="20"/>
          <w:color w:val="auto"/>
        </w:rPr>
      </w:pPr>
    </w:p>
    <w:p>
      <w:pPr>
        <w:jc w:val="both"/>
        <w:ind w:left="4600"/>
        <w:spacing w:after="0"/>
        <w:tabs>
          <w:tab w:leader="none" w:pos="572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6"/>
                <w:szCs w:val="16"/>
                <w:b w:val="1"/>
                <w:bCs w:val="1"/>
                <w:color w:val="auto"/>
              </w:rPr>
              <w:t>Additional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940" w:type="dxa"/>
            <w:vAlign w:val="bottom"/>
            <w:vMerge w:val="restart"/>
          </w:tcPr>
          <w:p>
            <w:pPr>
              <w:ind w:left="16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Other</w:t>
            </w:r>
          </w:p>
        </w:tc>
        <w:tc>
          <w:tcPr>
            <w:tcW w:w="1260" w:type="dxa"/>
            <w:vAlign w:val="bottom"/>
            <w:vMerge w:val="continue"/>
          </w:tcPr>
          <w:p>
            <w:pPr>
              <w:spacing w:after="0"/>
              <w:rPr>
                <w:sz w:val="8"/>
                <w:szCs w:val="8"/>
                <w:color w:val="auto"/>
              </w:rPr>
            </w:pPr>
          </w:p>
        </w:tc>
        <w:tc>
          <w:tcPr>
            <w:tcW w:w="620" w:type="dxa"/>
            <w:vAlign w:val="bottom"/>
            <w:vMerge w:val="restart"/>
          </w:tcPr>
          <w:p>
            <w:pPr>
              <w:ind w:left="260"/>
              <w:spacing w:after="0" w:line="162"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Comprehensive</w:t>
            </w:r>
          </w:p>
        </w:tc>
        <w:tc>
          <w:tcPr>
            <w:tcW w:w="1260" w:type="dxa"/>
            <w:vAlign w:val="bottom"/>
            <w:vMerge w:val="restart"/>
          </w:tcPr>
          <w:p>
            <w:pPr>
              <w:jc w:val="center"/>
              <w:ind w:right="88"/>
              <w:spacing w:after="0" w:line="139" w:lineRule="exact"/>
              <w:rPr>
                <w:sz w:val="20"/>
                <w:szCs w:val="20"/>
                <w:color w:val="auto"/>
              </w:rPr>
            </w:pPr>
            <w:r>
              <w:rPr>
                <w:rFonts w:ascii="Arial" w:cs="Arial" w:eastAsia="Arial" w:hAnsi="Arial"/>
                <w:sz w:val="14"/>
                <w:szCs w:val="14"/>
                <w:b w:val="1"/>
                <w:bCs w:val="1"/>
                <w:color w:val="auto"/>
              </w:rPr>
              <w:t>Surplus</w:t>
            </w: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94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Capital</w:t>
            </w:r>
          </w:p>
        </w:tc>
        <w:tc>
          <w:tcPr>
            <w:tcW w:w="13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(Loss) Income</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1270</wp:posOffset>
            </wp:positionV>
            <wp:extent cx="4397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6340" w:space="420"/>
            <w:col w:w="4480"/>
          </w:cols>
          <w:pgMar w:left="320" w:top="944"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1,294,580,140</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9,634</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305</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(10)</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1,629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11,558</w:t>
            </w:r>
          </w:p>
        </w:tc>
      </w:tr>
      <w:tr>
        <w:trPr>
          <w:trHeight w:val="223"/>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36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1,190,811</w:t>
            </w:r>
          </w:p>
        </w:tc>
        <w:tc>
          <w:tcPr>
            <w:tcW w:w="12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87</w:t>
            </w:r>
          </w:p>
        </w:tc>
        <w:tc>
          <w:tcPr>
            <w:tcW w:w="1260" w:type="dxa"/>
            <w:vAlign w:val="bottom"/>
            <w:shd w:val="clear" w:color="auto" w:fill="F7F7F7"/>
          </w:tcPr>
          <w:p>
            <w:pPr>
              <w:jc w:val="right"/>
              <w:ind w:right="399"/>
              <w:spacing w:after="0"/>
              <w:rPr>
                <w:sz w:val="20"/>
                <w:szCs w:val="20"/>
                <w:color w:val="auto"/>
              </w:rPr>
            </w:pPr>
            <w:r>
              <w:rPr>
                <w:rFonts w:ascii="Arial" w:cs="Arial" w:eastAsia="Arial" w:hAnsi="Arial"/>
                <w:sz w:val="16"/>
                <w:szCs w:val="16"/>
                <w:color w:val="auto"/>
              </w:rPr>
              <w:t>(28)</w:t>
            </w:r>
          </w:p>
        </w:tc>
        <w:tc>
          <w:tcPr>
            <w:tcW w:w="11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59</w:t>
            </w:r>
          </w:p>
        </w:tc>
      </w:tr>
      <w:tr>
        <w:trPr>
          <w:trHeight w:val="230"/>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114</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114</w:t>
            </w:r>
          </w:p>
        </w:tc>
      </w:tr>
      <w:tr>
        <w:trPr>
          <w:trHeight w:val="229"/>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36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1,055,597</w:t>
            </w:r>
          </w:p>
        </w:tc>
        <w:tc>
          <w:tcPr>
            <w:tcW w:w="12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86</w:t>
            </w:r>
          </w:p>
        </w:tc>
        <w:tc>
          <w:tcPr>
            <w:tcW w:w="1260" w:type="dxa"/>
            <w:vAlign w:val="bottom"/>
            <w:shd w:val="clear" w:color="auto" w:fill="F7F7F7"/>
          </w:tcPr>
          <w:p>
            <w:pPr>
              <w:jc w:val="right"/>
              <w:ind w:right="399"/>
              <w:spacing w:after="0"/>
              <w:rPr>
                <w:sz w:val="20"/>
                <w:szCs w:val="20"/>
                <w:color w:val="auto"/>
              </w:rPr>
            </w:pPr>
            <w:r>
              <w:rPr>
                <w:rFonts w:ascii="Arial" w:cs="Arial" w:eastAsia="Arial" w:hAnsi="Arial"/>
                <w:sz w:val="16"/>
                <w:szCs w:val="16"/>
                <w:color w:val="auto"/>
              </w:rPr>
              <w:t>(88)</w:t>
            </w:r>
          </w:p>
        </w:tc>
        <w:tc>
          <w:tcPr>
            <w:tcW w:w="11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(2)</w:t>
            </w:r>
          </w:p>
        </w:tc>
      </w:tr>
      <w:tr>
        <w:trPr>
          <w:trHeight w:val="229"/>
        </w:trPr>
        <w:tc>
          <w:tcPr>
            <w:tcW w:w="4320" w:type="dxa"/>
            <w:vAlign w:val="bottom"/>
          </w:tcPr>
          <w:p>
            <w:pPr>
              <w:ind w:left="140"/>
              <w:spacing w:after="0"/>
              <w:rPr>
                <w:sz w:val="20"/>
                <w:szCs w:val="20"/>
                <w:color w:val="auto"/>
              </w:rPr>
            </w:pPr>
            <w:r>
              <w:rPr>
                <w:rFonts w:ascii="Arial" w:cs="Arial" w:eastAsia="Arial" w:hAnsi="Arial"/>
                <w:sz w:val="16"/>
                <w:szCs w:val="16"/>
                <w:color w:val="auto"/>
              </w:rPr>
              <w:t>Issuance of shares related to business acquisition</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252,257</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(24)</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loss and comprehensive income for the period</w:t>
            </w:r>
          </w:p>
        </w:tc>
        <w:tc>
          <w:tcPr>
            <w:tcW w:w="1360" w:type="dxa"/>
            <w:vAlign w:val="bottom"/>
            <w:tcBorders>
              <w:bottom w:val="single" w:sz="8" w:color="auto"/>
            </w:tcBorders>
            <w:shd w:val="clear" w:color="auto" w:fill="F7F7F7"/>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4</w:t>
            </w:r>
          </w:p>
        </w:tc>
        <w:tc>
          <w:tcPr>
            <w:tcW w:w="110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(682)</w:t>
            </w:r>
          </w:p>
        </w:tc>
        <w:tc>
          <w:tcPr>
            <w:tcW w:w="8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(678)</w:t>
            </w:r>
          </w:p>
        </w:tc>
      </w:tr>
      <w:tr>
        <w:trPr>
          <w:trHeight w:val="223"/>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March 31, 2025</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1,297,078,805</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9,831</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279</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(6)</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947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11,051</w:t>
            </w:r>
          </w:p>
        </w:tc>
      </w:tr>
      <w:tr>
        <w:trPr>
          <w:trHeight w:val="223"/>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36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1,132,628</w:t>
            </w:r>
          </w:p>
        </w:tc>
        <w:tc>
          <w:tcPr>
            <w:tcW w:w="12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68</w:t>
            </w:r>
          </w:p>
        </w:tc>
        <w:tc>
          <w:tcPr>
            <w:tcW w:w="1260" w:type="dxa"/>
            <w:vAlign w:val="bottom"/>
            <w:shd w:val="clear" w:color="auto" w:fill="F7F7F7"/>
          </w:tcPr>
          <w:p>
            <w:pPr>
              <w:jc w:val="right"/>
              <w:ind w:right="399"/>
              <w:spacing w:after="0"/>
              <w:rPr>
                <w:sz w:val="20"/>
                <w:szCs w:val="20"/>
                <w:color w:val="auto"/>
              </w:rPr>
            </w:pPr>
            <w:r>
              <w:rPr>
                <w:rFonts w:ascii="Arial" w:cs="Arial" w:eastAsia="Arial" w:hAnsi="Arial"/>
                <w:sz w:val="16"/>
                <w:szCs w:val="16"/>
                <w:color w:val="auto"/>
              </w:rPr>
              <w:t>(24)</w:t>
            </w:r>
          </w:p>
        </w:tc>
        <w:tc>
          <w:tcPr>
            <w:tcW w:w="11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113</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31"/>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36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1,156,751</w:t>
            </w:r>
          </w:p>
        </w:tc>
        <w:tc>
          <w:tcPr>
            <w:tcW w:w="12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86</w:t>
            </w:r>
          </w:p>
        </w:tc>
        <w:tc>
          <w:tcPr>
            <w:tcW w:w="1260" w:type="dxa"/>
            <w:vAlign w:val="bottom"/>
            <w:shd w:val="clear" w:color="auto" w:fill="F7F7F7"/>
          </w:tcPr>
          <w:p>
            <w:pPr>
              <w:jc w:val="right"/>
              <w:ind w:right="399"/>
              <w:spacing w:after="0"/>
              <w:rPr>
                <w:sz w:val="20"/>
                <w:szCs w:val="20"/>
                <w:color w:val="auto"/>
              </w:rPr>
            </w:pPr>
            <w:r>
              <w:rPr>
                <w:rFonts w:ascii="Arial" w:cs="Arial" w:eastAsia="Arial" w:hAnsi="Arial"/>
                <w:sz w:val="16"/>
                <w:szCs w:val="16"/>
                <w:color w:val="auto"/>
              </w:rPr>
              <w:t>(87)</w:t>
            </w:r>
          </w:p>
        </w:tc>
        <w:tc>
          <w:tcPr>
            <w:tcW w:w="11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32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Net income and comprehensive income for the period</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r>
      <w:tr>
        <w:trPr>
          <w:trHeight w:val="224"/>
        </w:trPr>
        <w:tc>
          <w:tcPr>
            <w:tcW w:w="432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As of June 30, 2025</w:t>
            </w:r>
          </w:p>
        </w:tc>
        <w:tc>
          <w:tcPr>
            <w:tcW w:w="1360" w:type="dxa"/>
            <w:vAlign w:val="bottom"/>
            <w:tcBorders>
              <w:bottom w:val="single" w:sz="8" w:color="auto"/>
            </w:tcBorders>
            <w:shd w:val="clear" w:color="auto" w:fill="F7F7F7"/>
          </w:tcPr>
          <w:p>
            <w:pPr>
              <w:jc w:val="right"/>
              <w:ind w:right="239"/>
              <w:spacing w:after="0"/>
              <w:rPr>
                <w:sz w:val="20"/>
                <w:szCs w:val="20"/>
                <w:color w:val="auto"/>
              </w:rPr>
            </w:pPr>
            <w:r>
              <w:rPr>
                <w:rFonts w:ascii="Arial" w:cs="Arial" w:eastAsia="Arial" w:hAnsi="Arial"/>
                <w:sz w:val="16"/>
                <w:szCs w:val="16"/>
                <w:b w:val="1"/>
                <w:bCs w:val="1"/>
                <w:color w:val="auto"/>
                <w:w w:val="99"/>
              </w:rPr>
              <w:t>1,299,368,184</w:t>
            </w:r>
          </w:p>
        </w:tc>
        <w:tc>
          <w:tcPr>
            <w:tcW w:w="120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b w:val="1"/>
                <w:bCs w:val="1"/>
                <w:color w:val="auto"/>
              </w:rPr>
              <w:t>9,985</w:t>
            </w:r>
          </w:p>
        </w:tc>
        <w:tc>
          <w:tcPr>
            <w:tcW w:w="126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b w:val="1"/>
                <w:bCs w:val="1"/>
                <w:color w:val="auto"/>
              </w:rPr>
              <w:t>281</w:t>
            </w:r>
          </w:p>
        </w:tc>
        <w:tc>
          <w:tcPr>
            <w:tcW w:w="114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b w:val="1"/>
                <w:bCs w:val="1"/>
                <w:color w:val="auto"/>
              </w:rPr>
              <w:t>5</w:t>
            </w:r>
          </w:p>
        </w:tc>
        <w:tc>
          <w:tcPr>
            <w:tcW w:w="1100" w:type="dxa"/>
            <w:vAlign w:val="bottom"/>
            <w:tcBorders>
              <w:bottom w:val="single" w:sz="8" w:color="auto"/>
            </w:tcBorders>
            <w:shd w:val="clear" w:color="auto" w:fill="F7F7F7"/>
          </w:tcPr>
          <w:p>
            <w:pPr>
              <w:jc w:val="right"/>
              <w:ind w:right="259"/>
              <w:spacing w:after="0"/>
              <w:rPr>
                <w:sz w:val="20"/>
                <w:szCs w:val="20"/>
                <w:color w:val="auto"/>
              </w:rPr>
            </w:pPr>
            <w:r>
              <w:rPr>
                <w:rFonts w:ascii="Arial" w:cs="Arial" w:eastAsia="Arial" w:hAnsi="Arial"/>
                <w:sz w:val="16"/>
                <w:szCs w:val="16"/>
                <w:b w:val="1"/>
                <w:bCs w:val="1"/>
                <w:color w:val="auto"/>
              </w:rPr>
              <w:t>1,853</w:t>
            </w:r>
          </w:p>
        </w:tc>
        <w:tc>
          <w:tcPr>
            <w:tcW w:w="8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12,124</w:t>
            </w:r>
          </w:p>
        </w:tc>
      </w:tr>
      <w:tr>
        <w:trPr>
          <w:trHeight w:val="222"/>
        </w:trPr>
        <w:tc>
          <w:tcPr>
            <w:tcW w:w="432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706,028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34</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Stock-based compensation</w:t>
            </w:r>
          </w:p>
        </w:tc>
        <w:tc>
          <w:tcPr>
            <w:tcW w:w="1360" w:type="dxa"/>
            <w:vAlign w:val="bottom"/>
            <w:shd w:val="clear" w:color="auto" w:fill="F7F7F7"/>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107</w:t>
            </w:r>
          </w:p>
        </w:tc>
        <w:tc>
          <w:tcPr>
            <w:tcW w:w="11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107</w:t>
            </w:r>
          </w:p>
        </w:tc>
      </w:tr>
      <w:tr>
        <w:trPr>
          <w:trHeight w:val="228"/>
        </w:trPr>
        <w:tc>
          <w:tcPr>
            <w:tcW w:w="4320" w:type="dxa"/>
            <w:vAlign w:val="bottom"/>
          </w:tcPr>
          <w:p>
            <w:pPr>
              <w:ind w:left="140"/>
              <w:spacing w:after="0"/>
              <w:rPr>
                <w:sz w:val="20"/>
                <w:szCs w:val="20"/>
                <w:color w:val="auto"/>
              </w:rPr>
            </w:pPr>
            <w:r>
              <w:rPr>
                <w:rFonts w:ascii="Arial" w:cs="Arial" w:eastAsia="Arial" w:hAnsi="Arial"/>
                <w:sz w:val="16"/>
                <w:szCs w:val="16"/>
                <w:color w:val="auto"/>
              </w:rPr>
              <w:t>Vesting of restricted share units</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1,206,840</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104</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(106)</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income and comprehensive loss for the period</w:t>
            </w:r>
          </w:p>
        </w:tc>
        <w:tc>
          <w:tcPr>
            <w:tcW w:w="1360" w:type="dxa"/>
            <w:vAlign w:val="bottom"/>
            <w:tcBorders>
              <w:bottom w:val="single" w:sz="8" w:color="auto"/>
            </w:tcBorders>
            <w:shd w:val="clear" w:color="auto" w:fill="F7F7F7"/>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F7F7F7"/>
          </w:tcPr>
          <w:p>
            <w:pPr>
              <w:jc w:val="right"/>
              <w:ind w:right="279"/>
              <w:spacing w:after="0"/>
              <w:rPr>
                <w:sz w:val="20"/>
                <w:szCs w:val="20"/>
                <w:color w:val="auto"/>
              </w:rPr>
            </w:pPr>
            <w:r>
              <w:rPr>
                <w:rFonts w:ascii="Arial" w:cs="Arial" w:eastAsia="Arial" w:hAnsi="Arial"/>
                <w:sz w:val="16"/>
                <w:szCs w:val="16"/>
                <w:color w:val="auto"/>
              </w:rPr>
              <w:t>(6)</w:t>
            </w:r>
          </w:p>
        </w:tc>
        <w:tc>
          <w:tcPr>
            <w:tcW w:w="1100" w:type="dxa"/>
            <w:vAlign w:val="bottom"/>
            <w:tcBorders>
              <w:bottom w:val="single" w:sz="8" w:color="auto"/>
            </w:tcBorders>
            <w:shd w:val="clear" w:color="auto" w:fill="F7F7F7"/>
          </w:tcPr>
          <w:p>
            <w:pPr>
              <w:jc w:val="right"/>
              <w:ind w:right="259"/>
              <w:spacing w:after="0"/>
              <w:rPr>
                <w:sz w:val="20"/>
                <w:szCs w:val="20"/>
                <w:color w:val="auto"/>
              </w:rPr>
            </w:pPr>
            <w:r>
              <w:rPr>
                <w:rFonts w:ascii="Arial" w:cs="Arial" w:eastAsia="Arial" w:hAnsi="Arial"/>
                <w:sz w:val="16"/>
                <w:szCs w:val="16"/>
                <w:color w:val="auto"/>
              </w:rPr>
              <w:t>264</w:t>
            </w:r>
          </w:p>
        </w:tc>
        <w:tc>
          <w:tcPr>
            <w:tcW w:w="8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258</w:t>
            </w:r>
          </w:p>
        </w:tc>
      </w:tr>
      <w:tr>
        <w:trPr>
          <w:trHeight w:val="22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2025</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1,301,281,052</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10,123</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272</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2,117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12,511</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22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2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vMerge w:val="restart"/>
          </w:tcPr>
          <w:p>
            <w:pPr>
              <w:jc w:val="right"/>
              <w:ind w:right="219"/>
              <w:spacing w:after="0" w:line="142" w:lineRule="exact"/>
              <w:rPr>
                <w:sz w:val="20"/>
                <w:szCs w:val="20"/>
                <w:color w:val="auto"/>
              </w:rPr>
            </w:pPr>
            <w:r>
              <w:rPr>
                <w:rFonts w:ascii="Arial" w:cs="Arial" w:eastAsia="Arial" w:hAnsi="Arial"/>
                <w:sz w:val="16"/>
                <w:szCs w:val="16"/>
                <w:b w:val="1"/>
                <w:bCs w:val="1"/>
                <w:color w:val="auto"/>
              </w:rPr>
              <w:t>Paid-In</w:t>
            </w:r>
          </w:p>
        </w:tc>
        <w:tc>
          <w:tcPr>
            <w:tcW w:w="12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Other</w:t>
            </w:r>
          </w:p>
        </w:tc>
        <w:tc>
          <w:tcPr>
            <w:tcW w:w="1280" w:type="dxa"/>
            <w:vAlign w:val="bottom"/>
            <w:vMerge w:val="continue"/>
          </w:tcPr>
          <w:p>
            <w:pPr>
              <w:spacing w:after="0"/>
              <w:rPr>
                <w:sz w:val="8"/>
                <w:szCs w:val="8"/>
                <w:color w:val="auto"/>
              </w:rPr>
            </w:pPr>
          </w:p>
        </w:tc>
        <w:tc>
          <w:tcPr>
            <w:tcW w:w="920" w:type="dxa"/>
            <w:vAlign w:val="bottom"/>
            <w:vMerge w:val="restart"/>
          </w:tcPr>
          <w:p>
            <w:pPr>
              <w:jc w:val="right"/>
              <w:ind w:right="23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63"/>
        </w:trPr>
        <w:tc>
          <w:tcPr>
            <w:tcW w:w="432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20" w:type="dxa"/>
            <w:vAlign w:val="bottom"/>
            <w:vMerge w:val="continue"/>
          </w:tcPr>
          <w:p>
            <w:pPr>
              <w:spacing w:after="0"/>
              <w:rPr>
                <w:sz w:val="5"/>
                <w:szCs w:val="5"/>
                <w:color w:val="auto"/>
              </w:rPr>
            </w:pPr>
          </w:p>
        </w:tc>
        <w:tc>
          <w:tcPr>
            <w:tcW w:w="1280" w:type="dxa"/>
            <w:vAlign w:val="bottom"/>
            <w:vMerge w:val="restart"/>
          </w:tcPr>
          <w:p>
            <w:pPr>
              <w:jc w:val="right"/>
              <w:ind w:right="41"/>
              <w:spacing w:after="0" w:line="145" w:lineRule="exact"/>
              <w:rPr>
                <w:sz w:val="20"/>
                <w:szCs w:val="20"/>
                <w:color w:val="auto"/>
              </w:rPr>
            </w:pPr>
            <w:r>
              <w:rPr>
                <w:rFonts w:ascii="Arial" w:cs="Arial" w:eastAsia="Arial" w:hAnsi="Arial"/>
                <w:sz w:val="14"/>
                <w:szCs w:val="14"/>
                <w:b w:val="1"/>
                <w:bCs w:val="1"/>
                <w:color w:val="auto"/>
              </w:rPr>
              <w:t>Comprehensive</w:t>
            </w:r>
          </w:p>
        </w:tc>
        <w:tc>
          <w:tcPr>
            <w:tcW w:w="1280" w:type="dxa"/>
            <w:vAlign w:val="bottom"/>
            <w:vMerge w:val="restart"/>
          </w:tcPr>
          <w:p>
            <w:pPr>
              <w:jc w:val="right"/>
              <w:ind w:right="380"/>
              <w:spacing w:after="0" w:line="145" w:lineRule="exact"/>
              <w:rPr>
                <w:sz w:val="20"/>
                <w:szCs w:val="20"/>
                <w:color w:val="auto"/>
              </w:rPr>
            </w:pPr>
            <w:r>
              <w:rPr>
                <w:rFonts w:ascii="Arial" w:cs="Arial" w:eastAsia="Arial" w:hAnsi="Arial"/>
                <w:sz w:val="14"/>
                <w:szCs w:val="14"/>
                <w:b w:val="1"/>
                <w:bCs w:val="1"/>
                <w:color w:val="auto"/>
              </w:rPr>
              <w:t>Surplus</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12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Capital</w:t>
            </w:r>
          </w:p>
        </w:tc>
        <w:tc>
          <w:tcPr>
            <w:tcW w:w="12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 Income</w:t>
            </w:r>
          </w:p>
        </w:tc>
        <w:tc>
          <w:tcPr>
            <w:tcW w:w="1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1,303,904,301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10,376</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236</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2,860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13,473</w:t>
            </w:r>
          </w:p>
        </w:tc>
        <w:tc>
          <w:tcPr>
            <w:tcW w:w="0" w:type="dxa"/>
            <w:vAlign w:val="bottom"/>
          </w:tcPr>
          <w:p>
            <w:pPr>
              <w:spacing w:after="0"/>
              <w:rPr>
                <w:sz w:val="1"/>
                <w:szCs w:val="1"/>
                <w:color w:val="auto"/>
              </w:rPr>
            </w:pPr>
          </w:p>
        </w:tc>
      </w:tr>
      <w:tr>
        <w:trPr>
          <w:trHeight w:val="223"/>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202,056</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(4)</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8"/>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132</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1"/>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886,692</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106</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(109)</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8"/>
        </w:trPr>
        <w:tc>
          <w:tcPr>
            <w:tcW w:w="432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(4,214,019)</w:t>
            </w:r>
          </w:p>
        </w:tc>
        <w:tc>
          <w:tcPr>
            <w:tcW w:w="960" w:type="dxa"/>
            <w:vAlign w:val="bottom"/>
          </w:tcPr>
          <w:p>
            <w:pPr>
              <w:jc w:val="right"/>
              <w:spacing w:after="0"/>
              <w:rPr>
                <w:sz w:val="20"/>
                <w:szCs w:val="20"/>
                <w:color w:val="auto"/>
              </w:rPr>
            </w:pPr>
            <w:r>
              <w:rPr>
                <w:rFonts w:ascii="Arial" w:cs="Arial" w:eastAsia="Arial" w:hAnsi="Arial"/>
                <w:sz w:val="16"/>
                <w:szCs w:val="16"/>
                <w:color w:val="auto"/>
              </w:rPr>
              <w:t>(521)</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30"/>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loss and comprehensive loss for the period</w:t>
            </w:r>
          </w:p>
        </w:tc>
        <w:tc>
          <w:tcPr>
            <w:tcW w:w="126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7F7F7"/>
          </w:tcPr>
          <w:p>
            <w:pPr>
              <w:jc w:val="right"/>
              <w:ind w:right="41"/>
              <w:spacing w:after="0"/>
              <w:rPr>
                <w:sz w:val="20"/>
                <w:szCs w:val="20"/>
                <w:color w:val="auto"/>
              </w:rPr>
            </w:pPr>
            <w:r>
              <w:rPr>
                <w:rFonts w:ascii="Arial" w:cs="Arial" w:eastAsia="Arial" w:hAnsi="Arial"/>
                <w:sz w:val="16"/>
                <w:szCs w:val="16"/>
                <w:color w:val="auto"/>
              </w:rPr>
              <w:t>(5)</w:t>
            </w:r>
          </w:p>
        </w:tc>
        <w:tc>
          <w:tcPr>
            <w:tcW w:w="1280" w:type="dxa"/>
            <w:vAlign w:val="bottom"/>
            <w:tcBorders>
              <w:bottom w:val="single" w:sz="8" w:color="auto"/>
            </w:tcBorders>
            <w:shd w:val="clear" w:color="auto" w:fill="F7F7F7"/>
          </w:tcPr>
          <w:p>
            <w:pPr>
              <w:jc w:val="right"/>
              <w:ind w:right="160"/>
              <w:spacing w:after="0"/>
              <w:rPr>
                <w:sz w:val="20"/>
                <w:szCs w:val="20"/>
                <w:color w:val="auto"/>
              </w:rPr>
            </w:pPr>
            <w:r>
              <w:rPr>
                <w:rFonts w:ascii="Arial" w:cs="Arial" w:eastAsia="Arial" w:hAnsi="Arial"/>
                <w:sz w:val="16"/>
                <w:szCs w:val="16"/>
                <w:color w:val="auto"/>
              </w:rPr>
              <w:t>(581)</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1,300,779,030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9,971</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255</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2,279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0" w:type="dxa"/>
            <w:vAlign w:val="bottom"/>
          </w:tcPr>
          <w:p>
            <w:pPr>
              <w:spacing w:after="0"/>
              <w:rPr>
                <w:sz w:val="1"/>
                <w:szCs w:val="1"/>
                <w:color w:val="auto"/>
              </w:rPr>
            </w:pPr>
          </w:p>
        </w:tc>
      </w:tr>
      <w:tr>
        <w:trPr>
          <w:trHeight w:val="223"/>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112,390</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(2)</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0"/>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961,125</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105</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(107)</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432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(12,645,957)</w:t>
            </w:r>
          </w:p>
        </w:tc>
        <w:tc>
          <w:tcPr>
            <w:tcW w:w="960" w:type="dxa"/>
            <w:vAlign w:val="bottom"/>
          </w:tcPr>
          <w:p>
            <w:pPr>
              <w:jc w:val="right"/>
              <w:spacing w:after="0"/>
              <w:rPr>
                <w:sz w:val="20"/>
                <w:szCs w:val="20"/>
                <w:color w:val="auto"/>
              </w:rPr>
            </w:pPr>
            <w:r>
              <w:rPr>
                <w:rFonts w:ascii="Arial" w:cs="Arial" w:eastAsia="Arial" w:hAnsi="Arial"/>
                <w:sz w:val="16"/>
                <w:szCs w:val="16"/>
                <w:color w:val="auto"/>
              </w:rPr>
              <w:t>(1,445)</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31"/>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income and comprehensive loss for the period</w:t>
            </w:r>
          </w:p>
        </w:tc>
        <w:tc>
          <w:tcPr>
            <w:tcW w:w="126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7F7F7"/>
          </w:tcPr>
          <w:p>
            <w:pPr>
              <w:jc w:val="right"/>
              <w:ind w:right="41"/>
              <w:spacing w:after="0"/>
              <w:rPr>
                <w:sz w:val="20"/>
                <w:szCs w:val="20"/>
                <w:color w:val="auto"/>
              </w:rPr>
            </w:pPr>
            <w:r>
              <w:rPr>
                <w:rFonts w:ascii="Arial" w:cs="Arial" w:eastAsia="Arial" w:hAnsi="Arial"/>
                <w:sz w:val="16"/>
                <w:szCs w:val="16"/>
                <w:color w:val="auto"/>
              </w:rPr>
              <w:t>(3)</w:t>
            </w:r>
          </w:p>
        </w:tc>
        <w:tc>
          <w:tcPr>
            <w:tcW w:w="1280" w:type="dxa"/>
            <w:vAlign w:val="bottom"/>
            <w:tcBorders>
              <w:bottom w:val="single" w:sz="8" w:color="auto"/>
            </w:tcBorders>
            <w:shd w:val="clear" w:color="auto" w:fill="F7F7F7"/>
          </w:tcPr>
          <w:p>
            <w:pPr>
              <w:jc w:val="right"/>
              <w:ind w:right="200"/>
              <w:spacing w:after="0"/>
              <w:rPr>
                <w:sz w:val="20"/>
                <w:szCs w:val="20"/>
                <w:color w:val="auto"/>
              </w:rPr>
            </w:pPr>
            <w:r>
              <w:rPr>
                <w:rFonts w:ascii="Arial" w:cs="Arial" w:eastAsia="Arial" w:hAnsi="Arial"/>
                <w:sz w:val="16"/>
                <w:szCs w:val="16"/>
                <w:color w:val="auto"/>
              </w:rPr>
              <w:t>1,502</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F7F7F7"/>
            </w:tcBorders>
          </w:tcPr>
          <w:p>
            <w:pPr>
              <w:ind w:left="20"/>
              <w:spacing w:after="0"/>
              <w:rPr>
                <w:sz w:val="20"/>
                <w:szCs w:val="20"/>
                <w:color w:val="auto"/>
              </w:rPr>
            </w:pPr>
            <w:r>
              <w:rPr>
                <w:rFonts w:ascii="Arial" w:cs="Arial" w:eastAsia="Arial" w:hAnsi="Arial"/>
                <w:sz w:val="16"/>
                <w:szCs w:val="16"/>
                <w:b w:val="1"/>
                <w:bCs w:val="1"/>
                <w:color w:val="auto"/>
              </w:rPr>
              <w:t>As of June 30, 2026</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1,289,206,588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8,636</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274</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3,781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12,684</w:t>
            </w:r>
          </w:p>
        </w:tc>
        <w:tc>
          <w:tcPr>
            <w:tcW w:w="0" w:type="dxa"/>
            <w:vAlign w:val="bottom"/>
          </w:tcPr>
          <w:p>
            <w:pPr>
              <w:spacing w:after="0"/>
              <w:rPr>
                <w:sz w:val="1"/>
                <w:szCs w:val="1"/>
                <w:color w:val="auto"/>
              </w:rPr>
            </w:pPr>
          </w:p>
        </w:tc>
      </w:tr>
      <w:tr>
        <w:trPr>
          <w:trHeight w:val="223"/>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372,633</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22</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(7)</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r>
        <w:trPr>
          <w:trHeight w:val="229"/>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Vesting of restricted share units</w:t>
            </w:r>
          </w:p>
        </w:tc>
        <w:tc>
          <w:tcPr>
            <w:tcW w:w="126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1,089,538</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111</w:t>
            </w:r>
          </w:p>
        </w:tc>
        <w:tc>
          <w:tcPr>
            <w:tcW w:w="12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(114)</w:t>
            </w:r>
          </w:p>
        </w:tc>
        <w:tc>
          <w:tcPr>
            <w:tcW w:w="128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(4,285,848)</w:t>
            </w:r>
          </w:p>
        </w:tc>
        <w:tc>
          <w:tcPr>
            <w:tcW w:w="960" w:type="dxa"/>
            <w:vAlign w:val="bottom"/>
          </w:tcPr>
          <w:p>
            <w:pPr>
              <w:jc w:val="right"/>
              <w:spacing w:after="0"/>
              <w:rPr>
                <w:sz w:val="20"/>
                <w:szCs w:val="20"/>
                <w:color w:val="auto"/>
              </w:rPr>
            </w:pPr>
            <w:r>
              <w:rPr>
                <w:rFonts w:ascii="Arial" w:cs="Arial" w:eastAsia="Arial" w:hAnsi="Arial"/>
                <w:sz w:val="16"/>
                <w:szCs w:val="16"/>
                <w:color w:val="auto"/>
              </w:rPr>
              <w:t>(550)</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0" w:type="dxa"/>
            <w:vAlign w:val="bottom"/>
          </w:tcPr>
          <w:p>
            <w:pPr>
              <w:spacing w:after="0"/>
              <w:rPr>
                <w:sz w:val="1"/>
                <w:szCs w:val="1"/>
                <w:color w:val="auto"/>
              </w:rPr>
            </w:pPr>
          </w:p>
        </w:tc>
      </w:tr>
      <w:tr>
        <w:trPr>
          <w:trHeight w:val="230"/>
        </w:trPr>
        <w:tc>
          <w:tcPr>
            <w:tcW w:w="43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Net income and comprehensive income for the period</w:t>
            </w:r>
          </w:p>
        </w:tc>
        <w:tc>
          <w:tcPr>
            <w:tcW w:w="126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7F7F7"/>
          </w:tcPr>
          <w:p>
            <w:pPr>
              <w:jc w:val="right"/>
              <w:ind w:right="81"/>
              <w:spacing w:after="0"/>
              <w:rPr>
                <w:sz w:val="20"/>
                <w:szCs w:val="20"/>
                <w:color w:val="auto"/>
              </w:rPr>
            </w:pPr>
            <w:r>
              <w:rPr>
                <w:rFonts w:ascii="Arial" w:cs="Arial" w:eastAsia="Arial" w:hAnsi="Arial"/>
                <w:sz w:val="16"/>
                <w:szCs w:val="16"/>
                <w:color w:val="auto"/>
              </w:rPr>
              <w:t>1</w:t>
            </w:r>
          </w:p>
        </w:tc>
        <w:tc>
          <w:tcPr>
            <w:tcW w:w="1280" w:type="dxa"/>
            <w:vAlign w:val="bottom"/>
            <w:tcBorders>
              <w:bottom w:val="single" w:sz="8" w:color="auto"/>
            </w:tcBorders>
            <w:shd w:val="clear" w:color="auto" w:fill="F7F7F7"/>
          </w:tcPr>
          <w:p>
            <w:pPr>
              <w:jc w:val="right"/>
              <w:ind w:right="200"/>
              <w:spacing w:after="0"/>
              <w:rPr>
                <w:sz w:val="20"/>
                <w:szCs w:val="20"/>
                <w:color w:val="auto"/>
              </w:rPr>
            </w:pPr>
            <w:r>
              <w:rPr>
                <w:rFonts w:ascii="Arial" w:cs="Arial" w:eastAsia="Arial" w:hAnsi="Arial"/>
                <w:sz w:val="16"/>
                <w:szCs w:val="16"/>
                <w:color w:val="auto"/>
              </w:rPr>
              <w:t>462</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463</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2026</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1,286,382,911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8,219</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293</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4,243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Shopify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(Expressed in US $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3060" w:type="dxa"/>
            <w:vAlign w:val="bottom"/>
            <w:gridSpan w:val="3"/>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9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Net income for the period</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462</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264</w:t>
            </w:r>
          </w:p>
        </w:tc>
        <w:tc>
          <w:tcPr>
            <w:tcW w:w="180" w:type="dxa"/>
            <w:vAlign w:val="bottom"/>
            <w:shd w:val="clear" w:color="auto" w:fill="F7F7F7"/>
          </w:tcPr>
          <w:p>
            <w:pPr>
              <w:spacing w:after="0"/>
              <w:rPr>
                <w:sz w:val="19"/>
                <w:szCs w:val="19"/>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1,383</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76"/>
        </w:trPr>
        <w:tc>
          <w:tcPr>
            <w:tcW w:w="5280" w:type="dxa"/>
            <w:vAlign w:val="bottom"/>
          </w:tcPr>
          <w:p>
            <w:pPr>
              <w:ind w:left="240"/>
              <w:spacing w:after="0" w:line="175" w:lineRule="exact"/>
              <w:rPr>
                <w:sz w:val="20"/>
                <w:szCs w:val="20"/>
                <w:color w:val="auto"/>
              </w:rPr>
            </w:pPr>
            <w:r>
              <w:rPr>
                <w:rFonts w:ascii="Arial" w:cs="Arial" w:eastAsia="Arial" w:hAnsi="Arial"/>
                <w:sz w:val="16"/>
                <w:szCs w:val="16"/>
                <w:color w:val="auto"/>
              </w:rPr>
              <w:t>Adjustments to reconcile net income to net cash provided by</w:t>
            </w:r>
          </w:p>
        </w:tc>
        <w:tc>
          <w:tcPr>
            <w:tcW w:w="1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Amortization and depreciation</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528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140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400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Impairment of right-of-use assets and leasehold improvements</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8"/>
        </w:trPr>
        <w:tc>
          <w:tcPr>
            <w:tcW w:w="5280" w:type="dxa"/>
            <w:vAlign w:val="bottom"/>
          </w:tcPr>
          <w:p>
            <w:pPr>
              <w:ind w:left="480"/>
              <w:spacing w:after="0"/>
              <w:rPr>
                <w:sz w:val="20"/>
                <w:szCs w:val="20"/>
                <w:color w:val="auto"/>
              </w:rPr>
            </w:pPr>
            <w:r>
              <w:rPr>
                <w:rFonts w:ascii="Arial" w:cs="Arial" w:eastAsia="Arial" w:hAnsi="Arial"/>
                <w:sz w:val="16"/>
                <w:szCs w:val="16"/>
                <w:color w:val="auto"/>
              </w:rPr>
              <w:t>Provision for transaction and loan losses</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67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209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1"/>
        </w:trPr>
        <w:tc>
          <w:tcPr>
            <w:tcW w:w="52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Deferred income tax recovery</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(68)</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(42)</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8"/>
        </w:trPr>
        <w:tc>
          <w:tcPr>
            <w:tcW w:w="5280" w:type="dxa"/>
            <w:vAlign w:val="bottom"/>
          </w:tcPr>
          <w:p>
            <w:pPr>
              <w:ind w:left="480"/>
              <w:spacing w:after="0"/>
              <w:rPr>
                <w:sz w:val="20"/>
                <w:szCs w:val="20"/>
                <w:color w:val="auto"/>
              </w:rPr>
            </w:pPr>
            <w:r>
              <w:rPr>
                <w:rFonts w:ascii="Arial" w:cs="Arial" w:eastAsia="Arial" w:hAnsi="Arial"/>
                <w:sz w:val="16"/>
                <w:szCs w:val="16"/>
                <w:color w:val="auto"/>
              </w:rPr>
              <w:t>Revenue related to non-cash consideration</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1"/>
        </w:trPr>
        <w:tc>
          <w:tcPr>
            <w:tcW w:w="5280" w:type="dxa"/>
            <w:vAlign w:val="bottom"/>
            <w:shd w:val="clear" w:color="auto" w:fill="F7F7F7"/>
          </w:tcPr>
          <w:p>
            <w:pPr>
              <w:ind w:left="480"/>
              <w:spacing w:after="0"/>
              <w:rPr>
                <w:sz w:val="20"/>
                <w:szCs w:val="20"/>
                <w:color w:val="auto"/>
              </w:rPr>
            </w:pPr>
            <w:r>
              <w:rPr>
                <w:rFonts w:ascii="Arial" w:cs="Arial" w:eastAsia="Arial" w:hAnsi="Arial"/>
                <w:sz w:val="16"/>
                <w:szCs w:val="16"/>
                <w:color w:val="auto"/>
              </w:rPr>
              <w:t>Unrealized loss on embedded derivative</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8"/>
        </w:trPr>
        <w:tc>
          <w:tcPr>
            <w:tcW w:w="5280" w:type="dxa"/>
            <w:vAlign w:val="bottom"/>
          </w:tcPr>
          <w:p>
            <w:pPr>
              <w:ind w:left="480"/>
              <w:spacing w:after="0"/>
              <w:rPr>
                <w:sz w:val="20"/>
                <w:szCs w:val="20"/>
                <w:color w:val="auto"/>
              </w:rPr>
            </w:pPr>
            <w:r>
              <w:rPr>
                <w:rFonts w:ascii="Arial" w:cs="Arial" w:eastAsia="Arial" w:hAnsi="Arial"/>
                <w:sz w:val="16"/>
                <w:szCs w:val="16"/>
                <w:color w:val="auto"/>
              </w:rPr>
              <w:t>Net loss (gain) on equity and other investments</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(72)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460"/>
              <w:spacing w:after="0"/>
              <w:rPr>
                <w:sz w:val="20"/>
                <w:szCs w:val="20"/>
                <w:color w:val="auto"/>
              </w:rPr>
            </w:pPr>
            <w:r>
              <w:rPr>
                <w:rFonts w:ascii="Arial" w:cs="Arial" w:eastAsia="Arial" w:hAnsi="Arial"/>
                <w:sz w:val="16"/>
                <w:szCs w:val="16"/>
                <w:color w:val="auto"/>
              </w:rPr>
              <w:t>Net loss on equity method investment</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21</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64</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8"/>
        </w:trPr>
        <w:tc>
          <w:tcPr>
            <w:tcW w:w="5280" w:type="dxa"/>
            <w:vAlign w:val="bottom"/>
          </w:tcPr>
          <w:p>
            <w:pPr>
              <w:ind w:left="460"/>
              <w:spacing w:after="0"/>
              <w:rPr>
                <w:sz w:val="20"/>
                <w:szCs w:val="20"/>
                <w:color w:val="auto"/>
              </w:rPr>
            </w:pPr>
            <w:r>
              <w:rPr>
                <w:rFonts w:ascii="Arial" w:cs="Arial" w:eastAsia="Arial" w:hAnsi="Arial"/>
                <w:sz w:val="16"/>
                <w:szCs w:val="16"/>
                <w:color w:val="auto"/>
              </w:rPr>
              <w:t>Unrealized foreign exchange loss (gain)</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1"/>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62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84</w:t>
            </w:r>
          </w:p>
        </w:tc>
        <w:tc>
          <w:tcPr>
            <w:tcW w:w="126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(70)</w:t>
            </w:r>
          </w:p>
        </w:tc>
        <w:tc>
          <w:tcPr>
            <w:tcW w:w="180" w:type="dxa"/>
            <w:vAlign w:val="bottom"/>
            <w:shd w:val="clear" w:color="auto" w:fill="F7F7F7"/>
          </w:tcPr>
          <w:p>
            <w:pPr>
              <w:spacing w:after="0"/>
              <w:rPr>
                <w:sz w:val="20"/>
                <w:szCs w:val="20"/>
                <w:color w:val="auto"/>
              </w:rPr>
            </w:pP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22"/>
        </w:trPr>
        <w:tc>
          <w:tcPr>
            <w:tcW w:w="52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Net cash provided by operating activities</w:t>
            </w: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818</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513</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1,957</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24"/>
        </w:trPr>
        <w:tc>
          <w:tcPr>
            <w:tcW w:w="52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620" w:type="dxa"/>
            <w:vAlign w:val="bottom"/>
            <w:shd w:val="clear" w:color="auto" w:fill="F7F7F7"/>
          </w:tcPr>
          <w:p>
            <w:pPr>
              <w:spacing w:after="0"/>
              <w:rPr>
                <w:sz w:val="19"/>
                <w:szCs w:val="19"/>
                <w:color w:val="auto"/>
              </w:rPr>
            </w:pPr>
          </w:p>
        </w:tc>
        <w:tc>
          <w:tcPr>
            <w:tcW w:w="126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640" w:type="dxa"/>
            <w:vAlign w:val="bottom"/>
            <w:shd w:val="clear" w:color="auto" w:fill="F7F7F7"/>
          </w:tcPr>
          <w:p>
            <w:pPr>
              <w:spacing w:after="0"/>
              <w:rPr>
                <w:sz w:val="19"/>
                <w:szCs w:val="19"/>
                <w:color w:val="auto"/>
              </w:rPr>
            </w:pPr>
          </w:p>
        </w:tc>
        <w:tc>
          <w:tcPr>
            <w:tcW w:w="126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1"/>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marketable securities</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(866)</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(1,460)</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(2,363)</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228"/>
        </w:trPr>
        <w:tc>
          <w:tcPr>
            <w:tcW w:w="5280" w:type="dxa"/>
            <w:vAlign w:val="bottom"/>
          </w:tcPr>
          <w:p>
            <w:pPr>
              <w:ind w:left="240"/>
              <w:spacing w:after="0"/>
              <w:rPr>
                <w:sz w:val="20"/>
                <w:szCs w:val="20"/>
                <w:color w:val="auto"/>
              </w:rPr>
            </w:pPr>
            <w:r>
              <w:rPr>
                <w:rFonts w:ascii="Arial" w:cs="Arial" w:eastAsia="Arial" w:hAnsi="Arial"/>
                <w:sz w:val="16"/>
                <w:szCs w:val="16"/>
                <w:color w:val="auto"/>
              </w:rPr>
              <w:t>Maturities of marketable securities</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1,302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1,956</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4,215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231"/>
        </w:trPr>
        <w:tc>
          <w:tcPr>
            <w:tcW w:w="5280" w:type="dxa"/>
            <w:vAlign w:val="bottom"/>
            <w:shd w:val="clear" w:color="auto" w:fill="F7F7F7"/>
          </w:tcPr>
          <w:p>
            <w:pPr>
              <w:ind w:left="240"/>
              <w:spacing w:after="0" w:line="231" w:lineRule="exact"/>
              <w:rPr>
                <w:sz w:val="20"/>
                <w:szCs w:val="20"/>
                <w:color w:val="auto"/>
              </w:rPr>
            </w:pPr>
            <w:r>
              <w:rPr>
                <w:rFonts w:ascii="Arial" w:cs="Arial" w:eastAsia="Arial" w:hAnsi="Arial"/>
                <w:sz w:val="16"/>
                <w:szCs w:val="16"/>
                <w:color w:val="auto"/>
              </w:rPr>
              <w:t>Purchases and originations of loans and merchant cash advances</w:t>
            </w:r>
            <w:r>
              <w:rPr>
                <w:rFonts w:ascii="Arial" w:cs="Arial" w:eastAsia="Arial" w:hAnsi="Arial"/>
                <w:sz w:val="21"/>
                <w:szCs w:val="21"/>
                <w:color w:val="auto"/>
                <w:vertAlign w:val="superscript"/>
              </w:rPr>
              <w:t>(1)</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(1,700)</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(996)</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(4,633)</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30"/>
        </w:trPr>
        <w:tc>
          <w:tcPr>
            <w:tcW w:w="5280" w:type="dxa"/>
            <w:vAlign w:val="bottom"/>
          </w:tcPr>
          <w:p>
            <w:pPr>
              <w:ind w:left="240"/>
              <w:spacing w:after="0" w:line="230" w:lineRule="exact"/>
              <w:rPr>
                <w:sz w:val="20"/>
                <w:szCs w:val="20"/>
                <w:color w:val="auto"/>
              </w:rPr>
            </w:pPr>
            <w:r>
              <w:rPr>
                <w:rFonts w:ascii="Arial" w:cs="Arial" w:eastAsia="Arial" w:hAnsi="Arial"/>
                <w:sz w:val="16"/>
                <w:szCs w:val="16"/>
                <w:color w:val="auto"/>
              </w:rPr>
              <w:t>Repayments and sales of loans and merchant cash advances</w:t>
            </w:r>
            <w:r>
              <w:rPr>
                <w:rFonts w:ascii="Arial" w:cs="Arial" w:eastAsia="Arial" w:hAnsi="Arial"/>
                <w:sz w:val="21"/>
                <w:szCs w:val="21"/>
                <w:color w:val="auto"/>
                <w:vertAlign w:val="superscript"/>
              </w:rPr>
              <w:t>(1)</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1,471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849</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3,931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229"/>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(161)</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w:t>
            </w:r>
          </w:p>
        </w:tc>
        <w:tc>
          <w:tcPr>
            <w:tcW w:w="180" w:type="dxa"/>
            <w:vAlign w:val="bottom"/>
            <w:shd w:val="clear" w:color="auto" w:fill="F7F7F7"/>
          </w:tcPr>
          <w:p>
            <w:pPr>
              <w:spacing w:after="0"/>
              <w:rPr>
                <w:sz w:val="19"/>
                <w:szCs w:val="19"/>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(217)</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6"/>
                <w:szCs w:val="16"/>
                <w:color w:val="auto"/>
              </w:rPr>
              <w:t>Acquisition of businesses, net of cash acquired</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(5)</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Acquisition of intangible assets</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(99)</w:t>
            </w:r>
          </w:p>
        </w:tc>
        <w:tc>
          <w:tcPr>
            <w:tcW w:w="1440" w:type="dxa"/>
            <w:vAlign w:val="bottom"/>
            <w:gridSpan w:val="2"/>
            <w:shd w:val="clear" w:color="auto" w:fill="F7F7F7"/>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(99)</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6"/>
                <w:szCs w:val="16"/>
                <w:color w:val="auto"/>
              </w:rPr>
              <w:t>Other</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5280" w:type="dxa"/>
            <w:vAlign w:val="bottom"/>
            <w:tcBorders>
              <w:top w:val="single" w:sz="8" w:color="F7F7F7"/>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620" w:type="dxa"/>
            <w:vAlign w:val="bottom"/>
            <w:tcBorders>
              <w:top w:val="single" w:sz="8" w:color="auto"/>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(60)</w:t>
            </w:r>
          </w:p>
        </w:tc>
        <w:tc>
          <w:tcPr>
            <w:tcW w:w="1260" w:type="dxa"/>
            <w:vAlign w:val="bottom"/>
            <w:tcBorders>
              <w:top w:val="single" w:sz="8" w:color="auto"/>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335</w:t>
            </w:r>
          </w:p>
        </w:tc>
        <w:tc>
          <w:tcPr>
            <w:tcW w:w="180" w:type="dxa"/>
            <w:vAlign w:val="bottom"/>
            <w:tcBorders>
              <w:top w:val="single" w:sz="8" w:color="F7F7F7"/>
              <w:bottom w:val="single" w:sz="8" w:color="auto"/>
            </w:tcBorders>
            <w:shd w:val="clear" w:color="auto" w:fill="F7F7F7"/>
          </w:tcPr>
          <w:p>
            <w:pPr>
              <w:spacing w:after="0"/>
              <w:rPr>
                <w:sz w:val="19"/>
                <w:szCs w:val="19"/>
                <w:color w:val="auto"/>
              </w:rPr>
            </w:pPr>
          </w:p>
        </w:tc>
        <w:tc>
          <w:tcPr>
            <w:tcW w:w="1640" w:type="dxa"/>
            <w:vAlign w:val="bottom"/>
            <w:tcBorders>
              <w:top w:val="single" w:sz="8" w:color="auto"/>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821</w:t>
            </w:r>
          </w:p>
        </w:tc>
        <w:tc>
          <w:tcPr>
            <w:tcW w:w="1260" w:type="dxa"/>
            <w:vAlign w:val="bottom"/>
            <w:tcBorders>
              <w:top w:val="single" w:sz="8" w:color="auto"/>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24"/>
        </w:trPr>
        <w:tc>
          <w:tcPr>
            <w:tcW w:w="528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Proceeds from the exercise of stock options</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24</w:t>
            </w:r>
          </w:p>
        </w:tc>
        <w:tc>
          <w:tcPr>
            <w:tcW w:w="180" w:type="dxa"/>
            <w:vAlign w:val="bottom"/>
            <w:shd w:val="clear" w:color="auto" w:fill="F7F7F7"/>
          </w:tcPr>
          <w:p>
            <w:pPr>
              <w:spacing w:after="0"/>
              <w:rPr>
                <w:sz w:val="19"/>
                <w:szCs w:val="19"/>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24</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8"/>
        </w:trPr>
        <w:tc>
          <w:tcPr>
            <w:tcW w:w="5280" w:type="dxa"/>
            <w:vAlign w:val="bottom"/>
          </w:tcPr>
          <w:p>
            <w:pPr>
              <w:ind w:left="240"/>
              <w:spacing w:after="0"/>
              <w:rPr>
                <w:sz w:val="20"/>
                <w:szCs w:val="20"/>
                <w:color w:val="auto"/>
              </w:rPr>
            </w:pPr>
            <w:r>
              <w:rPr>
                <w:rFonts w:ascii="Arial" w:cs="Arial" w:eastAsia="Arial" w:hAnsi="Arial"/>
                <w:sz w:val="16"/>
                <w:szCs w:val="16"/>
                <w:color w:val="auto"/>
              </w:rPr>
              <w:t>Repurchases of common stock</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(562)</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(2,473)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F7F7F7"/>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620" w:type="dxa"/>
            <w:vAlign w:val="bottom"/>
            <w:tcBorders>
              <w:top w:val="single" w:sz="8" w:color="auto"/>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(547)</w:t>
            </w:r>
          </w:p>
        </w:tc>
        <w:tc>
          <w:tcPr>
            <w:tcW w:w="1260" w:type="dxa"/>
            <w:vAlign w:val="bottom"/>
            <w:tcBorders>
              <w:top w:val="single" w:sz="8" w:color="auto"/>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24</w:t>
            </w:r>
          </w:p>
        </w:tc>
        <w:tc>
          <w:tcPr>
            <w:tcW w:w="180" w:type="dxa"/>
            <w:vAlign w:val="bottom"/>
            <w:tcBorders>
              <w:top w:val="single" w:sz="8" w:color="F7F7F7"/>
              <w:bottom w:val="single" w:sz="8" w:color="auto"/>
            </w:tcBorders>
            <w:shd w:val="clear" w:color="auto" w:fill="F7F7F7"/>
          </w:tcPr>
          <w:p>
            <w:pPr>
              <w:spacing w:after="0"/>
              <w:rPr>
                <w:sz w:val="19"/>
                <w:szCs w:val="19"/>
                <w:color w:val="auto"/>
              </w:rPr>
            </w:pPr>
          </w:p>
        </w:tc>
        <w:tc>
          <w:tcPr>
            <w:tcW w:w="1640" w:type="dxa"/>
            <w:vAlign w:val="bottom"/>
            <w:tcBorders>
              <w:top w:val="single" w:sz="8" w:color="auto"/>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(2,449)</w:t>
            </w:r>
          </w:p>
        </w:tc>
        <w:tc>
          <w:tcPr>
            <w:tcW w:w="1260" w:type="dxa"/>
            <w:vAlign w:val="bottom"/>
            <w:tcBorders>
              <w:top w:val="single" w:sz="8" w:color="auto"/>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0"/>
        </w:trPr>
        <w:tc>
          <w:tcPr>
            <w:tcW w:w="5280" w:type="dxa"/>
            <w:vAlign w:val="bottom"/>
          </w:tcPr>
          <w:p>
            <w:pPr>
              <w:ind w:left="140"/>
              <w:spacing w:after="0" w:line="170" w:lineRule="exact"/>
              <w:rPr>
                <w:sz w:val="20"/>
                <w:szCs w:val="20"/>
                <w:color w:val="auto"/>
              </w:rPr>
            </w:pPr>
            <w:r>
              <w:rPr>
                <w:rFonts w:ascii="Arial" w:cs="Arial" w:eastAsia="Arial" w:hAnsi="Arial"/>
                <w:sz w:val="16"/>
                <w:szCs w:val="16"/>
                <w:color w:val="auto"/>
              </w:rPr>
              <w:t>Effect of foreign exchange on cash, cash equivalents and restricted</w:t>
            </w:r>
          </w:p>
        </w:tc>
        <w:tc>
          <w:tcPr>
            <w:tcW w:w="1620" w:type="dxa"/>
            <w:vAlign w:val="bottom"/>
            <w:vMerge w:val="restart"/>
          </w:tcPr>
          <w:p>
            <w:pPr>
              <w:jc w:val="right"/>
              <w:ind w:right="319"/>
              <w:spacing w:after="0"/>
              <w:rPr>
                <w:sz w:val="20"/>
                <w:szCs w:val="20"/>
                <w:color w:val="auto"/>
              </w:rPr>
            </w:pPr>
            <w:r>
              <w:rPr>
                <w:rFonts w:ascii="Arial" w:cs="Arial" w:eastAsia="Arial" w:hAnsi="Arial"/>
                <w:sz w:val="16"/>
                <w:szCs w:val="16"/>
                <w:color w:val="auto"/>
              </w:rPr>
              <w:t>1</w:t>
            </w: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vMerge w:val="restart"/>
          </w:tcPr>
          <w:p>
            <w:pPr>
              <w:jc w:val="right"/>
              <w:ind w:right="339"/>
              <w:spacing w:after="0"/>
              <w:rPr>
                <w:sz w:val="20"/>
                <w:szCs w:val="20"/>
                <w:color w:val="auto"/>
              </w:rPr>
            </w:pPr>
            <w:r>
              <w:rPr>
                <w:rFonts w:ascii="Arial" w:cs="Arial" w:eastAsia="Arial" w:hAnsi="Arial"/>
                <w:sz w:val="16"/>
                <w:szCs w:val="16"/>
                <w:color w:val="auto"/>
              </w:rPr>
              <w:t>(6)</w:t>
            </w: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5280" w:type="dxa"/>
            <w:vAlign w:val="bottom"/>
          </w:tcPr>
          <w:p>
            <w:pPr>
              <w:ind w:left="140"/>
              <w:spacing w:after="0"/>
              <w:rPr>
                <w:sz w:val="20"/>
                <w:szCs w:val="20"/>
                <w:color w:val="auto"/>
              </w:rPr>
            </w:pPr>
            <w:r>
              <w:rPr>
                <w:rFonts w:ascii="Arial" w:cs="Arial" w:eastAsia="Arial" w:hAnsi="Arial"/>
                <w:sz w:val="16"/>
                <w:szCs w:val="16"/>
                <w:color w:val="auto"/>
              </w:rPr>
              <w:t>cash</w:t>
            </w:r>
          </w:p>
        </w:tc>
        <w:tc>
          <w:tcPr>
            <w:tcW w:w="162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1620" w:type="dxa"/>
            <w:vAlign w:val="bottom"/>
            <w:shd w:val="clear" w:color="auto" w:fill="F7F7F7"/>
          </w:tcPr>
          <w:p>
            <w:pPr>
              <w:jc w:val="right"/>
              <w:ind w:right="319"/>
              <w:spacing w:after="0"/>
              <w:rPr>
                <w:sz w:val="20"/>
                <w:szCs w:val="20"/>
                <w:color w:val="auto"/>
              </w:rPr>
            </w:pPr>
            <w:r>
              <w:rPr>
                <w:rFonts w:ascii="Arial" w:cs="Arial" w:eastAsia="Arial" w:hAnsi="Arial"/>
                <w:sz w:val="16"/>
                <w:szCs w:val="16"/>
                <w:b w:val="1"/>
                <w:bCs w:val="1"/>
                <w:color w:val="auto"/>
              </w:rPr>
              <w:t>212</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872</w:t>
            </w:r>
          </w:p>
        </w:tc>
        <w:tc>
          <w:tcPr>
            <w:tcW w:w="180" w:type="dxa"/>
            <w:vAlign w:val="bottom"/>
            <w:shd w:val="clear" w:color="auto" w:fill="F7F7F7"/>
          </w:tcPr>
          <w:p>
            <w:pPr>
              <w:spacing w:after="0"/>
              <w:rPr>
                <w:sz w:val="20"/>
                <w:szCs w:val="20"/>
                <w:color w:val="auto"/>
              </w:rPr>
            </w:pPr>
          </w:p>
        </w:tc>
        <w:tc>
          <w:tcPr>
            <w:tcW w:w="1640" w:type="dxa"/>
            <w:vAlign w:val="bottom"/>
            <w:shd w:val="clear" w:color="auto" w:fill="F7F7F7"/>
          </w:tcPr>
          <w:p>
            <w:pPr>
              <w:jc w:val="right"/>
              <w:ind w:right="339"/>
              <w:spacing w:after="0"/>
              <w:rPr>
                <w:sz w:val="20"/>
                <w:szCs w:val="20"/>
                <w:color w:val="auto"/>
              </w:rPr>
            </w:pPr>
            <w:r>
              <w:rPr>
                <w:rFonts w:ascii="Arial" w:cs="Arial" w:eastAsia="Arial" w:hAnsi="Arial"/>
                <w:sz w:val="16"/>
                <w:szCs w:val="16"/>
                <w:b w:val="1"/>
                <w:bCs w:val="1"/>
                <w:color w:val="auto"/>
              </w:rPr>
              <w:t>323</w:t>
            </w:r>
          </w:p>
        </w:tc>
        <w:tc>
          <w:tcPr>
            <w:tcW w:w="1260" w:type="dxa"/>
            <w:vAlign w:val="bottom"/>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916</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Cash, cash equivalents and restricted cash – beginning of period</w:t>
            </w: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1,656</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1,542</w:t>
            </w:r>
          </w:p>
        </w:tc>
        <w:tc>
          <w:tcPr>
            <w:tcW w:w="180" w:type="dxa"/>
            <w:vAlign w:val="bottom"/>
            <w:tcBorders>
              <w:bottom w:val="single" w:sz="8" w:color="F7F7F7"/>
            </w:tcBorders>
          </w:tcPr>
          <w:p>
            <w:pPr>
              <w:spacing w:after="0"/>
              <w:rPr>
                <w:sz w:val="19"/>
                <w:szCs w:val="19"/>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1,545</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224"/>
        </w:trPr>
        <w:tc>
          <w:tcPr>
            <w:tcW w:w="52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162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b w:val="1"/>
                <w:bCs w:val="1"/>
                <w:color w:val="auto"/>
              </w:rPr>
              <w:t>1,868</w:t>
            </w:r>
          </w:p>
        </w:tc>
        <w:tc>
          <w:tcPr>
            <w:tcW w:w="126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2,414</w:t>
            </w:r>
          </w:p>
        </w:tc>
        <w:tc>
          <w:tcPr>
            <w:tcW w:w="180" w:type="dxa"/>
            <w:vAlign w:val="bottom"/>
            <w:tcBorders>
              <w:bottom w:val="single" w:sz="8" w:color="auto"/>
            </w:tcBorders>
            <w:shd w:val="clear" w:color="auto" w:fill="F7F7F7"/>
          </w:tcPr>
          <w:p>
            <w:pPr>
              <w:spacing w:after="0"/>
              <w:rPr>
                <w:sz w:val="19"/>
                <w:szCs w:val="19"/>
                <w:color w:val="auto"/>
              </w:rPr>
            </w:pPr>
          </w:p>
        </w:tc>
        <w:tc>
          <w:tcPr>
            <w:tcW w:w="164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b w:val="1"/>
                <w:bCs w:val="1"/>
                <w:color w:val="auto"/>
              </w:rPr>
              <w:t>1,868</w:t>
            </w:r>
          </w:p>
        </w:tc>
        <w:tc>
          <w:tcPr>
            <w:tcW w:w="126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2,414</w:t>
            </w: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Supplemental cash flow information:</w:t>
            </w:r>
          </w:p>
        </w:tc>
        <w:tc>
          <w:tcPr>
            <w:tcW w:w="1620" w:type="dxa"/>
            <w:vAlign w:val="bottom"/>
            <w:shd w:val="clear" w:color="auto" w:fill="F7F7F7"/>
          </w:tcPr>
          <w:p>
            <w:pPr>
              <w:spacing w:after="0"/>
              <w:rPr>
                <w:sz w:val="19"/>
                <w:szCs w:val="19"/>
                <w:color w:val="auto"/>
              </w:rPr>
            </w:pPr>
          </w:p>
        </w:tc>
        <w:tc>
          <w:tcPr>
            <w:tcW w:w="126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640" w:type="dxa"/>
            <w:vAlign w:val="bottom"/>
            <w:shd w:val="clear" w:color="auto" w:fill="F7F7F7"/>
          </w:tcPr>
          <w:p>
            <w:pPr>
              <w:spacing w:after="0"/>
              <w:rPr>
                <w:sz w:val="19"/>
                <w:szCs w:val="19"/>
                <w:color w:val="auto"/>
              </w:rPr>
            </w:pPr>
          </w:p>
        </w:tc>
        <w:tc>
          <w:tcPr>
            <w:tcW w:w="126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240"/>
              <w:spacing w:after="0"/>
              <w:rPr>
                <w:sz w:val="20"/>
                <w:szCs w:val="20"/>
                <w:color w:val="auto"/>
              </w:rPr>
            </w:pPr>
            <w:r>
              <w:rPr>
                <w:rFonts w:ascii="Arial" w:cs="Arial" w:eastAsia="Arial" w:hAnsi="Arial"/>
                <w:sz w:val="16"/>
                <w:szCs w:val="16"/>
                <w:color w:val="auto"/>
              </w:rPr>
              <w:t>Cash paid for income taxes, net</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70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311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firstLine="8"/>
        <w:spacing w:after="0" w:line="316"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Starting in April 2026, the cash flows associated with merchant cash advances are presented within investing cash flows on a basis consistent with loans, given the similar nature of the underlying lending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Shopify Inc. ("Shopify" or the "Company") was incorporated on September 28, 2004. Shopify provides essential internet infrastructure for commerce. Shopify's all-in-one platform makes it easier to start, run and grow a business, powering sales online, in store, and everywhere in between. Shopify's mission is to make commerce better for everyone with a platform and services that are engineered for speed, customization, reliability and security, while delivering a better shopping experience for consumers everywhere. The Company's platform enables merchants to manage, market and sell their products across various sales channels, including online storefronts, physical retail spaces, AI platforms, social media and more. Shopify provides merchants with an integrated back-end system to streamline operations, from managing inventory and transaction management to building relationships with buyers. With a robust and continuously updated infrastructure, Shopify's goal is to provide merchants with cutting-edge technology to thrive in a competitive market.</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 and Consolidation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directly and indirectly held wholly owned subsidiaries. All intercompany accounts and transactions have been eliminated upon consolidation.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condensed consolidated financial statements of the Company have been presented in U.S. dollars ("USD") and have been prepared in accordance with accounting principles generally accepted in the United States of America ("U.S. GAAP"), including the applicable rules and regulations of the Securities and Exchange Commission ("SEC") regarding financial reporting. Certain information and note disclosures normally included in annual financial statements prepared in accordance with U.S. GAAP have been condensed or omitted pursuant to such rules and regulations.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Company, the accompanying unaudited condensed consolidated financial statements contain all adjustments, consisting of only normal recurring adjustments, necessary for the fair statement of its financial position, results of operations and comprehensive income, changes in shareholders' equity and cash flows for the interim periods. These unaudited quarterly condensed consolidated financial statements should be read in conjunction with the Company's audited consolidated financial statements and related notes included in Item 15 in the Company's 2025 Form 10-K. The consolidated balance sheet at December 31, 2025 is derived from the audited annual financial statements, but does not contain all of the footnote disclosures from the annual financial statements.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quarterly results for the three and nine months ended September 30, 2026 are not necessarily indicative of the results expected for the full fiscal year.</w:t>
      </w:r>
    </w:p>
    <w:p>
      <w:pPr>
        <w:spacing w:after="0" w:line="1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Significant Accounting Policies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to the Company’s significant accounting policies and no material updates in the Company's assessment of the recent accounting pronouncements not yet adopted during the three and nine months ended September 30, 2026, as compared to the significant accounting policies described in the Company’s annual consolidated financial statements for the year ended December 31, 2025.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judgments and assumptions that affect the reported amounts of assets and liabilities at the date of the condensed consolidated financial statements and the reported amounts of revenues and expenses during the reporting period. Actual results may differ from the estimates made by management. Significant estimates, judgments and assumptions in these condensed consolidated financial statements include: key judgments related to revenue recognition in determining whether the Company is the principal or an agent to the arrangements with merchants; estimates and judgments involved in applying the measurement alternative associated with equity and other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private companies, including revenue growth rates and revenue multiples based on market comparables; estimates involved in our equity method investment; probabilities of achieving performance milestones associated with non-cash revenue consideration from strategic partnerships; the probability and amount of loss contingencies; and judgments involved in uncertain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 Risk</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holds equity and other investments that are subject to a wide variety of market-related risks that could substantially reduce or increase the fair value of our holdings. The Company's equity and other investments in public companies are recorded at fair value, which is subject to market price volatility. The Company also holds an investment option to purchase Series B common shares in Klaviyo, Inc. which is accounted for as a derivative instrument and valued using the Black-Scholes model, and is subject to market price volatility as well as a discount for lack of marketability. The Company's equity investments in private companies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Furthermore, for the equity method investment, Shopify's share of income and loss from these investments may cause volatility to Shopify's earnings. The Company's debt investments in convertible notes of private companies are recorded at fair value, which are impacted by the underlying entities' valuations and interest rates.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 high concentration of risk associated with a small number of equity and other investments that are impacted by fluctuations in their fair values or by observable changes or impairments.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results of operations and foreign currency assets and liabilities are exposed to foreign currency fluctuations.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majority of the Company's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Euros ("EUR"), British pound sterling ("GBP") and Canadian dollars ("CAD"). Furthermore, a significant proportion of operating expenses are also incurred in the aforementioned foreign currencies.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Although foreign currency fluctuations associated with revenues and costs may partially offset one another in earnings, the Company uses foreign exchange derivative products to mitigate a portion of the remaining exposure of foreign currency fluctuations as discussed in "Note 4</w:t>
      </w:r>
    </w:p>
    <w:p>
      <w:pPr>
        <w:spacing w:after="0" w:line="2" w:lineRule="exact"/>
        <w:rPr>
          <w:sz w:val="20"/>
          <w:szCs w:val="20"/>
          <w:color w:val="auto"/>
        </w:rPr>
      </w:pPr>
    </w:p>
    <w:p>
      <w:pPr>
        <w:ind w:firstLine="8"/>
        <w:spacing w:after="0" w:line="266" w:lineRule="auto"/>
        <w:tabs>
          <w:tab w:leader="none" w:pos="156"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Instruments". By their nature, derivative financial instruments involve risk, including the credit risk of non-performance by counterparties.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Financial Instruments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measures financial instruments based on quoted prices in active markets (Level 1), inputs from similar instruments such as quoted prices or other observable market data (Level 2) or where little or no market activity exists, using unobservable inputs that require judgment or estimation (Level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holds certain debt securities that are classified as held-to-maturity at the time of purchase as the Company has both the positive intent and ability to hold to maturity. The fair value of corporate bonds are based upon Level 2 inputs, which include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holds debt securities in the form of convertible notes in private companies classified as available-for-sale for which the Company has elected to apply the fair value option. The investments are carried at fair value at each balance sheet date and any movements in the fair values are classified as "Other income (expense), net" in the condensed consolidated statements of operations and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debt securities by balance sheet classification and level within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2026</w:t>
            </w:r>
          </w:p>
        </w:tc>
        <w:tc>
          <w:tcPr>
            <w:tcW w:w="1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Carrying Value</w:t>
            </w:r>
          </w:p>
        </w:tc>
        <w:tc>
          <w:tcPr>
            <w:tcW w:w="1540" w:type="dxa"/>
            <w:vAlign w:val="bottom"/>
            <w:tcBorders>
              <w:bottom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680" w:type="dxa"/>
            <w:vAlign w:val="bottom"/>
          </w:tcPr>
          <w:p>
            <w:pPr>
              <w:jc w:val="right"/>
              <w:ind w:right="659"/>
              <w:spacing w:after="0" w:line="169" w:lineRule="exact"/>
              <w:rPr>
                <w:sz w:val="20"/>
                <w:szCs w:val="20"/>
                <w:color w:val="auto"/>
              </w:rPr>
            </w:pPr>
            <w:r>
              <w:rPr>
                <w:rFonts w:ascii="Arial" w:cs="Arial" w:eastAsia="Arial" w:hAnsi="Arial"/>
                <w:sz w:val="16"/>
                <w:szCs w:val="16"/>
                <w:b w:val="1"/>
                <w:bCs w:val="1"/>
                <w:color w:val="auto"/>
              </w:rPr>
              <w:t>Cash</w:t>
            </w:r>
          </w:p>
        </w:tc>
        <w:tc>
          <w:tcPr>
            <w:tcW w:w="1540" w:type="dxa"/>
            <w:vAlign w:val="bottom"/>
          </w:tcPr>
          <w:p>
            <w:pPr>
              <w:jc w:val="right"/>
              <w:ind w:right="279"/>
              <w:spacing w:after="0" w:line="169" w:lineRule="exact"/>
              <w:rPr>
                <w:sz w:val="20"/>
                <w:szCs w:val="20"/>
                <w:color w:val="auto"/>
              </w:rPr>
            </w:pPr>
            <w:r>
              <w:rPr>
                <w:rFonts w:ascii="Arial" w:cs="Arial" w:eastAsia="Arial" w:hAnsi="Arial"/>
                <w:sz w:val="16"/>
                <w:szCs w:val="16"/>
                <w:b w:val="1"/>
                <w:bCs w:val="1"/>
                <w:color w:val="auto"/>
              </w:rPr>
              <w:t>Marketable</w:t>
            </w:r>
          </w:p>
        </w:tc>
        <w:tc>
          <w:tcPr>
            <w:tcW w:w="18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Long-term</w:t>
            </w:r>
          </w:p>
        </w:tc>
        <w:tc>
          <w:tcPr>
            <w:tcW w:w="154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Equity and Other</w:t>
            </w:r>
          </w:p>
        </w:tc>
        <w:tc>
          <w:tcPr>
            <w:tcW w:w="17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Equivalents</w:t>
            </w:r>
          </w:p>
        </w:tc>
        <w:tc>
          <w:tcPr>
            <w:tcW w:w="15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Securities</w:t>
            </w: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Investments</w:t>
            </w:r>
          </w:p>
        </w:tc>
        <w:tc>
          <w:tcPr>
            <w:tcW w:w="15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Investments</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9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(in US $ millions)</w:t>
            </w: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1:</w:t>
            </w:r>
          </w:p>
        </w:tc>
        <w:tc>
          <w:tcPr>
            <w:tcW w:w="1680" w:type="dxa"/>
            <w:vAlign w:val="bottom"/>
            <w:shd w:val="clear" w:color="auto" w:fill="F7F7F7"/>
          </w:tcPr>
          <w:p>
            <w:pPr>
              <w:spacing w:after="0"/>
              <w:rPr>
                <w:sz w:val="20"/>
                <w:szCs w:val="20"/>
                <w:color w:val="auto"/>
              </w:rPr>
            </w:pPr>
          </w:p>
        </w:tc>
        <w:tc>
          <w:tcPr>
            <w:tcW w:w="1540" w:type="dxa"/>
            <w:vAlign w:val="bottom"/>
            <w:shd w:val="clear" w:color="auto" w:fill="F7F7F7"/>
          </w:tcPr>
          <w:p>
            <w:pPr>
              <w:spacing w:after="0"/>
              <w:rPr>
                <w:sz w:val="20"/>
                <w:szCs w:val="20"/>
                <w:color w:val="auto"/>
              </w:rPr>
            </w:pPr>
          </w:p>
        </w:tc>
        <w:tc>
          <w:tcPr>
            <w:tcW w:w="1820" w:type="dxa"/>
            <w:vAlign w:val="bottom"/>
            <w:shd w:val="clear" w:color="auto" w:fill="F7F7F7"/>
          </w:tcPr>
          <w:p>
            <w:pPr>
              <w:spacing w:after="0"/>
              <w:rPr>
                <w:sz w:val="20"/>
                <w:szCs w:val="20"/>
                <w:color w:val="auto"/>
              </w:rPr>
            </w:pPr>
          </w:p>
        </w:tc>
        <w:tc>
          <w:tcPr>
            <w:tcW w:w="1540" w:type="dxa"/>
            <w:vAlign w:val="bottom"/>
            <w:shd w:val="clear" w:color="auto" w:fill="F7F7F7"/>
          </w:tcPr>
          <w:p>
            <w:pPr>
              <w:spacing w:after="0"/>
              <w:rPr>
                <w:sz w:val="20"/>
                <w:szCs w:val="20"/>
                <w:color w:val="auto"/>
              </w:rPr>
            </w:pPr>
          </w:p>
        </w:tc>
        <w:tc>
          <w:tcPr>
            <w:tcW w:w="170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6"/>
                <w:szCs w:val="16"/>
                <w:color w:val="auto"/>
              </w:rPr>
              <w:t>U.S. term deposits</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250</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76"/>
        </w:trPr>
        <w:tc>
          <w:tcPr>
            <w:tcW w:w="2940" w:type="dxa"/>
            <w:vAlign w:val="bottom"/>
            <w:shd w:val="clear" w:color="auto" w:fill="F7F7F7"/>
          </w:tcPr>
          <w:p>
            <w:pPr>
              <w:ind w:left="360"/>
              <w:spacing w:after="0" w:line="177" w:lineRule="exact"/>
              <w:rPr>
                <w:sz w:val="20"/>
                <w:szCs w:val="20"/>
                <w:color w:val="auto"/>
              </w:rPr>
            </w:pPr>
            <w:r>
              <w:rPr>
                <w:rFonts w:ascii="Arial" w:cs="Arial" w:eastAsia="Arial" w:hAnsi="Arial"/>
                <w:sz w:val="16"/>
                <w:szCs w:val="16"/>
                <w:color w:val="auto"/>
              </w:rPr>
              <w:t>U.S. federal bonds and agency</w:t>
            </w:r>
          </w:p>
        </w:tc>
        <w:tc>
          <w:tcPr>
            <w:tcW w:w="1680" w:type="dxa"/>
            <w:vAlign w:val="bottom"/>
            <w:vMerge w:val="restart"/>
            <w:shd w:val="clear" w:color="auto" w:fill="F7F7F7"/>
          </w:tcPr>
          <w:p>
            <w:pPr>
              <w:jc w:val="right"/>
              <w:ind w:right="239"/>
              <w:spacing w:after="0"/>
              <w:rPr>
                <w:sz w:val="20"/>
                <w:szCs w:val="20"/>
                <w:color w:val="auto"/>
              </w:rPr>
            </w:pPr>
            <w:r>
              <w:rPr>
                <w:rFonts w:ascii="Arial" w:cs="Arial" w:eastAsia="Arial" w:hAnsi="Arial"/>
                <w:sz w:val="16"/>
                <w:szCs w:val="16"/>
                <w:color w:val="auto"/>
              </w:rPr>
              <w:t>267</w:t>
            </w:r>
          </w:p>
        </w:tc>
        <w:tc>
          <w:tcPr>
            <w:tcW w:w="154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1,207</w:t>
            </w:r>
          </w:p>
        </w:tc>
        <w:tc>
          <w:tcPr>
            <w:tcW w:w="1820" w:type="dxa"/>
            <w:vAlign w:val="bottom"/>
            <w:vMerge w:val="restart"/>
            <w:shd w:val="clear" w:color="auto" w:fill="F7F7F7"/>
          </w:tcPr>
          <w:p>
            <w:pPr>
              <w:jc w:val="right"/>
              <w:ind w:right="219"/>
              <w:spacing w:after="0"/>
              <w:rPr>
                <w:sz w:val="20"/>
                <w:szCs w:val="20"/>
                <w:color w:val="auto"/>
              </w:rPr>
            </w:pPr>
            <w:r>
              <w:rPr>
                <w:rFonts w:ascii="Arial" w:cs="Arial" w:eastAsia="Arial" w:hAnsi="Arial"/>
                <w:sz w:val="16"/>
                <w:szCs w:val="16"/>
                <w:color w:val="auto"/>
              </w:rPr>
              <w:t>417</w:t>
            </w:r>
          </w:p>
        </w:tc>
        <w:tc>
          <w:tcPr>
            <w:tcW w:w="154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6"/>
        </w:trPr>
        <w:tc>
          <w:tcPr>
            <w:tcW w:w="29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securities</w:t>
            </w:r>
          </w:p>
        </w:tc>
        <w:tc>
          <w:tcPr>
            <w:tcW w:w="1680" w:type="dxa"/>
            <w:vAlign w:val="bottom"/>
            <w:vMerge w:val="continue"/>
            <w:shd w:val="clear" w:color="auto" w:fill="F7F7F7"/>
          </w:tcPr>
          <w:p>
            <w:pPr>
              <w:spacing w:after="0"/>
              <w:rPr>
                <w:sz w:val="18"/>
                <w:szCs w:val="18"/>
                <w:color w:val="auto"/>
              </w:rPr>
            </w:pPr>
          </w:p>
        </w:tc>
        <w:tc>
          <w:tcPr>
            <w:tcW w:w="1540" w:type="dxa"/>
            <w:vAlign w:val="bottom"/>
            <w:vMerge w:val="continue"/>
            <w:shd w:val="clear" w:color="auto" w:fill="F7F7F7"/>
          </w:tcPr>
          <w:p>
            <w:pPr>
              <w:spacing w:after="0"/>
              <w:rPr>
                <w:sz w:val="18"/>
                <w:szCs w:val="18"/>
                <w:color w:val="auto"/>
              </w:rPr>
            </w:pPr>
          </w:p>
        </w:tc>
        <w:tc>
          <w:tcPr>
            <w:tcW w:w="1820" w:type="dxa"/>
            <w:vAlign w:val="bottom"/>
            <w:vMerge w:val="continue"/>
            <w:shd w:val="clear" w:color="auto" w:fill="F7F7F7"/>
          </w:tcPr>
          <w:p>
            <w:pPr>
              <w:spacing w:after="0"/>
              <w:rPr>
                <w:sz w:val="18"/>
                <w:szCs w:val="18"/>
                <w:color w:val="auto"/>
              </w:rPr>
            </w:pPr>
          </w:p>
        </w:tc>
        <w:tc>
          <w:tcPr>
            <w:tcW w:w="1540" w:type="dxa"/>
            <w:vAlign w:val="bottom"/>
            <w:vMerge w:val="continue"/>
            <w:shd w:val="clear" w:color="auto" w:fill="F7F7F7"/>
          </w:tcPr>
          <w:p>
            <w:pPr>
              <w:spacing w:after="0"/>
              <w:rPr>
                <w:sz w:val="18"/>
                <w:szCs w:val="18"/>
                <w:color w:val="auto"/>
              </w:rPr>
            </w:pPr>
          </w:p>
        </w:tc>
        <w:tc>
          <w:tcPr>
            <w:tcW w:w="170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360"/>
              <w:spacing w:after="0" w:line="175" w:lineRule="exact"/>
              <w:rPr>
                <w:sz w:val="20"/>
                <w:szCs w:val="20"/>
                <w:color w:val="auto"/>
              </w:rPr>
            </w:pPr>
            <w:r>
              <w:rPr>
                <w:rFonts w:ascii="Arial" w:cs="Arial" w:eastAsia="Arial" w:hAnsi="Arial"/>
                <w:sz w:val="16"/>
                <w:szCs w:val="16"/>
                <w:color w:val="auto"/>
              </w:rPr>
              <w:t>Corporate bonds and commercial</w:t>
            </w:r>
          </w:p>
        </w:tc>
        <w:tc>
          <w:tcPr>
            <w:tcW w:w="1680" w:type="dxa"/>
            <w:vAlign w:val="bottom"/>
            <w:vMerge w:val="restart"/>
          </w:tcPr>
          <w:p>
            <w:pPr>
              <w:jc w:val="right"/>
              <w:ind w:right="239"/>
              <w:spacing w:after="0"/>
              <w:rPr>
                <w:sz w:val="20"/>
                <w:szCs w:val="20"/>
                <w:color w:val="auto"/>
              </w:rPr>
            </w:pPr>
            <w:r>
              <w:rPr>
                <w:rFonts w:ascii="Arial" w:cs="Arial" w:eastAsia="Arial" w:hAnsi="Arial"/>
                <w:sz w:val="16"/>
                <w:szCs w:val="16"/>
                <w:color w:val="auto"/>
              </w:rPr>
              <w:t>51</w:t>
            </w:r>
          </w:p>
        </w:tc>
        <w:tc>
          <w:tcPr>
            <w:tcW w:w="15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paper</w:t>
            </w:r>
          </w:p>
        </w:tc>
        <w:tc>
          <w:tcPr>
            <w:tcW w:w="16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F7F7F7"/>
          </w:tcPr>
          <w:p>
            <w:pPr>
              <w:spacing w:after="0"/>
              <w:rPr>
                <w:sz w:val="19"/>
                <w:szCs w:val="19"/>
                <w:color w:val="auto"/>
              </w:rPr>
            </w:pPr>
          </w:p>
        </w:tc>
        <w:tc>
          <w:tcPr>
            <w:tcW w:w="1680" w:type="dxa"/>
            <w:vAlign w:val="bottom"/>
            <w:tcBorders>
              <w:bottom w:val="single" w:sz="8" w:color="auto"/>
            </w:tcBorders>
            <w:shd w:val="clear" w:color="auto" w:fill="F7F7F7"/>
          </w:tcPr>
          <w:p>
            <w:pPr>
              <w:jc w:val="right"/>
              <w:ind w:right="239"/>
              <w:spacing w:after="0"/>
              <w:rPr>
                <w:sz w:val="20"/>
                <w:szCs w:val="20"/>
                <w:color w:val="auto"/>
              </w:rPr>
            </w:pPr>
            <w:r>
              <w:rPr>
                <w:rFonts w:ascii="Arial" w:cs="Arial" w:eastAsia="Arial" w:hAnsi="Arial"/>
                <w:sz w:val="16"/>
                <w:szCs w:val="16"/>
                <w:color w:val="auto"/>
              </w:rPr>
              <w:t>318</w:t>
            </w:r>
          </w:p>
        </w:tc>
        <w:tc>
          <w:tcPr>
            <w:tcW w:w="1540" w:type="dxa"/>
            <w:vAlign w:val="bottom"/>
            <w:tcBorders>
              <w:bottom w:val="single" w:sz="8" w:color="auto"/>
            </w:tcBorders>
            <w:shd w:val="clear" w:color="auto" w:fill="F7F7F7"/>
          </w:tcPr>
          <w:p>
            <w:pPr>
              <w:jc w:val="right"/>
              <w:ind w:right="99"/>
              <w:spacing w:after="0"/>
              <w:rPr>
                <w:sz w:val="20"/>
                <w:szCs w:val="20"/>
                <w:color w:val="auto"/>
              </w:rPr>
            </w:pPr>
            <w:r>
              <w:rPr>
                <w:rFonts w:ascii="Arial" w:cs="Arial" w:eastAsia="Arial" w:hAnsi="Arial"/>
                <w:sz w:val="16"/>
                <w:szCs w:val="16"/>
                <w:color w:val="auto"/>
              </w:rPr>
              <w:t>1,457</w:t>
            </w:r>
          </w:p>
        </w:tc>
        <w:tc>
          <w:tcPr>
            <w:tcW w:w="1820" w:type="dxa"/>
            <w:vAlign w:val="bottom"/>
            <w:tcBorders>
              <w:bottom w:val="single" w:sz="8" w:color="auto"/>
            </w:tcBorders>
            <w:shd w:val="clear" w:color="auto" w:fill="F7F7F7"/>
          </w:tcPr>
          <w:p>
            <w:pPr>
              <w:jc w:val="right"/>
              <w:ind w:right="219"/>
              <w:spacing w:after="0"/>
              <w:rPr>
                <w:sz w:val="20"/>
                <w:szCs w:val="20"/>
                <w:color w:val="auto"/>
              </w:rPr>
            </w:pPr>
            <w:r>
              <w:rPr>
                <w:rFonts w:ascii="Arial" w:cs="Arial" w:eastAsia="Arial" w:hAnsi="Arial"/>
                <w:sz w:val="16"/>
                <w:szCs w:val="16"/>
                <w:color w:val="auto"/>
              </w:rPr>
              <w:t>417</w:t>
            </w:r>
          </w:p>
        </w:tc>
        <w:tc>
          <w:tcPr>
            <w:tcW w:w="154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2:</w:t>
            </w:r>
          </w:p>
        </w:tc>
        <w:tc>
          <w:tcPr>
            <w:tcW w:w="1680" w:type="dxa"/>
            <w:vAlign w:val="bottom"/>
            <w:shd w:val="clear" w:color="auto" w:fill="F7F7F7"/>
          </w:tcPr>
          <w:p>
            <w:pPr>
              <w:spacing w:after="0"/>
              <w:rPr>
                <w:sz w:val="19"/>
                <w:szCs w:val="19"/>
                <w:color w:val="auto"/>
              </w:rPr>
            </w:pPr>
          </w:p>
        </w:tc>
        <w:tc>
          <w:tcPr>
            <w:tcW w:w="1540" w:type="dxa"/>
            <w:vAlign w:val="bottom"/>
            <w:shd w:val="clear" w:color="auto" w:fill="F7F7F7"/>
          </w:tcPr>
          <w:p>
            <w:pPr>
              <w:spacing w:after="0"/>
              <w:rPr>
                <w:sz w:val="19"/>
                <w:szCs w:val="19"/>
                <w:color w:val="auto"/>
              </w:rPr>
            </w:pPr>
          </w:p>
        </w:tc>
        <w:tc>
          <w:tcPr>
            <w:tcW w:w="1820" w:type="dxa"/>
            <w:vAlign w:val="bottom"/>
            <w:shd w:val="clear" w:color="auto" w:fill="F7F7F7"/>
          </w:tcPr>
          <w:p>
            <w:pPr>
              <w:spacing w:after="0"/>
              <w:rPr>
                <w:sz w:val="19"/>
                <w:szCs w:val="19"/>
                <w:color w:val="auto"/>
              </w:rPr>
            </w:pPr>
          </w:p>
        </w:tc>
        <w:tc>
          <w:tcPr>
            <w:tcW w:w="1540" w:type="dxa"/>
            <w:vAlign w:val="bottom"/>
            <w:shd w:val="clear" w:color="auto" w:fill="F7F7F7"/>
          </w:tcPr>
          <w:p>
            <w:pPr>
              <w:spacing w:after="0"/>
              <w:rPr>
                <w:sz w:val="19"/>
                <w:szCs w:val="19"/>
                <w:color w:val="auto"/>
              </w:rPr>
            </w:pPr>
          </w:p>
        </w:tc>
        <w:tc>
          <w:tcPr>
            <w:tcW w:w="170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360"/>
              <w:spacing w:after="0" w:line="175" w:lineRule="exact"/>
              <w:rPr>
                <w:sz w:val="20"/>
                <w:szCs w:val="20"/>
                <w:color w:val="auto"/>
              </w:rPr>
            </w:pPr>
            <w:r>
              <w:rPr>
                <w:rFonts w:ascii="Arial" w:cs="Arial" w:eastAsia="Arial" w:hAnsi="Arial"/>
                <w:sz w:val="16"/>
                <w:szCs w:val="16"/>
                <w:color w:val="auto"/>
              </w:rPr>
              <w:t>Corporate bonds and commercial</w:t>
            </w:r>
          </w:p>
        </w:tc>
        <w:tc>
          <w:tcPr>
            <w:tcW w:w="168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vMerge w:val="restart"/>
          </w:tcPr>
          <w:p>
            <w:pPr>
              <w:jc w:val="right"/>
              <w:ind w:right="99"/>
              <w:spacing w:after="0"/>
              <w:rPr>
                <w:sz w:val="20"/>
                <w:szCs w:val="20"/>
                <w:color w:val="auto"/>
              </w:rPr>
            </w:pPr>
            <w:r>
              <w:rPr>
                <w:rFonts w:ascii="Arial" w:cs="Arial" w:eastAsia="Arial" w:hAnsi="Arial"/>
                <w:sz w:val="16"/>
                <w:szCs w:val="16"/>
                <w:color w:val="auto"/>
              </w:rPr>
              <w:t>1,402</w:t>
            </w:r>
          </w:p>
        </w:tc>
        <w:tc>
          <w:tcPr>
            <w:tcW w:w="1820" w:type="dxa"/>
            <w:vAlign w:val="bottom"/>
            <w:vMerge w:val="restart"/>
          </w:tcPr>
          <w:p>
            <w:pPr>
              <w:jc w:val="right"/>
              <w:ind w:right="219"/>
              <w:spacing w:after="0"/>
              <w:rPr>
                <w:sz w:val="20"/>
                <w:szCs w:val="20"/>
                <w:color w:val="auto"/>
              </w:rPr>
            </w:pPr>
            <w:r>
              <w:rPr>
                <w:rFonts w:ascii="Arial" w:cs="Arial" w:eastAsia="Arial" w:hAnsi="Arial"/>
                <w:sz w:val="16"/>
                <w:szCs w:val="16"/>
                <w:color w:val="auto"/>
              </w:rPr>
              <w:t>107</w:t>
            </w: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paper</w:t>
            </w:r>
          </w:p>
        </w:tc>
        <w:tc>
          <w:tcPr>
            <w:tcW w:w="16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940" w:type="dxa"/>
            <w:vAlign w:val="bottom"/>
            <w:shd w:val="clear" w:color="auto" w:fill="F7F7F7"/>
          </w:tcPr>
          <w:p>
            <w:pPr>
              <w:spacing w:after="0"/>
              <w:rPr>
                <w:sz w:val="7"/>
                <w:szCs w:val="7"/>
                <w:color w:val="auto"/>
              </w:rPr>
            </w:pPr>
          </w:p>
        </w:tc>
        <w:tc>
          <w:tcPr>
            <w:tcW w:w="1680" w:type="dxa"/>
            <w:vAlign w:val="bottom"/>
            <w:shd w:val="clear" w:color="auto" w:fill="F7F7F7"/>
          </w:tcPr>
          <w:p>
            <w:pPr>
              <w:spacing w:after="0"/>
              <w:rPr>
                <w:sz w:val="7"/>
                <w:szCs w:val="7"/>
                <w:color w:val="auto"/>
              </w:rPr>
            </w:pPr>
          </w:p>
        </w:tc>
        <w:tc>
          <w:tcPr>
            <w:tcW w:w="1540" w:type="dxa"/>
            <w:vAlign w:val="bottom"/>
            <w:shd w:val="clear" w:color="auto" w:fill="F7F7F7"/>
          </w:tcPr>
          <w:p>
            <w:pPr>
              <w:spacing w:after="0"/>
              <w:rPr>
                <w:sz w:val="7"/>
                <w:szCs w:val="7"/>
                <w:color w:val="auto"/>
              </w:rPr>
            </w:pPr>
          </w:p>
        </w:tc>
        <w:tc>
          <w:tcPr>
            <w:tcW w:w="1820" w:type="dxa"/>
            <w:vAlign w:val="bottom"/>
            <w:shd w:val="clear" w:color="auto" w:fill="F7F7F7"/>
          </w:tcPr>
          <w:p>
            <w:pPr>
              <w:spacing w:after="0"/>
              <w:rPr>
                <w:sz w:val="7"/>
                <w:szCs w:val="7"/>
                <w:color w:val="auto"/>
              </w:rPr>
            </w:pPr>
          </w:p>
        </w:tc>
        <w:tc>
          <w:tcPr>
            <w:tcW w:w="1540" w:type="dxa"/>
            <w:vAlign w:val="bottom"/>
            <w:shd w:val="clear" w:color="auto" w:fill="F7F7F7"/>
          </w:tcPr>
          <w:p>
            <w:pPr>
              <w:spacing w:after="0"/>
              <w:rPr>
                <w:sz w:val="7"/>
                <w:szCs w:val="7"/>
                <w:color w:val="auto"/>
              </w:rPr>
            </w:pPr>
          </w:p>
        </w:tc>
        <w:tc>
          <w:tcPr>
            <w:tcW w:w="1700" w:type="dxa"/>
            <w:vAlign w:val="bottom"/>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Arial" w:cs="Arial" w:eastAsia="Arial" w:hAnsi="Arial"/>
                <w:sz w:val="16"/>
                <w:szCs w:val="16"/>
                <w:b w:val="1"/>
                <w:bCs w:val="1"/>
                <w:color w:val="auto"/>
              </w:rPr>
              <w:t>Level 3:</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F7F7F7"/>
          </w:tcPr>
          <w:p>
            <w:pPr>
              <w:ind w:left="360"/>
              <w:spacing w:after="0" w:line="175" w:lineRule="exact"/>
              <w:rPr>
                <w:sz w:val="20"/>
                <w:szCs w:val="20"/>
                <w:color w:val="auto"/>
              </w:rPr>
            </w:pPr>
            <w:r>
              <w:rPr>
                <w:rFonts w:ascii="Arial" w:cs="Arial" w:eastAsia="Arial" w:hAnsi="Arial"/>
                <w:sz w:val="16"/>
                <w:szCs w:val="16"/>
                <w:color w:val="auto"/>
              </w:rPr>
              <w:t>Convertible notes in private</w:t>
            </w:r>
          </w:p>
        </w:tc>
        <w:tc>
          <w:tcPr>
            <w:tcW w:w="1680" w:type="dxa"/>
            <w:vAlign w:val="bottom"/>
            <w:vMerge w:val="restart"/>
            <w:shd w:val="clear" w:color="auto" w:fill="F7F7F7"/>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vMerge w:val="restart"/>
            <w:shd w:val="clear" w:color="auto" w:fill="F7F7F7"/>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599</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20"/>
        </w:trPr>
        <w:tc>
          <w:tcPr>
            <w:tcW w:w="29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companies</w:t>
            </w:r>
          </w:p>
        </w:tc>
        <w:tc>
          <w:tcPr>
            <w:tcW w:w="1680" w:type="dxa"/>
            <w:vAlign w:val="bottom"/>
            <w:tcBorders>
              <w:bottom w:val="single" w:sz="8" w:color="auto"/>
            </w:tcBorders>
            <w:vMerge w:val="continue"/>
            <w:shd w:val="clear" w:color="auto" w:fill="F7F7F7"/>
          </w:tcPr>
          <w:p>
            <w:pPr>
              <w:spacing w:after="0"/>
              <w:rPr>
                <w:sz w:val="18"/>
                <w:szCs w:val="18"/>
                <w:color w:val="auto"/>
              </w:rPr>
            </w:pPr>
          </w:p>
        </w:tc>
        <w:tc>
          <w:tcPr>
            <w:tcW w:w="1540" w:type="dxa"/>
            <w:vAlign w:val="bottom"/>
            <w:tcBorders>
              <w:bottom w:val="single" w:sz="8" w:color="auto"/>
            </w:tcBorders>
            <w:vMerge w:val="continue"/>
            <w:shd w:val="clear" w:color="auto" w:fill="F7F7F7"/>
          </w:tcPr>
          <w:p>
            <w:pPr>
              <w:spacing w:after="0"/>
              <w:rPr>
                <w:sz w:val="18"/>
                <w:szCs w:val="18"/>
                <w:color w:val="auto"/>
              </w:rPr>
            </w:pPr>
          </w:p>
        </w:tc>
        <w:tc>
          <w:tcPr>
            <w:tcW w:w="1820" w:type="dxa"/>
            <w:vAlign w:val="bottom"/>
            <w:tcBorders>
              <w:bottom w:val="single" w:sz="8" w:color="auto"/>
            </w:tcBorders>
            <w:vMerge w:val="continue"/>
            <w:shd w:val="clear" w:color="auto" w:fill="F7F7F7"/>
          </w:tcPr>
          <w:p>
            <w:pPr>
              <w:spacing w:after="0"/>
              <w:rPr>
                <w:sz w:val="18"/>
                <w:szCs w:val="18"/>
                <w:color w:val="auto"/>
              </w:rPr>
            </w:pPr>
          </w:p>
        </w:tc>
        <w:tc>
          <w:tcPr>
            <w:tcW w:w="154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318</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2,859</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524</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599</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of marketable securities above include accrued interest of $25 million, which is excluded from the carrying amounts. The accrued interest is included in "Trade and other receivables, net" in the condensed consolidated balance sheets. Additional accrued interest of $142 million recognized on the convertible notes in private companies is included in the carrying amount and fair value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2025</w:t>
            </w:r>
          </w:p>
        </w:tc>
        <w:tc>
          <w:tcPr>
            <w:tcW w:w="1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b w:val="1"/>
                <w:bCs w:val="1"/>
                <w:color w:val="auto"/>
              </w:rPr>
              <w:t>Carrying Value</w:t>
            </w:r>
          </w:p>
        </w:tc>
        <w:tc>
          <w:tcPr>
            <w:tcW w:w="1560" w:type="dxa"/>
            <w:vAlign w:val="bottom"/>
            <w:tcBorders>
              <w:bottom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7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Cash Equivalents</w:t>
            </w:r>
          </w:p>
        </w:tc>
        <w:tc>
          <w:tcPr>
            <w:tcW w:w="1500" w:type="dxa"/>
            <w:vAlign w:val="bottom"/>
          </w:tcPr>
          <w:p>
            <w:pPr>
              <w:jc w:val="right"/>
              <w:ind w:right="279"/>
              <w:spacing w:after="0" w:line="169" w:lineRule="exact"/>
              <w:rPr>
                <w:sz w:val="20"/>
                <w:szCs w:val="20"/>
                <w:color w:val="auto"/>
              </w:rPr>
            </w:pPr>
            <w:r>
              <w:rPr>
                <w:rFonts w:ascii="Arial" w:cs="Arial" w:eastAsia="Arial" w:hAnsi="Arial"/>
                <w:sz w:val="16"/>
                <w:szCs w:val="16"/>
                <w:b w:val="1"/>
                <w:bCs w:val="1"/>
                <w:color w:val="auto"/>
              </w:rPr>
              <w:t>Marketable</w:t>
            </w:r>
          </w:p>
        </w:tc>
        <w:tc>
          <w:tcPr>
            <w:tcW w:w="18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Long-term</w:t>
            </w:r>
          </w:p>
        </w:tc>
        <w:tc>
          <w:tcPr>
            <w:tcW w:w="156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Equity and Other</w:t>
            </w:r>
          </w:p>
        </w:tc>
        <w:tc>
          <w:tcPr>
            <w:tcW w:w="17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5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Securities</w:t>
            </w: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Investments</w:t>
            </w:r>
          </w:p>
        </w:tc>
        <w:tc>
          <w:tcPr>
            <w:tcW w:w="15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Investments</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9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(in US $ millions)</w:t>
            </w: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1:</w:t>
            </w:r>
          </w:p>
        </w:tc>
        <w:tc>
          <w:tcPr>
            <w:tcW w:w="1720" w:type="dxa"/>
            <w:vAlign w:val="bottom"/>
            <w:shd w:val="clear" w:color="auto" w:fill="F7F7F7"/>
          </w:tcPr>
          <w:p>
            <w:pPr>
              <w:spacing w:after="0"/>
              <w:rPr>
                <w:sz w:val="20"/>
                <w:szCs w:val="20"/>
                <w:color w:val="auto"/>
              </w:rPr>
            </w:pPr>
          </w:p>
        </w:tc>
        <w:tc>
          <w:tcPr>
            <w:tcW w:w="1500" w:type="dxa"/>
            <w:vAlign w:val="bottom"/>
            <w:shd w:val="clear" w:color="auto" w:fill="F7F7F7"/>
          </w:tcPr>
          <w:p>
            <w:pPr>
              <w:spacing w:after="0"/>
              <w:rPr>
                <w:sz w:val="20"/>
                <w:szCs w:val="20"/>
                <w:color w:val="auto"/>
              </w:rPr>
            </w:pPr>
          </w:p>
        </w:tc>
        <w:tc>
          <w:tcPr>
            <w:tcW w:w="1800" w:type="dxa"/>
            <w:vAlign w:val="bottom"/>
            <w:shd w:val="clear" w:color="auto" w:fill="F7F7F7"/>
          </w:tcPr>
          <w:p>
            <w:pPr>
              <w:spacing w:after="0"/>
              <w:rPr>
                <w:sz w:val="20"/>
                <w:szCs w:val="20"/>
                <w:color w:val="auto"/>
              </w:rPr>
            </w:pPr>
          </w:p>
        </w:tc>
        <w:tc>
          <w:tcPr>
            <w:tcW w:w="1560" w:type="dxa"/>
            <w:vAlign w:val="bottom"/>
            <w:shd w:val="clear" w:color="auto" w:fill="F7F7F7"/>
          </w:tcPr>
          <w:p>
            <w:pPr>
              <w:spacing w:after="0"/>
              <w:rPr>
                <w:sz w:val="20"/>
                <w:szCs w:val="20"/>
                <w:color w:val="auto"/>
              </w:rPr>
            </w:pPr>
          </w:p>
        </w:tc>
        <w:tc>
          <w:tcPr>
            <w:tcW w:w="170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240"/>
              <w:spacing w:after="0"/>
              <w:rPr>
                <w:sz w:val="20"/>
                <w:szCs w:val="20"/>
                <w:color w:val="auto"/>
              </w:rPr>
            </w:pPr>
            <w:r>
              <w:rPr>
                <w:rFonts w:ascii="Arial" w:cs="Arial" w:eastAsia="Arial" w:hAnsi="Arial"/>
                <w:sz w:val="16"/>
                <w:szCs w:val="16"/>
                <w:color w:val="auto"/>
              </w:rPr>
              <w:t>U.S. term deposits</w:t>
            </w:r>
          </w:p>
        </w:tc>
        <w:tc>
          <w:tcPr>
            <w:tcW w:w="17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520</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77"/>
        </w:trPr>
        <w:tc>
          <w:tcPr>
            <w:tcW w:w="2940" w:type="dxa"/>
            <w:vAlign w:val="bottom"/>
            <w:shd w:val="clear" w:color="auto" w:fill="F7F7F7"/>
          </w:tcPr>
          <w:p>
            <w:pPr>
              <w:ind w:left="240"/>
              <w:spacing w:after="0" w:line="177" w:lineRule="exact"/>
              <w:rPr>
                <w:sz w:val="20"/>
                <w:szCs w:val="20"/>
                <w:color w:val="auto"/>
              </w:rPr>
            </w:pPr>
            <w:r>
              <w:rPr>
                <w:rFonts w:ascii="Arial" w:cs="Arial" w:eastAsia="Arial" w:hAnsi="Arial"/>
                <w:sz w:val="16"/>
                <w:szCs w:val="16"/>
                <w:color w:val="auto"/>
              </w:rPr>
              <w:t>U.S. federal bonds and agency</w:t>
            </w:r>
          </w:p>
        </w:tc>
        <w:tc>
          <w:tcPr>
            <w:tcW w:w="1720" w:type="dxa"/>
            <w:vAlign w:val="bottom"/>
            <w:vMerge w:val="restart"/>
            <w:shd w:val="clear" w:color="auto" w:fill="F7F7F7"/>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1,923</w:t>
            </w:r>
          </w:p>
        </w:tc>
        <w:tc>
          <w:tcPr>
            <w:tcW w:w="1800" w:type="dxa"/>
            <w:vAlign w:val="bottom"/>
            <w:vMerge w:val="restart"/>
            <w:shd w:val="clear" w:color="auto" w:fill="F7F7F7"/>
          </w:tcPr>
          <w:p>
            <w:pPr>
              <w:jc w:val="right"/>
              <w:ind w:right="199"/>
              <w:spacing w:after="0"/>
              <w:rPr>
                <w:sz w:val="20"/>
                <w:szCs w:val="20"/>
                <w:color w:val="auto"/>
              </w:rPr>
            </w:pPr>
            <w:r>
              <w:rPr>
                <w:rFonts w:ascii="Arial" w:cs="Arial" w:eastAsia="Arial" w:hAnsi="Arial"/>
                <w:sz w:val="16"/>
                <w:szCs w:val="16"/>
                <w:color w:val="auto"/>
              </w:rPr>
              <w:t>527</w:t>
            </w:r>
          </w:p>
        </w:tc>
        <w:tc>
          <w:tcPr>
            <w:tcW w:w="156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20"/>
        </w:trPr>
        <w:tc>
          <w:tcPr>
            <w:tcW w:w="29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securities</w:t>
            </w:r>
          </w:p>
        </w:tc>
        <w:tc>
          <w:tcPr>
            <w:tcW w:w="1720" w:type="dxa"/>
            <w:vAlign w:val="bottom"/>
            <w:tcBorders>
              <w:bottom w:val="single" w:sz="8" w:color="auto"/>
            </w:tcBorders>
            <w:vMerge w:val="continue"/>
            <w:shd w:val="clear" w:color="auto" w:fill="F7F7F7"/>
          </w:tcPr>
          <w:p>
            <w:pPr>
              <w:spacing w:after="0"/>
              <w:rPr>
                <w:sz w:val="18"/>
                <w:szCs w:val="18"/>
                <w:color w:val="auto"/>
              </w:rPr>
            </w:pPr>
          </w:p>
        </w:tc>
        <w:tc>
          <w:tcPr>
            <w:tcW w:w="1500" w:type="dxa"/>
            <w:vAlign w:val="bottom"/>
            <w:tcBorders>
              <w:bottom w:val="single" w:sz="8" w:color="auto"/>
            </w:tcBorders>
            <w:vMerge w:val="continue"/>
            <w:shd w:val="clear" w:color="auto" w:fill="F7F7F7"/>
          </w:tcPr>
          <w:p>
            <w:pPr>
              <w:spacing w:after="0"/>
              <w:rPr>
                <w:sz w:val="18"/>
                <w:szCs w:val="18"/>
                <w:color w:val="auto"/>
              </w:rPr>
            </w:pPr>
          </w:p>
        </w:tc>
        <w:tc>
          <w:tcPr>
            <w:tcW w:w="1800" w:type="dxa"/>
            <w:vAlign w:val="bottom"/>
            <w:tcBorders>
              <w:bottom w:val="single" w:sz="8" w:color="auto"/>
            </w:tcBorders>
            <w:vMerge w:val="continue"/>
            <w:shd w:val="clear" w:color="auto" w:fill="F7F7F7"/>
          </w:tcPr>
          <w:p>
            <w:pPr>
              <w:spacing w:after="0"/>
              <w:rPr>
                <w:sz w:val="18"/>
                <w:szCs w:val="18"/>
                <w:color w:val="auto"/>
              </w:rPr>
            </w:pPr>
          </w:p>
        </w:tc>
        <w:tc>
          <w:tcPr>
            <w:tcW w:w="156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2,443</w:t>
            </w: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527</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37"/>
        </w:trPr>
        <w:tc>
          <w:tcPr>
            <w:tcW w:w="2940" w:type="dxa"/>
            <w:vAlign w:val="bottom"/>
            <w:shd w:val="clear" w:color="auto" w:fill="F7F7F7"/>
          </w:tcPr>
          <w:p>
            <w:pPr>
              <w:spacing w:after="0"/>
              <w:rPr>
                <w:sz w:val="20"/>
                <w:szCs w:val="20"/>
                <w:color w:val="auto"/>
              </w:rPr>
            </w:pPr>
          </w:p>
        </w:tc>
        <w:tc>
          <w:tcPr>
            <w:tcW w:w="1720" w:type="dxa"/>
            <w:vAlign w:val="bottom"/>
            <w:shd w:val="clear" w:color="auto" w:fill="F7F7F7"/>
          </w:tcPr>
          <w:p>
            <w:pPr>
              <w:spacing w:after="0"/>
              <w:rPr>
                <w:sz w:val="20"/>
                <w:szCs w:val="20"/>
                <w:color w:val="auto"/>
              </w:rPr>
            </w:pPr>
          </w:p>
        </w:tc>
        <w:tc>
          <w:tcPr>
            <w:tcW w:w="1500" w:type="dxa"/>
            <w:vAlign w:val="bottom"/>
            <w:shd w:val="clear" w:color="auto" w:fill="F7F7F7"/>
          </w:tcPr>
          <w:p>
            <w:pPr>
              <w:spacing w:after="0"/>
              <w:rPr>
                <w:sz w:val="20"/>
                <w:szCs w:val="20"/>
                <w:color w:val="auto"/>
              </w:rPr>
            </w:pPr>
          </w:p>
        </w:tc>
        <w:tc>
          <w:tcPr>
            <w:tcW w:w="1800" w:type="dxa"/>
            <w:vAlign w:val="bottom"/>
            <w:shd w:val="clear" w:color="auto" w:fill="F7F7F7"/>
          </w:tcPr>
          <w:p>
            <w:pPr>
              <w:spacing w:after="0"/>
              <w:rPr>
                <w:sz w:val="20"/>
                <w:szCs w:val="20"/>
                <w:color w:val="auto"/>
              </w:rPr>
            </w:pPr>
          </w:p>
        </w:tc>
        <w:tc>
          <w:tcPr>
            <w:tcW w:w="1560" w:type="dxa"/>
            <w:vAlign w:val="bottom"/>
            <w:shd w:val="clear" w:color="auto" w:fill="F7F7F7"/>
          </w:tcPr>
          <w:p>
            <w:pPr>
              <w:spacing w:after="0"/>
              <w:rPr>
                <w:sz w:val="20"/>
                <w:szCs w:val="20"/>
                <w:color w:val="auto"/>
              </w:rPr>
            </w:pPr>
          </w:p>
        </w:tc>
        <w:tc>
          <w:tcPr>
            <w:tcW w:w="1700" w:type="dxa"/>
            <w:vAlign w:val="bottom"/>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Arial" w:cs="Arial" w:eastAsia="Arial" w:hAnsi="Arial"/>
                <w:sz w:val="16"/>
                <w:szCs w:val="16"/>
                <w:b w:val="1"/>
                <w:bCs w:val="1"/>
                <w:color w:val="auto"/>
              </w:rPr>
              <w:t>Level 2:</w:t>
            </w: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F7F7F7"/>
          </w:tcPr>
          <w:p>
            <w:pPr>
              <w:ind w:left="240"/>
              <w:spacing w:after="0" w:line="175" w:lineRule="exact"/>
              <w:rPr>
                <w:sz w:val="20"/>
                <w:szCs w:val="20"/>
                <w:color w:val="auto"/>
              </w:rPr>
            </w:pPr>
            <w:r>
              <w:rPr>
                <w:rFonts w:ascii="Arial" w:cs="Arial" w:eastAsia="Arial" w:hAnsi="Arial"/>
                <w:sz w:val="16"/>
                <w:szCs w:val="16"/>
                <w:color w:val="auto"/>
              </w:rPr>
              <w:t>Corporate bonds and commercial</w:t>
            </w:r>
          </w:p>
        </w:tc>
        <w:tc>
          <w:tcPr>
            <w:tcW w:w="1720" w:type="dxa"/>
            <w:vAlign w:val="bottom"/>
            <w:vMerge w:val="restart"/>
            <w:shd w:val="clear" w:color="auto" w:fill="F7F7F7"/>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F7F7F7"/>
          </w:tcPr>
          <w:p>
            <w:pPr>
              <w:jc w:val="right"/>
              <w:ind w:right="99"/>
              <w:spacing w:after="0"/>
              <w:rPr>
                <w:sz w:val="20"/>
                <w:szCs w:val="20"/>
                <w:color w:val="auto"/>
              </w:rPr>
            </w:pPr>
            <w:r>
              <w:rPr>
                <w:rFonts w:ascii="Arial" w:cs="Arial" w:eastAsia="Arial" w:hAnsi="Arial"/>
                <w:sz w:val="16"/>
                <w:szCs w:val="16"/>
                <w:color w:val="auto"/>
              </w:rPr>
              <w:t>1,790</w:t>
            </w:r>
          </w:p>
        </w:tc>
        <w:tc>
          <w:tcPr>
            <w:tcW w:w="1800" w:type="dxa"/>
            <w:vAlign w:val="bottom"/>
            <w:vMerge w:val="restart"/>
            <w:shd w:val="clear" w:color="auto" w:fill="F7F7F7"/>
          </w:tcPr>
          <w:p>
            <w:pPr>
              <w:jc w:val="right"/>
              <w:ind w:right="199"/>
              <w:spacing w:after="0"/>
              <w:rPr>
                <w:sz w:val="20"/>
                <w:szCs w:val="20"/>
                <w:color w:val="auto"/>
              </w:rPr>
            </w:pPr>
            <w:r>
              <w:rPr>
                <w:rFonts w:ascii="Arial" w:cs="Arial" w:eastAsia="Arial" w:hAnsi="Arial"/>
                <w:sz w:val="16"/>
                <w:szCs w:val="16"/>
                <w:color w:val="auto"/>
              </w:rPr>
              <w:t>448</w:t>
            </w:r>
          </w:p>
        </w:tc>
        <w:tc>
          <w:tcPr>
            <w:tcW w:w="156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20"/>
        </w:trPr>
        <w:tc>
          <w:tcPr>
            <w:tcW w:w="29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paper</w:t>
            </w:r>
          </w:p>
        </w:tc>
        <w:tc>
          <w:tcPr>
            <w:tcW w:w="1720" w:type="dxa"/>
            <w:vAlign w:val="bottom"/>
            <w:tcBorders>
              <w:bottom w:val="single" w:sz="8" w:color="auto"/>
            </w:tcBorders>
            <w:vMerge w:val="continue"/>
            <w:shd w:val="clear" w:color="auto" w:fill="F7F7F7"/>
          </w:tcPr>
          <w:p>
            <w:pPr>
              <w:spacing w:after="0"/>
              <w:rPr>
                <w:sz w:val="18"/>
                <w:szCs w:val="18"/>
                <w:color w:val="auto"/>
              </w:rPr>
            </w:pPr>
          </w:p>
        </w:tc>
        <w:tc>
          <w:tcPr>
            <w:tcW w:w="1500" w:type="dxa"/>
            <w:vAlign w:val="bottom"/>
            <w:tcBorders>
              <w:bottom w:val="single" w:sz="8" w:color="auto"/>
            </w:tcBorders>
            <w:vMerge w:val="continue"/>
            <w:shd w:val="clear" w:color="auto" w:fill="F7F7F7"/>
          </w:tcPr>
          <w:p>
            <w:pPr>
              <w:spacing w:after="0"/>
              <w:rPr>
                <w:sz w:val="18"/>
                <w:szCs w:val="18"/>
                <w:color w:val="auto"/>
              </w:rPr>
            </w:pPr>
          </w:p>
        </w:tc>
        <w:tc>
          <w:tcPr>
            <w:tcW w:w="1800" w:type="dxa"/>
            <w:vAlign w:val="bottom"/>
            <w:tcBorders>
              <w:bottom w:val="single" w:sz="8" w:color="auto"/>
            </w:tcBorders>
            <w:vMerge w:val="continue"/>
            <w:shd w:val="clear" w:color="auto" w:fill="F7F7F7"/>
          </w:tcPr>
          <w:p>
            <w:pPr>
              <w:spacing w:after="0"/>
              <w:rPr>
                <w:sz w:val="18"/>
                <w:szCs w:val="18"/>
                <w:color w:val="auto"/>
              </w:rPr>
            </w:pPr>
          </w:p>
        </w:tc>
        <w:tc>
          <w:tcPr>
            <w:tcW w:w="1560" w:type="dxa"/>
            <w:vAlign w:val="bottom"/>
            <w:tcBorders>
              <w:bottom w:val="single" w:sz="8" w:color="auto"/>
            </w:tcBorders>
            <w:vMerge w:val="continue"/>
            <w:shd w:val="clear" w:color="auto" w:fill="F7F7F7"/>
          </w:tcPr>
          <w:p>
            <w:pPr>
              <w:spacing w:after="0"/>
              <w:rPr>
                <w:sz w:val="18"/>
                <w:szCs w:val="18"/>
                <w:color w:val="auto"/>
              </w:rPr>
            </w:pPr>
          </w:p>
        </w:tc>
        <w:tc>
          <w:tcPr>
            <w:tcW w:w="170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F7F7F7"/>
          </w:tcPr>
          <w:p>
            <w:pPr>
              <w:ind w:left="60"/>
              <w:spacing w:after="0"/>
              <w:rPr>
                <w:sz w:val="20"/>
                <w:szCs w:val="20"/>
                <w:color w:val="auto"/>
              </w:rPr>
            </w:pPr>
            <w:r>
              <w:rPr>
                <w:rFonts w:ascii="Arial" w:cs="Arial" w:eastAsia="Arial" w:hAnsi="Arial"/>
                <w:sz w:val="16"/>
                <w:szCs w:val="16"/>
                <w:b w:val="1"/>
                <w:bCs w:val="1"/>
                <w:color w:val="auto"/>
              </w:rPr>
              <w:t>Level 3:</w:t>
            </w:r>
          </w:p>
        </w:tc>
        <w:tc>
          <w:tcPr>
            <w:tcW w:w="1720" w:type="dxa"/>
            <w:vAlign w:val="bottom"/>
            <w:shd w:val="clear" w:color="auto" w:fill="F7F7F7"/>
          </w:tcPr>
          <w:p>
            <w:pPr>
              <w:spacing w:after="0"/>
              <w:rPr>
                <w:sz w:val="19"/>
                <w:szCs w:val="19"/>
                <w:color w:val="auto"/>
              </w:rPr>
            </w:pPr>
          </w:p>
        </w:tc>
        <w:tc>
          <w:tcPr>
            <w:tcW w:w="1500" w:type="dxa"/>
            <w:vAlign w:val="bottom"/>
            <w:shd w:val="clear" w:color="auto" w:fill="F7F7F7"/>
          </w:tcPr>
          <w:p>
            <w:pPr>
              <w:spacing w:after="0"/>
              <w:rPr>
                <w:sz w:val="19"/>
                <w:szCs w:val="19"/>
                <w:color w:val="auto"/>
              </w:rPr>
            </w:pPr>
          </w:p>
        </w:tc>
        <w:tc>
          <w:tcPr>
            <w:tcW w:w="1800" w:type="dxa"/>
            <w:vAlign w:val="bottom"/>
            <w:shd w:val="clear" w:color="auto" w:fill="F7F7F7"/>
          </w:tcPr>
          <w:p>
            <w:pPr>
              <w:spacing w:after="0"/>
              <w:rPr>
                <w:sz w:val="19"/>
                <w:szCs w:val="19"/>
                <w:color w:val="auto"/>
              </w:rPr>
            </w:pPr>
          </w:p>
        </w:tc>
        <w:tc>
          <w:tcPr>
            <w:tcW w:w="1560" w:type="dxa"/>
            <w:vAlign w:val="bottom"/>
            <w:shd w:val="clear" w:color="auto" w:fill="F7F7F7"/>
          </w:tcPr>
          <w:p>
            <w:pPr>
              <w:spacing w:after="0"/>
              <w:rPr>
                <w:sz w:val="19"/>
                <w:szCs w:val="19"/>
                <w:color w:val="auto"/>
              </w:rPr>
            </w:pPr>
          </w:p>
        </w:tc>
        <w:tc>
          <w:tcPr>
            <w:tcW w:w="170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40"/>
              <w:spacing w:after="0" w:line="175" w:lineRule="exact"/>
              <w:rPr>
                <w:sz w:val="20"/>
                <w:szCs w:val="20"/>
                <w:color w:val="auto"/>
              </w:rPr>
            </w:pPr>
            <w:r>
              <w:rPr>
                <w:rFonts w:ascii="Arial" w:cs="Arial" w:eastAsia="Arial" w:hAnsi="Arial"/>
                <w:sz w:val="16"/>
                <w:szCs w:val="16"/>
                <w:color w:val="auto"/>
              </w:rPr>
              <w:t>Convertible notes in private</w:t>
            </w:r>
          </w:p>
        </w:tc>
        <w:tc>
          <w:tcPr>
            <w:tcW w:w="172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color w:val="auto"/>
              </w:rPr>
              <w:t>558</w:t>
            </w: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companies</w:t>
            </w:r>
          </w:p>
        </w:tc>
        <w:tc>
          <w:tcPr>
            <w:tcW w:w="17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F7F7F7"/>
          </w:tcPr>
          <w:p>
            <w:pPr>
              <w:spacing w:after="0"/>
              <w:rPr>
                <w:sz w:val="19"/>
                <w:szCs w:val="19"/>
                <w:color w:val="auto"/>
              </w:rPr>
            </w:pPr>
          </w:p>
        </w:tc>
        <w:tc>
          <w:tcPr>
            <w:tcW w:w="1720" w:type="dxa"/>
            <w:vAlign w:val="bottom"/>
            <w:shd w:val="clear" w:color="auto" w:fill="F7F7F7"/>
          </w:tcPr>
          <w:p>
            <w:pPr>
              <w:jc w:val="right"/>
              <w:ind w:right="279"/>
              <w:spacing w:after="0"/>
              <w:rPr>
                <w:sz w:val="20"/>
                <w:szCs w:val="20"/>
                <w:color w:val="auto"/>
              </w:rPr>
            </w:pPr>
            <w:r>
              <w:rPr>
                <w:rFonts w:ascii="Arial" w:cs="Arial" w:eastAsia="Arial" w:hAnsi="Arial"/>
                <w:sz w:val="16"/>
                <w:szCs w:val="16"/>
                <w:color w:val="auto"/>
              </w:rPr>
              <w:t>1</w:t>
            </w:r>
          </w:p>
        </w:tc>
        <w:tc>
          <w:tcPr>
            <w:tcW w:w="150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4,233</w:t>
            </w:r>
          </w:p>
        </w:tc>
        <w:tc>
          <w:tcPr>
            <w:tcW w:w="1800" w:type="dxa"/>
            <w:vAlign w:val="bottom"/>
            <w:shd w:val="clear" w:color="auto" w:fill="F7F7F7"/>
          </w:tcPr>
          <w:p>
            <w:pPr>
              <w:jc w:val="right"/>
              <w:ind w:right="199"/>
              <w:spacing w:after="0"/>
              <w:rPr>
                <w:sz w:val="20"/>
                <w:szCs w:val="20"/>
                <w:color w:val="auto"/>
              </w:rPr>
            </w:pPr>
            <w:r>
              <w:rPr>
                <w:rFonts w:ascii="Arial" w:cs="Arial" w:eastAsia="Arial" w:hAnsi="Arial"/>
                <w:sz w:val="16"/>
                <w:szCs w:val="16"/>
                <w:color w:val="auto"/>
              </w:rPr>
              <w:t>975</w:t>
            </w:r>
          </w:p>
        </w:tc>
        <w:tc>
          <w:tcPr>
            <w:tcW w:w="15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558</w:t>
            </w:r>
          </w:p>
        </w:tc>
        <w:tc>
          <w:tcPr>
            <w:tcW w:w="17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values above include accrued interest of $39 million, which is excluded from the carrying amounts. The accrued interest is included in "Trade and other receivables, net" in the condensed consolidated balance sheets. Additional accrued interest of $105 million recognized on the convertible notes in private companies is included in the carrying amount and fair value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estimated fair values of our debt securities by date of contractual maturity as of September 30,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22"/>
        </w:trPr>
        <w:tc>
          <w:tcPr>
            <w:tcW w:w="972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(in US $ millions)</w:t>
            </w:r>
          </w:p>
        </w:tc>
      </w:tr>
      <w:tr>
        <w:trPr>
          <w:trHeight w:val="231"/>
        </w:trPr>
        <w:tc>
          <w:tcPr>
            <w:tcW w:w="9720" w:type="dxa"/>
            <w:vAlign w:val="bottom"/>
            <w:shd w:val="clear" w:color="auto" w:fill="F7F7F7"/>
          </w:tcPr>
          <w:p>
            <w:pPr>
              <w:ind w:left="20"/>
              <w:spacing w:after="0"/>
              <w:rPr>
                <w:sz w:val="20"/>
                <w:szCs w:val="20"/>
                <w:color w:val="auto"/>
              </w:rPr>
            </w:pPr>
            <w:r>
              <w:rPr>
                <w:rFonts w:ascii="Arial" w:cs="Arial" w:eastAsia="Arial" w:hAnsi="Arial"/>
                <w:sz w:val="16"/>
                <w:szCs w:val="16"/>
                <w:color w:val="auto"/>
              </w:rPr>
              <w:t>Due within one year</w:t>
            </w: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3,179</w:t>
            </w:r>
          </w:p>
        </w:tc>
      </w:tr>
      <w:tr>
        <w:trPr>
          <w:trHeight w:val="228"/>
        </w:trPr>
        <w:tc>
          <w:tcPr>
            <w:tcW w:w="97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Due after one year to three years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24"/>
        </w:trPr>
        <w:tc>
          <w:tcPr>
            <w:tcW w:w="9720" w:type="dxa"/>
            <w:vAlign w:val="bottom"/>
            <w:shd w:val="clear" w:color="auto" w:fill="F7F7F7"/>
          </w:tcPr>
          <w:p>
            <w:pPr>
              <w:spacing w:after="0"/>
              <w:rPr>
                <w:sz w:val="19"/>
                <w:szCs w:val="19"/>
                <w:color w:val="auto"/>
              </w:rPr>
            </w:pP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3,698</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holds equity investments in public and private companies that were obtained through a combination of direct investment and strategic partnerships.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 Readily Determinable Fair Values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 with readily determinable fair values are comprised 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30, 2026</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31, 2025</w:t>
            </w:r>
          </w:p>
        </w:tc>
        <w:tc>
          <w:tcPr>
            <w:tcW w:w="1140" w:type="dxa"/>
            <w:vAlign w:val="bottom"/>
            <w:tcBorders>
              <w:bottom w:val="single" w:sz="8" w:color="auto"/>
            </w:tcBorders>
          </w:tcPr>
          <w:p>
            <w:pPr>
              <w:spacing w:after="0"/>
              <w:rPr>
                <w:sz w:val="18"/>
                <w:szCs w:val="18"/>
                <w:color w:val="auto"/>
              </w:rPr>
            </w:pPr>
          </w:p>
        </w:tc>
      </w:tr>
      <w:tr>
        <w:trPr>
          <w:trHeight w:val="223"/>
        </w:trPr>
        <w:tc>
          <w:tcPr>
            <w:tcW w:w="2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19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Level 3</w:t>
            </w: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Level 3</w:t>
            </w: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22"/>
        </w:trPr>
        <w:tc>
          <w:tcPr>
            <w:tcW w:w="2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0" w:type="dxa"/>
            <w:vAlign w:val="bottom"/>
            <w:gridSpan w:val="3"/>
          </w:tcPr>
          <w:p>
            <w:pPr>
              <w:jc w:val="right"/>
              <w:ind w:right="699"/>
              <w:spacing w:after="0"/>
              <w:rPr>
                <w:sz w:val="20"/>
                <w:szCs w:val="20"/>
                <w:color w:val="auto"/>
              </w:rPr>
            </w:pPr>
            <w:r>
              <w:rPr>
                <w:rFonts w:ascii="Arial" w:cs="Arial" w:eastAsia="Arial" w:hAnsi="Arial"/>
                <w:sz w:val="16"/>
                <w:szCs w:val="16"/>
                <w:color w:val="auto"/>
              </w:rPr>
              <w:t>(in US $ millions)</w:t>
            </w: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2460" w:type="dxa"/>
            <w:vAlign w:val="bottom"/>
            <w:shd w:val="clear" w:color="auto" w:fill="F7F7F7"/>
          </w:tcPr>
          <w:p>
            <w:pPr>
              <w:ind w:left="140"/>
              <w:spacing w:after="0"/>
              <w:rPr>
                <w:sz w:val="20"/>
                <w:szCs w:val="20"/>
                <w:color w:val="auto"/>
              </w:rPr>
            </w:pPr>
            <w:r>
              <w:rPr>
                <w:rFonts w:ascii="Arial" w:cs="Arial" w:eastAsia="Arial" w:hAnsi="Arial"/>
                <w:sz w:val="16"/>
                <w:szCs w:val="16"/>
                <w:color w:val="auto"/>
              </w:rPr>
              <w:t>Affirm Holdings, Inc.</w:t>
            </w: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1,405</w:t>
            </w:r>
          </w:p>
        </w:tc>
        <w:tc>
          <w:tcPr>
            <w:tcW w:w="1900" w:type="dxa"/>
            <w:vAlign w:val="bottom"/>
            <w:shd w:val="clear" w:color="auto" w:fill="F7F7F7"/>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F7F7F7"/>
          </w:tcPr>
          <w:p>
            <w:pPr>
              <w:spacing w:after="0"/>
              <w:rPr>
                <w:sz w:val="20"/>
                <w:szCs w:val="20"/>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1,511</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1,511</w:t>
            </w:r>
          </w:p>
        </w:tc>
      </w:tr>
      <w:tr>
        <w:trPr>
          <w:trHeight w:val="229"/>
        </w:trPr>
        <w:tc>
          <w:tcPr>
            <w:tcW w:w="2460" w:type="dxa"/>
            <w:vAlign w:val="bottom"/>
          </w:tcPr>
          <w:p>
            <w:pPr>
              <w:ind w:left="140"/>
              <w:spacing w:after="0"/>
              <w:rPr>
                <w:sz w:val="20"/>
                <w:szCs w:val="20"/>
                <w:color w:val="auto"/>
              </w:rPr>
            </w:pPr>
            <w:r>
              <w:rPr>
                <w:rFonts w:ascii="Arial" w:cs="Arial" w:eastAsia="Arial" w:hAnsi="Arial"/>
                <w:sz w:val="16"/>
                <w:szCs w:val="16"/>
                <w:color w:val="auto"/>
              </w:rPr>
              <w:t>Global-E Online Ltd.</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879</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879</w:t>
            </w: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868</w:t>
            </w:r>
          </w:p>
        </w:tc>
        <w:tc>
          <w:tcPr>
            <w:tcW w:w="18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868</w:t>
            </w:r>
          </w:p>
        </w:tc>
      </w:tr>
      <w:tr>
        <w:trPr>
          <w:trHeight w:val="230"/>
        </w:trPr>
        <w:tc>
          <w:tcPr>
            <w:tcW w:w="2460" w:type="dxa"/>
            <w:vAlign w:val="bottom"/>
            <w:shd w:val="clear" w:color="auto" w:fill="F7F7F7"/>
          </w:tcPr>
          <w:p>
            <w:pPr>
              <w:ind w:left="140"/>
              <w:spacing w:after="0" w:line="231" w:lineRule="exact"/>
              <w:rPr>
                <w:sz w:val="20"/>
                <w:szCs w:val="20"/>
                <w:color w:val="auto"/>
              </w:rPr>
            </w:pPr>
            <w:r>
              <w:rPr>
                <w:rFonts w:ascii="Arial" w:cs="Arial" w:eastAsia="Arial" w:hAnsi="Arial"/>
                <w:sz w:val="16"/>
                <w:szCs w:val="16"/>
                <w:color w:val="auto"/>
              </w:rPr>
              <w:t>Klaviyo, Inc.</w:t>
            </w:r>
            <w:r>
              <w:rPr>
                <w:rFonts w:ascii="Arial" w:cs="Arial" w:eastAsia="Arial" w:hAnsi="Arial"/>
                <w:sz w:val="21"/>
                <w:szCs w:val="21"/>
                <w:color w:val="auto"/>
                <w:vertAlign w:val="superscript"/>
              </w:rPr>
              <w:t>(1)</w:t>
            </w: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272</w:t>
            </w:r>
          </w:p>
        </w:tc>
        <w:tc>
          <w:tcPr>
            <w:tcW w:w="1900" w:type="dxa"/>
            <w:vAlign w:val="bottom"/>
            <w:shd w:val="clear" w:color="auto" w:fill="F7F7F7"/>
          </w:tcPr>
          <w:p>
            <w:pPr>
              <w:jc w:val="right"/>
              <w:ind w:right="459"/>
              <w:spacing w:after="0"/>
              <w:rPr>
                <w:sz w:val="20"/>
                <w:szCs w:val="20"/>
                <w:color w:val="auto"/>
              </w:rPr>
            </w:pPr>
            <w:r>
              <w:rPr>
                <w:rFonts w:ascii="Arial" w:cs="Arial" w:eastAsia="Arial" w:hAnsi="Arial"/>
                <w:sz w:val="16"/>
                <w:szCs w:val="16"/>
                <w:color w:val="auto"/>
              </w:rPr>
              <w:t>20</w:t>
            </w:r>
          </w:p>
        </w:tc>
        <w:tc>
          <w:tcPr>
            <w:tcW w:w="11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292</w:t>
            </w:r>
          </w:p>
        </w:tc>
        <w:tc>
          <w:tcPr>
            <w:tcW w:w="200" w:type="dxa"/>
            <w:vAlign w:val="bottom"/>
            <w:shd w:val="clear" w:color="auto" w:fill="F7F7F7"/>
          </w:tcPr>
          <w:p>
            <w:pPr>
              <w:spacing w:after="0"/>
              <w:rPr>
                <w:sz w:val="20"/>
                <w:szCs w:val="20"/>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529</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70</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599</w:t>
            </w:r>
          </w:p>
        </w:tc>
      </w:tr>
      <w:tr>
        <w:trPr>
          <w:trHeight w:val="228"/>
        </w:trPr>
        <w:tc>
          <w:tcPr>
            <w:tcW w:w="246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F7F7F7"/>
            </w:tcBorders>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r>
      <w:tr>
        <w:trPr>
          <w:trHeight w:val="224"/>
        </w:trPr>
        <w:tc>
          <w:tcPr>
            <w:tcW w:w="2460" w:type="dxa"/>
            <w:vAlign w:val="bottom"/>
            <w:shd w:val="clear" w:color="auto" w:fill="F7F7F7"/>
          </w:tcPr>
          <w:p>
            <w:pPr>
              <w:spacing w:after="0"/>
              <w:rPr>
                <w:sz w:val="19"/>
                <w:szCs w:val="19"/>
                <w:color w:val="auto"/>
              </w:rPr>
            </w:pPr>
          </w:p>
        </w:tc>
        <w:tc>
          <w:tcPr>
            <w:tcW w:w="12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2,576</w:t>
            </w:r>
          </w:p>
        </w:tc>
        <w:tc>
          <w:tcPr>
            <w:tcW w:w="1900" w:type="dxa"/>
            <w:vAlign w:val="bottom"/>
            <w:shd w:val="clear" w:color="auto" w:fill="F7F7F7"/>
          </w:tcPr>
          <w:p>
            <w:pPr>
              <w:jc w:val="right"/>
              <w:ind w:right="459"/>
              <w:spacing w:after="0"/>
              <w:rPr>
                <w:sz w:val="20"/>
                <w:szCs w:val="20"/>
                <w:color w:val="auto"/>
              </w:rPr>
            </w:pPr>
            <w:r>
              <w:rPr>
                <w:rFonts w:ascii="Arial" w:cs="Arial" w:eastAsia="Arial" w:hAnsi="Arial"/>
                <w:sz w:val="16"/>
                <w:szCs w:val="16"/>
                <w:color w:val="auto"/>
              </w:rPr>
              <w:t>20</w:t>
            </w:r>
          </w:p>
        </w:tc>
        <w:tc>
          <w:tcPr>
            <w:tcW w:w="11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2,596</w:t>
            </w:r>
          </w:p>
        </w:tc>
        <w:tc>
          <w:tcPr>
            <w:tcW w:w="200" w:type="dxa"/>
            <w:vAlign w:val="bottom"/>
            <w:shd w:val="clear" w:color="auto" w:fill="F7F7F7"/>
          </w:tcPr>
          <w:p>
            <w:pPr>
              <w:spacing w:after="0"/>
              <w:rPr>
                <w:sz w:val="19"/>
                <w:szCs w:val="19"/>
                <w:color w:val="auto"/>
              </w:rPr>
            </w:pPr>
          </w:p>
        </w:tc>
        <w:tc>
          <w:tcPr>
            <w:tcW w:w="13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2,916</w:t>
            </w:r>
          </w:p>
        </w:tc>
        <w:tc>
          <w:tcPr>
            <w:tcW w:w="18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70</w:t>
            </w:r>
          </w:p>
        </w:tc>
        <w:tc>
          <w:tcPr>
            <w:tcW w:w="11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2,986</w:t>
            </w:r>
          </w:p>
        </w:tc>
      </w:tr>
    </w:tbl>
    <w:p>
      <w:pPr>
        <w:spacing w:after="0" w:line="85" w:lineRule="exact"/>
        <w:rPr>
          <w:sz w:val="20"/>
          <w:szCs w:val="20"/>
          <w:color w:val="auto"/>
        </w:rPr>
      </w:pPr>
    </w:p>
    <w:p>
      <w:pPr>
        <w:jc w:val="both"/>
        <w:ind w:firstLine="8"/>
        <w:spacing w:after="0" w:line="234" w:lineRule="auto"/>
        <w:tabs>
          <w:tab w:leader="none" w:pos="16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 the three and nine months ended September 30, 2026, $5 million and $22 million was transferred from Level 3 to Level 1, respectively, due to the vesting of warrants (September 30, 2025 - $10 million and $33 million). The equity investments categorized as Level 3 in the fair value hierarchy represent unvested warrants that require the application of a discount for lack of marketability which was 8% at September 30, 2026 (December 31, 2025 - 11%).</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Adjustments related to equity and other investments with readily determinable fair values for the three and nine months ended September 30, 2026 and 2025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gridSpan w:val="2"/>
          </w:tcPr>
          <w:p>
            <w:pPr>
              <w:ind w:left="5200"/>
              <w:spacing w:after="0"/>
              <w:rPr>
                <w:sz w:val="20"/>
                <w:szCs w:val="20"/>
                <w:color w:val="auto"/>
              </w:rPr>
            </w:pPr>
            <w:r>
              <w:rPr>
                <w:rFonts w:ascii="Arial" w:cs="Arial" w:eastAsia="Arial" w:hAnsi="Arial"/>
                <w:sz w:val="16"/>
                <w:szCs w:val="16"/>
                <w:b w:val="1"/>
                <w:bCs w:val="1"/>
                <w:color w:val="auto"/>
              </w:rPr>
              <w:t>2026</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2"/>
        </w:trPr>
        <w:tc>
          <w:tcPr>
            <w:tcW w:w="4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2,703</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2,755</w:t>
            </w:r>
          </w:p>
        </w:tc>
        <w:tc>
          <w:tcPr>
            <w:tcW w:w="180" w:type="dxa"/>
            <w:vAlign w:val="bottom"/>
            <w:shd w:val="clear" w:color="auto" w:fill="F7F7F7"/>
          </w:tcPr>
          <w:p>
            <w:pPr>
              <w:spacing w:after="0"/>
              <w:rPr>
                <w:sz w:val="19"/>
                <w:szCs w:val="19"/>
                <w:color w:val="auto"/>
              </w:rPr>
            </w:pPr>
          </w:p>
        </w:tc>
        <w:tc>
          <w:tcPr>
            <w:tcW w:w="1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2,986</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51"/>
        </w:trPr>
        <w:tc>
          <w:tcPr>
            <w:tcW w:w="46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20" w:type="dxa"/>
            <w:vAlign w:val="bottom"/>
            <w:gridSpan w:val="2"/>
            <w:shd w:val="clear" w:color="auto" w:fill="F7F7F7"/>
          </w:tcPr>
          <w:p>
            <w:pPr>
              <w:ind w:left="20"/>
              <w:spacing w:after="0" w:line="175" w:lineRule="exact"/>
              <w:rPr>
                <w:sz w:val="20"/>
                <w:szCs w:val="20"/>
                <w:color w:val="auto"/>
              </w:rPr>
            </w:pPr>
            <w:r>
              <w:rPr>
                <w:rFonts w:ascii="Arial" w:cs="Arial" w:eastAsia="Arial" w:hAnsi="Arial"/>
                <w:sz w:val="16"/>
                <w:szCs w:val="16"/>
                <w:color w:val="auto"/>
              </w:rPr>
              <w:t>Adjustments related to equity and other investments with readily</w:t>
            </w:r>
          </w:p>
        </w:tc>
        <w:tc>
          <w:tcPr>
            <w:tcW w:w="880" w:type="dxa"/>
            <w:vAlign w:val="bottom"/>
            <w:shd w:val="clear" w:color="auto" w:fill="F7F7F7"/>
          </w:tcPr>
          <w:p>
            <w:pPr>
              <w:spacing w:after="0"/>
              <w:rPr>
                <w:sz w:val="15"/>
                <w:szCs w:val="15"/>
                <w:color w:val="auto"/>
              </w:rPr>
            </w:pPr>
          </w:p>
        </w:tc>
        <w:tc>
          <w:tcPr>
            <w:tcW w:w="134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1880" w:type="dxa"/>
            <w:vAlign w:val="bottom"/>
            <w:shd w:val="clear" w:color="auto" w:fill="F7F7F7"/>
          </w:tcPr>
          <w:p>
            <w:pPr>
              <w:spacing w:after="0"/>
              <w:rPr>
                <w:sz w:val="15"/>
                <w:szCs w:val="15"/>
                <w:color w:val="auto"/>
              </w:rPr>
            </w:pPr>
          </w:p>
        </w:tc>
        <w:tc>
          <w:tcPr>
            <w:tcW w:w="1340" w:type="dxa"/>
            <w:vAlign w:val="bottom"/>
            <w:shd w:val="clear" w:color="auto" w:fill="F7F7F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determinable fair values:</w:t>
            </w:r>
          </w:p>
        </w:tc>
        <w:tc>
          <w:tcPr>
            <w:tcW w:w="880" w:type="dxa"/>
            <w:vAlign w:val="bottom"/>
            <w:shd w:val="clear" w:color="auto" w:fill="F7F7F7"/>
          </w:tcPr>
          <w:p>
            <w:pPr>
              <w:spacing w:after="0"/>
              <w:rPr>
                <w:sz w:val="18"/>
                <w:szCs w:val="18"/>
                <w:color w:val="auto"/>
              </w:rPr>
            </w:pPr>
          </w:p>
        </w:tc>
        <w:tc>
          <w:tcPr>
            <w:tcW w:w="134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1880" w:type="dxa"/>
            <w:vAlign w:val="bottom"/>
            <w:shd w:val="clear" w:color="auto" w:fill="F7F7F7"/>
          </w:tcPr>
          <w:p>
            <w:pPr>
              <w:spacing w:after="0"/>
              <w:rPr>
                <w:sz w:val="18"/>
                <w:szCs w:val="18"/>
                <w:color w:val="auto"/>
              </w:rPr>
            </w:pPr>
          </w:p>
        </w:tc>
        <w:tc>
          <w:tcPr>
            <w:tcW w:w="13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Investments received as part of sale of equity and other</w:t>
            </w:r>
          </w:p>
        </w:tc>
        <w:tc>
          <w:tcPr>
            <w:tcW w:w="880" w:type="dxa"/>
            <w:vAlign w:val="bottom"/>
            <w:vMerge w:val="restart"/>
          </w:tcPr>
          <w:p>
            <w:pPr>
              <w:jc w:val="right"/>
              <w:ind w:right="359"/>
              <w:spacing w:after="0"/>
              <w:rPr>
                <w:sz w:val="20"/>
                <w:szCs w:val="20"/>
                <w:color w:val="auto"/>
              </w:rPr>
            </w:pPr>
            <w:r>
              <w:rPr>
                <w:rFonts w:ascii="Arial" w:cs="Arial" w:eastAsia="Arial" w:hAnsi="Arial"/>
                <w:sz w:val="16"/>
                <w:szCs w:val="16"/>
                <w:color w:val="auto"/>
              </w:rPr>
              <w:t>19</w:t>
            </w: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vMerge w:val="restart"/>
          </w:tcPr>
          <w:p>
            <w:pPr>
              <w:jc w:val="right"/>
              <w:ind w:right="359"/>
              <w:spacing w:after="0"/>
              <w:rPr>
                <w:sz w:val="20"/>
                <w:szCs w:val="20"/>
                <w:color w:val="auto"/>
              </w:rPr>
            </w:pPr>
            <w:r>
              <w:rPr>
                <w:rFonts w:ascii="Arial" w:cs="Arial" w:eastAsia="Arial" w:hAnsi="Arial"/>
                <w:sz w:val="16"/>
                <w:szCs w:val="16"/>
                <w:color w:val="auto"/>
              </w:rPr>
              <w:t>19</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investments</w:t>
            </w:r>
          </w:p>
        </w:tc>
        <w:tc>
          <w:tcPr>
            <w:tcW w:w="88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F7F7F7"/>
          </w:tcPr>
          <w:p>
            <w:pPr>
              <w:ind w:left="240"/>
              <w:spacing w:after="0"/>
              <w:rPr>
                <w:sz w:val="20"/>
                <w:szCs w:val="20"/>
                <w:color w:val="auto"/>
              </w:rPr>
            </w:pPr>
            <w:r>
              <w:rPr>
                <w:rFonts w:ascii="Arial" w:cs="Arial" w:eastAsia="Arial" w:hAnsi="Arial"/>
                <w:sz w:val="16"/>
                <w:szCs w:val="16"/>
                <w:color w:val="auto"/>
              </w:rPr>
              <w:t>Sale of equity and other investments</w:t>
            </w:r>
          </w:p>
        </w:tc>
        <w:tc>
          <w:tcPr>
            <w:tcW w:w="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F7F7F7"/>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(5)</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64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Net unrealized (losses) gains</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F7F7F7"/>
            </w:tcBorders>
          </w:tcPr>
          <w:p>
            <w:pPr>
              <w:spacing w:after="0"/>
              <w:rPr>
                <w:sz w:val="19"/>
                <w:szCs w:val="19"/>
                <w:color w:val="auto"/>
              </w:rPr>
            </w:pPr>
          </w:p>
        </w:tc>
        <w:tc>
          <w:tcPr>
            <w:tcW w:w="1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4"/>
        </w:trPr>
        <w:tc>
          <w:tcPr>
            <w:tcW w:w="562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end of the period</w:t>
            </w:r>
          </w:p>
        </w:tc>
        <w:tc>
          <w:tcPr>
            <w:tcW w:w="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2,596</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2,783</w:t>
            </w:r>
          </w:p>
        </w:tc>
        <w:tc>
          <w:tcPr>
            <w:tcW w:w="180" w:type="dxa"/>
            <w:vAlign w:val="bottom"/>
            <w:shd w:val="clear" w:color="auto" w:fill="F7F7F7"/>
          </w:tcPr>
          <w:p>
            <w:pPr>
              <w:spacing w:after="0"/>
              <w:rPr>
                <w:sz w:val="19"/>
                <w:szCs w:val="19"/>
                <w:color w:val="auto"/>
              </w:rPr>
            </w:pPr>
          </w:p>
        </w:tc>
        <w:tc>
          <w:tcPr>
            <w:tcW w:w="1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2,596</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equity investments in private companies without readily determinable fair values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22"/>
        </w:trPr>
        <w:tc>
          <w:tcPr>
            <w:tcW w:w="7820" w:type="dxa"/>
            <w:vAlign w:val="bottom"/>
          </w:tcPr>
          <w:p>
            <w:pPr>
              <w:spacing w:after="0"/>
              <w:rPr>
                <w:sz w:val="19"/>
                <w:szCs w:val="19"/>
                <w:color w:val="auto"/>
              </w:rPr>
            </w:pPr>
          </w:p>
        </w:tc>
        <w:tc>
          <w:tcPr>
            <w:tcW w:w="3400" w:type="dxa"/>
            <w:vAlign w:val="bottom"/>
            <w:gridSpan w:val="2"/>
          </w:tcPr>
          <w:p>
            <w:pPr>
              <w:jc w:val="right"/>
              <w:ind w:right="1019"/>
              <w:spacing w:after="0"/>
              <w:rPr>
                <w:sz w:val="20"/>
                <w:szCs w:val="20"/>
                <w:color w:val="auto"/>
              </w:rPr>
            </w:pPr>
            <w:r>
              <w:rPr>
                <w:rFonts w:ascii="Arial" w:cs="Arial" w:eastAsia="Arial" w:hAnsi="Arial"/>
                <w:sz w:val="16"/>
                <w:szCs w:val="16"/>
                <w:color w:val="auto"/>
              </w:rPr>
              <w:t>(in US $ millions)</w:t>
            </w:r>
          </w:p>
        </w:tc>
      </w:tr>
      <w:tr>
        <w:trPr>
          <w:trHeight w:val="230"/>
        </w:trPr>
        <w:tc>
          <w:tcPr>
            <w:tcW w:w="7820" w:type="dxa"/>
            <w:vAlign w:val="bottom"/>
            <w:shd w:val="clear" w:color="auto" w:fill="F7F7F7"/>
          </w:tcPr>
          <w:p>
            <w:pPr>
              <w:ind w:left="20"/>
              <w:spacing w:after="0"/>
              <w:rPr>
                <w:sz w:val="20"/>
                <w:szCs w:val="20"/>
                <w:color w:val="auto"/>
              </w:rPr>
            </w:pPr>
            <w:r>
              <w:rPr>
                <w:rFonts w:ascii="Arial" w:cs="Arial" w:eastAsia="Arial" w:hAnsi="Arial"/>
                <w:sz w:val="16"/>
                <w:szCs w:val="16"/>
                <w:color w:val="auto"/>
              </w:rPr>
              <w:t>Total initial value</w:t>
            </w:r>
          </w:p>
        </w:tc>
        <w:tc>
          <w:tcPr>
            <w:tcW w:w="172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1,287</w:t>
            </w:r>
          </w:p>
        </w:tc>
        <w:tc>
          <w:tcPr>
            <w:tcW w:w="16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1,068</w:t>
            </w:r>
          </w:p>
        </w:tc>
      </w:tr>
      <w:tr>
        <w:trPr>
          <w:trHeight w:val="228"/>
        </w:trPr>
        <w:tc>
          <w:tcPr>
            <w:tcW w:w="7820" w:type="dxa"/>
            <w:vAlign w:val="bottom"/>
          </w:tcPr>
          <w:p>
            <w:pPr>
              <w:ind w:left="240"/>
              <w:spacing w:after="0"/>
              <w:rPr>
                <w:sz w:val="20"/>
                <w:szCs w:val="20"/>
                <w:color w:val="auto"/>
              </w:rPr>
            </w:pPr>
            <w:r>
              <w:rPr>
                <w:rFonts w:ascii="Arial" w:cs="Arial" w:eastAsia="Arial" w:hAnsi="Arial"/>
                <w:sz w:val="16"/>
                <w:szCs w:val="16"/>
                <w:color w:val="auto"/>
              </w:rPr>
              <w:t>Cumulative gross unrealized gains</w:t>
            </w: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838</w:t>
            </w:r>
          </w:p>
        </w:tc>
        <w:tc>
          <w:tcPr>
            <w:tcW w:w="168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30"/>
        </w:trPr>
        <w:tc>
          <w:tcPr>
            <w:tcW w:w="782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Cumulative gross unrealized losses and impairment</w:t>
            </w:r>
          </w:p>
        </w:tc>
        <w:tc>
          <w:tcPr>
            <w:tcW w:w="17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(419)</w:t>
            </w:r>
          </w:p>
        </w:tc>
        <w:tc>
          <w:tcPr>
            <w:tcW w:w="16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(415)</w:t>
            </w:r>
          </w:p>
        </w:tc>
      </w:tr>
      <w:tr>
        <w:trPr>
          <w:trHeight w:val="222"/>
        </w:trPr>
        <w:tc>
          <w:tcPr>
            <w:tcW w:w="7820" w:type="dxa"/>
            <w:vAlign w:val="bottom"/>
          </w:tcPr>
          <w:p>
            <w:pPr>
              <w:ind w:left="20"/>
              <w:spacing w:after="0"/>
              <w:rPr>
                <w:sz w:val="20"/>
                <w:szCs w:val="20"/>
                <w:color w:val="auto"/>
              </w:rPr>
            </w:pPr>
            <w:r>
              <w:rPr>
                <w:rFonts w:ascii="Arial" w:cs="Arial" w:eastAsia="Arial" w:hAnsi="Arial"/>
                <w:sz w:val="16"/>
                <w:szCs w:val="16"/>
                <w:color w:val="auto"/>
              </w:rPr>
              <w:t>Total carrying value of equity and other investments without readily determinable fair values</w:t>
            </w: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1,706</w:t>
            </w:r>
          </w:p>
        </w:tc>
        <w:tc>
          <w:tcPr>
            <w:tcW w:w="1680" w:type="dxa"/>
            <w:vAlign w:val="bottom"/>
          </w:tcPr>
          <w:p>
            <w:pPr>
              <w:jc w:val="right"/>
              <w:spacing w:after="0"/>
              <w:rPr>
                <w:sz w:val="20"/>
                <w:szCs w:val="20"/>
                <w:color w:val="auto"/>
              </w:rPr>
            </w:pPr>
            <w:r>
              <w:rPr>
                <w:rFonts w:ascii="Arial" w:cs="Arial" w:eastAsia="Arial" w:hAnsi="Arial"/>
                <w:sz w:val="16"/>
                <w:szCs w:val="16"/>
                <w:color w:val="auto"/>
              </w:rPr>
              <w:t>963</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Adjustments related to equity and other investments without readily determinable fair values for the three and nine months ended September 30, 2026 and 2025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gridSpan w:val="2"/>
          </w:tcPr>
          <w:p>
            <w:pPr>
              <w:ind w:left="5220"/>
              <w:spacing w:after="0"/>
              <w:rPr>
                <w:sz w:val="20"/>
                <w:szCs w:val="20"/>
                <w:color w:val="auto"/>
              </w:rPr>
            </w:pPr>
            <w:r>
              <w:rPr>
                <w:rFonts w:ascii="Arial" w:cs="Arial" w:eastAsia="Arial" w:hAnsi="Arial"/>
                <w:sz w:val="16"/>
                <w:szCs w:val="16"/>
                <w:b w:val="1"/>
                <w:bCs w:val="1"/>
                <w:color w:val="auto"/>
              </w:rPr>
              <w:t>2026</w:t>
            </w:r>
          </w:p>
        </w:tc>
        <w:tc>
          <w:tcPr>
            <w:tcW w:w="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8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2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90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1,555</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988</w:t>
            </w:r>
          </w:p>
        </w:tc>
        <w:tc>
          <w:tcPr>
            <w:tcW w:w="180" w:type="dxa"/>
            <w:vAlign w:val="bottom"/>
            <w:shd w:val="clear" w:color="auto" w:fill="F7F7F7"/>
          </w:tcPr>
          <w:p>
            <w:pPr>
              <w:spacing w:after="0"/>
              <w:rPr>
                <w:sz w:val="20"/>
                <w:szCs w:val="20"/>
                <w:color w:val="auto"/>
              </w:rPr>
            </w:pPr>
          </w:p>
        </w:tc>
        <w:tc>
          <w:tcPr>
            <w:tcW w:w="1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963</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28"/>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900" w:type="dxa"/>
            <w:vAlign w:val="bottom"/>
          </w:tcPr>
          <w:p>
            <w:pPr>
              <w:jc w:val="right"/>
              <w:ind w:right="359"/>
              <w:spacing w:after="0"/>
              <w:rPr>
                <w:sz w:val="20"/>
                <w:szCs w:val="20"/>
                <w:color w:val="auto"/>
              </w:rPr>
            </w:pPr>
            <w:r>
              <w:rPr>
                <w:rFonts w:ascii="Arial" w:cs="Arial" w:eastAsia="Arial" w:hAnsi="Arial"/>
                <w:sz w:val="16"/>
                <w:szCs w:val="16"/>
                <w:color w:val="auto"/>
              </w:rPr>
              <w:t>161</w:t>
            </w: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226</w:t>
            </w:r>
          </w:p>
        </w:tc>
        <w:tc>
          <w:tcPr>
            <w:tcW w:w="13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77"/>
        </w:trPr>
        <w:tc>
          <w:tcPr>
            <w:tcW w:w="5620" w:type="dxa"/>
            <w:vAlign w:val="bottom"/>
            <w:gridSpan w:val="2"/>
            <w:shd w:val="clear" w:color="auto" w:fill="F7F7F7"/>
          </w:tcPr>
          <w:p>
            <w:pPr>
              <w:ind w:left="240"/>
              <w:spacing w:after="0" w:line="177" w:lineRule="exact"/>
              <w:rPr>
                <w:sz w:val="20"/>
                <w:szCs w:val="20"/>
                <w:color w:val="auto"/>
              </w:rPr>
            </w:pPr>
            <w:r>
              <w:rPr>
                <w:rFonts w:ascii="Arial" w:cs="Arial" w:eastAsia="Arial" w:hAnsi="Arial"/>
                <w:sz w:val="16"/>
                <w:szCs w:val="16"/>
                <w:color w:val="auto"/>
              </w:rPr>
              <w:t>Investments received as non-cash consideration in exchange</w:t>
            </w:r>
          </w:p>
        </w:tc>
        <w:tc>
          <w:tcPr>
            <w:tcW w:w="900" w:type="dxa"/>
            <w:vAlign w:val="bottom"/>
            <w:vMerge w:val="restart"/>
            <w:shd w:val="clear" w:color="auto" w:fill="F7F7F7"/>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gridSpan w:val="2"/>
            <w:vMerge w:val="restart"/>
            <w:shd w:val="clear" w:color="auto" w:fill="F7F7F7"/>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vMerge w:val="restart"/>
            <w:shd w:val="clear" w:color="auto" w:fill="F7F7F7"/>
          </w:tcPr>
          <w:p>
            <w:pPr>
              <w:jc w:val="right"/>
              <w:ind w:right="359"/>
              <w:spacing w:after="0"/>
              <w:rPr>
                <w:sz w:val="20"/>
                <w:szCs w:val="20"/>
                <w:color w:val="auto"/>
              </w:rPr>
            </w:pPr>
            <w:r>
              <w:rPr>
                <w:rFonts w:ascii="Arial" w:cs="Arial" w:eastAsia="Arial" w:hAnsi="Arial"/>
                <w:sz w:val="16"/>
                <w:szCs w:val="16"/>
                <w:color w:val="auto"/>
              </w:rPr>
              <w:t>8</w:t>
            </w:r>
          </w:p>
        </w:tc>
        <w:tc>
          <w:tcPr>
            <w:tcW w:w="134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F7F7F7"/>
          </w:tcPr>
          <w:p>
            <w:pPr>
              <w:ind w:left="240"/>
              <w:spacing w:after="0"/>
              <w:rPr>
                <w:sz w:val="20"/>
                <w:szCs w:val="20"/>
                <w:color w:val="auto"/>
              </w:rPr>
            </w:pPr>
            <w:r>
              <w:rPr>
                <w:rFonts w:ascii="Arial" w:cs="Arial" w:eastAsia="Arial" w:hAnsi="Arial"/>
                <w:sz w:val="16"/>
                <w:szCs w:val="16"/>
                <w:color w:val="auto"/>
              </w:rPr>
              <w:t>for services</w:t>
            </w:r>
          </w:p>
        </w:tc>
        <w:tc>
          <w:tcPr>
            <w:tcW w:w="900" w:type="dxa"/>
            <w:vAlign w:val="bottom"/>
            <w:vMerge w:val="continue"/>
            <w:shd w:val="clear" w:color="auto" w:fill="F7F7F7"/>
          </w:tcPr>
          <w:p>
            <w:pPr>
              <w:spacing w:after="0"/>
              <w:rPr>
                <w:sz w:val="18"/>
                <w:szCs w:val="18"/>
                <w:color w:val="auto"/>
              </w:rPr>
            </w:pPr>
          </w:p>
        </w:tc>
        <w:tc>
          <w:tcPr>
            <w:tcW w:w="1500" w:type="dxa"/>
            <w:vAlign w:val="bottom"/>
            <w:gridSpan w:val="2"/>
            <w:vMerge w:val="continue"/>
            <w:shd w:val="clear" w:color="auto" w:fill="F7F7F7"/>
          </w:tcPr>
          <w:p>
            <w:pPr>
              <w:spacing w:after="0"/>
              <w:rPr>
                <w:sz w:val="18"/>
                <w:szCs w:val="18"/>
                <w:color w:val="auto"/>
              </w:rPr>
            </w:pPr>
          </w:p>
        </w:tc>
        <w:tc>
          <w:tcPr>
            <w:tcW w:w="1880" w:type="dxa"/>
            <w:vAlign w:val="bottom"/>
            <w:vMerge w:val="continue"/>
            <w:shd w:val="clear" w:color="auto" w:fill="F7F7F7"/>
          </w:tcPr>
          <w:p>
            <w:pPr>
              <w:spacing w:after="0"/>
              <w:rPr>
                <w:sz w:val="18"/>
                <w:szCs w:val="18"/>
                <w:color w:val="auto"/>
              </w:rPr>
            </w:pPr>
          </w:p>
        </w:tc>
        <w:tc>
          <w:tcPr>
            <w:tcW w:w="134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40"/>
              <w:spacing w:after="0" w:line="230" w:lineRule="exact"/>
              <w:rPr>
                <w:sz w:val="20"/>
                <w:szCs w:val="20"/>
                <w:color w:val="auto"/>
              </w:rPr>
            </w:pPr>
            <w:r>
              <w:rPr>
                <w:rFonts w:ascii="Arial" w:cs="Arial" w:eastAsia="Arial" w:hAnsi="Arial"/>
                <w:sz w:val="16"/>
                <w:szCs w:val="16"/>
                <w:color w:val="auto"/>
              </w:rPr>
              <w:t>Gross unrealized gains</w:t>
            </w:r>
            <w:r>
              <w:rPr>
                <w:rFonts w:ascii="Arial" w:cs="Arial" w:eastAsia="Arial" w:hAnsi="Arial"/>
                <w:sz w:val="21"/>
                <w:szCs w:val="21"/>
                <w:color w:val="auto"/>
                <w:vertAlign w:val="superscript"/>
              </w:rPr>
              <w:t>(1)</w:t>
            </w:r>
          </w:p>
        </w:tc>
        <w:tc>
          <w:tcPr>
            <w:tcW w:w="90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530</w:t>
            </w:r>
          </w:p>
        </w:tc>
        <w:tc>
          <w:tcPr>
            <w:tcW w:w="134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F7F7F7"/>
          </w:tcPr>
          <w:p>
            <w:pPr>
              <w:ind w:left="240"/>
              <w:spacing w:after="0" w:line="230" w:lineRule="exact"/>
              <w:rPr>
                <w:sz w:val="20"/>
                <w:szCs w:val="20"/>
                <w:color w:val="auto"/>
              </w:rPr>
            </w:pPr>
            <w:r>
              <w:rPr>
                <w:rFonts w:ascii="Arial" w:cs="Arial" w:eastAsia="Arial" w:hAnsi="Arial"/>
                <w:sz w:val="16"/>
                <w:szCs w:val="16"/>
                <w:color w:val="auto"/>
              </w:rPr>
              <w:t>Sales of equity and other investments</w:t>
            </w:r>
            <w:r>
              <w:rPr>
                <w:rFonts w:ascii="Arial" w:cs="Arial" w:eastAsia="Arial" w:hAnsi="Arial"/>
                <w:sz w:val="21"/>
                <w:szCs w:val="21"/>
                <w:color w:val="auto"/>
                <w:vertAlign w:val="superscript"/>
              </w:rPr>
              <w:t>(2)</w:t>
            </w:r>
          </w:p>
        </w:tc>
        <w:tc>
          <w:tcPr>
            <w:tcW w:w="90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(9)</w:t>
            </w:r>
          </w:p>
        </w:tc>
        <w:tc>
          <w:tcPr>
            <w:tcW w:w="1500" w:type="dxa"/>
            <w:vAlign w:val="bottom"/>
            <w:gridSpan w:val="2"/>
            <w:shd w:val="clear" w:color="auto" w:fill="F7F7F7"/>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(14)</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40"/>
              <w:spacing w:after="0" w:line="230" w:lineRule="exact"/>
              <w:rPr>
                <w:sz w:val="20"/>
                <w:szCs w:val="20"/>
                <w:color w:val="auto"/>
              </w:rPr>
            </w:pPr>
            <w:r>
              <w:rPr>
                <w:rFonts w:ascii="Arial" w:cs="Arial" w:eastAsia="Arial" w:hAnsi="Arial"/>
                <w:sz w:val="16"/>
                <w:szCs w:val="16"/>
                <w:color w:val="auto"/>
              </w:rPr>
              <w:t>Gross unrealized losses and impairments</w:t>
            </w:r>
            <w:r>
              <w:rPr>
                <w:rFonts w:ascii="Arial" w:cs="Arial" w:eastAsia="Arial" w:hAnsi="Arial"/>
                <w:sz w:val="21"/>
                <w:szCs w:val="21"/>
                <w:color w:val="auto"/>
                <w:vertAlign w:val="superscript"/>
              </w:rPr>
              <w:t>(3)</w:t>
            </w: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(7)</w:t>
            </w: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9"/>
                <w:szCs w:val="19"/>
                <w:color w:val="auto"/>
              </w:rPr>
            </w:pPr>
          </w:p>
        </w:tc>
        <w:tc>
          <w:tcPr>
            <w:tcW w:w="1880" w:type="dxa"/>
            <w:vAlign w:val="bottom"/>
          </w:tcPr>
          <w:p>
            <w:pPr>
              <w:jc w:val="right"/>
              <w:ind w:right="299"/>
              <w:spacing w:after="0"/>
              <w:rPr>
                <w:sz w:val="20"/>
                <w:szCs w:val="20"/>
                <w:color w:val="auto"/>
              </w:rPr>
            </w:pPr>
            <w:r>
              <w:rPr>
                <w:rFonts w:ascii="Arial" w:cs="Arial" w:eastAsia="Arial" w:hAnsi="Arial"/>
                <w:sz w:val="16"/>
                <w:szCs w:val="16"/>
                <w:color w:val="auto"/>
              </w:rPr>
              <w:t>(7)</w:t>
            </w: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4660" w:type="dxa"/>
            <w:vAlign w:val="bottom"/>
            <w:shd w:val="clear" w:color="auto" w:fill="F7F7F7"/>
          </w:tcPr>
          <w:p>
            <w:pPr>
              <w:ind w:left="240"/>
              <w:spacing w:after="0" w:line="230" w:lineRule="exact"/>
              <w:rPr>
                <w:sz w:val="20"/>
                <w:szCs w:val="20"/>
                <w:color w:val="auto"/>
              </w:rPr>
            </w:pPr>
            <w:r>
              <w:rPr>
                <w:rFonts w:ascii="Arial" w:cs="Arial" w:eastAsia="Arial" w:hAnsi="Arial"/>
                <w:sz w:val="16"/>
                <w:szCs w:val="16"/>
                <w:color w:val="auto"/>
              </w:rPr>
              <w:t>Transfers into measurement alternative</w:t>
            </w:r>
            <w:r>
              <w:rPr>
                <w:rFonts w:ascii="Arial" w:cs="Arial" w:eastAsia="Arial" w:hAnsi="Arial"/>
                <w:sz w:val="21"/>
                <w:szCs w:val="21"/>
                <w:color w:val="auto"/>
                <w:vertAlign w:val="superscript"/>
              </w:rPr>
              <w:t>(4)</w:t>
            </w:r>
          </w:p>
        </w:tc>
        <w:tc>
          <w:tcPr>
            <w:tcW w:w="960" w:type="dxa"/>
            <w:vAlign w:val="bottom"/>
            <w:tcBorders>
              <w:bottom w:val="single" w:sz="8" w:color="auto"/>
            </w:tcBorders>
            <w:shd w:val="clear" w:color="auto" w:fill="F7F7F7"/>
          </w:tcPr>
          <w:p>
            <w:pPr>
              <w:spacing w:after="0"/>
              <w:rPr>
                <w:sz w:val="19"/>
                <w:szCs w:val="19"/>
                <w:color w:val="auto"/>
              </w:rPr>
            </w:pPr>
          </w:p>
        </w:tc>
        <w:tc>
          <w:tcPr>
            <w:tcW w:w="900" w:type="dxa"/>
            <w:vAlign w:val="bottom"/>
            <w:tcBorders>
              <w:bottom w:val="single" w:sz="8" w:color="auto"/>
            </w:tcBorders>
            <w:shd w:val="clear" w:color="auto" w:fill="F7F7F7"/>
          </w:tcPr>
          <w:p>
            <w:pPr>
              <w:jc w:val="right"/>
              <w:ind w:right="3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19"/>
                <w:szCs w:val="19"/>
                <w:color w:val="auto"/>
              </w:rPr>
            </w:pPr>
          </w:p>
        </w:tc>
        <w:tc>
          <w:tcPr>
            <w:tcW w:w="1880" w:type="dxa"/>
            <w:vAlign w:val="bottom"/>
            <w:tcBorders>
              <w:bottom w:val="single" w:sz="8" w:color="auto"/>
            </w:tcBorders>
            <w:shd w:val="clear" w:color="auto" w:fill="F7F7F7"/>
          </w:tcPr>
          <w:p>
            <w:pPr>
              <w:jc w:val="right"/>
              <w:ind w:right="3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900" w:type="dxa"/>
            <w:vAlign w:val="bottom"/>
          </w:tcPr>
          <w:p>
            <w:pPr>
              <w:jc w:val="right"/>
              <w:ind w:right="359"/>
              <w:spacing w:after="0"/>
              <w:rPr>
                <w:sz w:val="20"/>
                <w:szCs w:val="20"/>
                <w:color w:val="auto"/>
              </w:rPr>
            </w:pPr>
            <w:r>
              <w:rPr>
                <w:rFonts w:ascii="Arial" w:cs="Arial" w:eastAsia="Arial" w:hAnsi="Arial"/>
                <w:sz w:val="16"/>
                <w:szCs w:val="16"/>
                <w:color w:val="auto"/>
              </w:rPr>
              <w:t>1,706</w:t>
            </w:r>
          </w:p>
        </w:tc>
        <w:tc>
          <w:tcPr>
            <w:tcW w:w="1320" w:type="dxa"/>
            <w:vAlign w:val="bottom"/>
          </w:tcPr>
          <w:p>
            <w:pPr>
              <w:jc w:val="right"/>
              <w:spacing w:after="0"/>
              <w:rPr>
                <w:sz w:val="20"/>
                <w:szCs w:val="20"/>
                <w:color w:val="auto"/>
              </w:rPr>
            </w:pPr>
            <w:r>
              <w:rPr>
                <w:rFonts w:ascii="Arial" w:cs="Arial" w:eastAsia="Arial" w:hAnsi="Arial"/>
                <w:sz w:val="16"/>
                <w:szCs w:val="16"/>
                <w:color w:val="auto"/>
              </w:rPr>
              <w:t>974</w:t>
            </w:r>
          </w:p>
        </w:tc>
        <w:tc>
          <w:tcPr>
            <w:tcW w:w="18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1,706</w:t>
            </w:r>
          </w:p>
        </w:tc>
        <w:tc>
          <w:tcPr>
            <w:tcW w:w="134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8"/>
        <w:spacing w:after="0" w:line="283" w:lineRule="auto"/>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During the nine months ended September 30, 2026, the Company identified an observable price change resulting in the remeasurement of a private investment at fair value on a non-recurring basis. The resulting unrealized gains of $511 million (September 30, 2025 - $163 million) were presented as "Net unrealized (loss) gain on equity and other investments" in the condensed consolidated statements of operations and comprehensive income.</w:t>
      </w:r>
    </w:p>
    <w:p>
      <w:pPr>
        <w:spacing w:after="0" w:line="91" w:lineRule="exact"/>
        <w:rPr>
          <w:rFonts w:ascii="Arial" w:cs="Arial" w:eastAsia="Arial" w:hAnsi="Arial"/>
          <w:sz w:val="9"/>
          <w:szCs w:val="9"/>
          <w:color w:val="auto"/>
        </w:rPr>
      </w:pPr>
    </w:p>
    <w:p>
      <w:pPr>
        <w:jc w:val="both"/>
        <w:ind w:firstLine="8"/>
        <w:spacing w:after="0" w:line="283" w:lineRule="auto"/>
        <w:tabs>
          <w:tab w:leader="none" w:pos="154" w:val="left"/>
        </w:tabs>
        <w:numPr>
          <w:ilvl w:val="0"/>
          <w:numId w:val="9"/>
        </w:numPr>
        <w:rPr>
          <w:rFonts w:ascii="Arial" w:cs="Arial" w:eastAsia="Arial" w:hAnsi="Arial"/>
          <w:sz w:val="9"/>
          <w:szCs w:val="9"/>
          <w:color w:val="auto"/>
        </w:rPr>
      </w:pPr>
      <w:r>
        <w:rPr>
          <w:rFonts w:ascii="Arial" w:cs="Arial" w:eastAsia="Arial" w:hAnsi="Arial"/>
          <w:sz w:val="14"/>
          <w:szCs w:val="14"/>
          <w:color w:val="auto"/>
        </w:rPr>
        <w:t>During the three and nine months ended September 30, 2026, the Company held investments in private companies, which were acquired by third parties, resulting in the deemed sale of equity and other investments. The resulting realized gains are presented as "Net realized gain on equity and other investments" in the condensed consolidated statements of operations and comprehensive income.</w:t>
      </w:r>
    </w:p>
    <w:p>
      <w:pPr>
        <w:spacing w:after="0" w:line="91" w:lineRule="exact"/>
        <w:rPr>
          <w:rFonts w:ascii="Arial" w:cs="Arial" w:eastAsia="Arial" w:hAnsi="Arial"/>
          <w:sz w:val="9"/>
          <w:szCs w:val="9"/>
          <w:color w:val="auto"/>
        </w:rPr>
      </w:pPr>
    </w:p>
    <w:p>
      <w:pPr>
        <w:jc w:val="both"/>
        <w:ind w:firstLine="8"/>
        <w:spacing w:after="0" w:line="283" w:lineRule="auto"/>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During the three and nine months ended September 30, 2026 and 2025, the Company applied certain valuation methods based on information available, including the market approach and option pricing models in order to quantify the level of impairment recognized. The resulting unrealized losses and impairments were presented as "Net unrealized (loss) gain on equity and other investments" in the condensed consolidated statements of operations and comprehensive income.</w:t>
      </w:r>
    </w:p>
    <w:p>
      <w:pPr>
        <w:spacing w:after="0" w:line="91" w:lineRule="exact"/>
        <w:rPr>
          <w:rFonts w:ascii="Arial" w:cs="Arial" w:eastAsia="Arial" w:hAnsi="Arial"/>
          <w:sz w:val="9"/>
          <w:szCs w:val="9"/>
          <w:color w:val="auto"/>
        </w:rPr>
      </w:pPr>
    </w:p>
    <w:p>
      <w:pPr>
        <w:ind w:firstLine="8"/>
        <w:spacing w:after="0" w:line="305" w:lineRule="auto"/>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 the nine months ended September 30, 2025, convertible notes in private companies with a fair value of $45 million and accrued interest of $2 million were converted and transferred from debt securities to equity investments without readily determinable fair values.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included in the total $1,706 million of equity and other investments without readily determinable fair values, $1,380 million was remeasured at fair value and was classified within Level 3 of the fair value measurement hierarchy on a non-recurring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holds an equity method investment in Flexport which is presented within "Equity method investment" in the condensed consolidated balance sheets and is carried at the amount of Shopify’s original investment, as adjusted each period for Shopify’s share of the investee’s income or loss and the basis difference amortization, which is the difference between the fair value of our investment in the company and the underlying equity in the net assets of the investee. Results are reported with a one-quarter delay due to the timing of financial information availability from the investee. For the three and nine months ended September 30, 2026, our share of the loss in the investee was $21 million and $64 million, respectively (September 30, 2025 - $21 million and $68 million), and is presented within "Net loss on equity method investment" in the condensed consolidated statements of operations and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2026, the Company held foreign exchange forward contracts and options for USD, CAD, GBP, EUR and Australian dollars ("AUD") with a total notional value of $779 million (December 31, 2025 - $702 million), to fund a portion of its operations. The fair value of foreign exchange forward contracts and options was based upon Level 2 inputs, which included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Designated as Hedges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 hedging program to mitigate the impact of foreign currency fluctuations on future cash flows and earnings. Under this program, the Company has entered into foreign exchange forward contracts and options with certain financial institutions and designated those hedges as cash flow hedges. The Company is hedging cash flows associated with payroll and facility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22"/>
        </w:trPr>
        <w:tc>
          <w:tcPr>
            <w:tcW w:w="7580" w:type="dxa"/>
            <w:vAlign w:val="bottom"/>
          </w:tcPr>
          <w:p>
            <w:pPr>
              <w:spacing w:after="0"/>
              <w:rPr>
                <w:sz w:val="19"/>
                <w:szCs w:val="19"/>
                <w:color w:val="auto"/>
              </w:rPr>
            </w:pPr>
          </w:p>
        </w:tc>
        <w:tc>
          <w:tcPr>
            <w:tcW w:w="3660" w:type="dxa"/>
            <w:vAlign w:val="bottom"/>
            <w:gridSpan w:val="2"/>
          </w:tcPr>
          <w:p>
            <w:pPr>
              <w:jc w:val="right"/>
              <w:ind w:right="999"/>
              <w:spacing w:after="0"/>
              <w:rPr>
                <w:sz w:val="20"/>
                <w:szCs w:val="20"/>
                <w:color w:val="auto"/>
              </w:rPr>
            </w:pPr>
            <w:r>
              <w:rPr>
                <w:rFonts w:ascii="Arial" w:cs="Arial" w:eastAsia="Arial" w:hAnsi="Arial"/>
                <w:sz w:val="16"/>
                <w:szCs w:val="16"/>
                <w:color w:val="auto"/>
              </w:rPr>
              <w:t>(in US $ millions)</w:t>
            </w:r>
          </w:p>
        </w:tc>
      </w:tr>
      <w:tr>
        <w:trPr>
          <w:trHeight w:val="230"/>
        </w:trPr>
        <w:tc>
          <w:tcPr>
            <w:tcW w:w="758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Level 2:</w:t>
            </w:r>
          </w:p>
        </w:tc>
        <w:tc>
          <w:tcPr>
            <w:tcW w:w="1980" w:type="dxa"/>
            <w:vAlign w:val="bottom"/>
            <w:shd w:val="clear" w:color="auto" w:fill="F7F7F7"/>
          </w:tcPr>
          <w:p>
            <w:pPr>
              <w:spacing w:after="0"/>
              <w:rPr>
                <w:sz w:val="20"/>
                <w:szCs w:val="20"/>
                <w:color w:val="auto"/>
              </w:rPr>
            </w:pPr>
          </w:p>
        </w:tc>
        <w:tc>
          <w:tcPr>
            <w:tcW w:w="1680" w:type="dxa"/>
            <w:vAlign w:val="bottom"/>
            <w:shd w:val="clear" w:color="auto" w:fill="F7F7F7"/>
          </w:tcPr>
          <w:p>
            <w:pPr>
              <w:spacing w:after="0"/>
              <w:rPr>
                <w:sz w:val="20"/>
                <w:szCs w:val="20"/>
                <w:color w:val="auto"/>
              </w:rPr>
            </w:pPr>
          </w:p>
        </w:tc>
      </w:tr>
      <w:tr>
        <w:trPr>
          <w:trHeight w:val="228"/>
        </w:trPr>
        <w:tc>
          <w:tcPr>
            <w:tcW w:w="7580" w:type="dxa"/>
            <w:vAlign w:val="bottom"/>
          </w:tcPr>
          <w:p>
            <w:pPr>
              <w:ind w:left="240"/>
              <w:spacing w:after="0"/>
              <w:rPr>
                <w:sz w:val="20"/>
                <w:szCs w:val="20"/>
                <w:color w:val="auto"/>
              </w:rPr>
            </w:pPr>
            <w:r>
              <w:rPr>
                <w:rFonts w:ascii="Arial" w:cs="Arial" w:eastAsia="Arial" w:hAnsi="Arial"/>
                <w:sz w:val="16"/>
                <w:szCs w:val="16"/>
                <w:color w:val="auto"/>
              </w:rPr>
              <w:t>Foreign exchange forward contracts and options assets (classified in other current assets)</w:t>
            </w:r>
          </w:p>
        </w:tc>
        <w:tc>
          <w:tcPr>
            <w:tcW w:w="198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75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Foreign exchange forward contract liabilities (classified in accounts payable and accrued liabilities)</w:t>
            </w:r>
          </w:p>
        </w:tc>
        <w:tc>
          <w:tcPr>
            <w:tcW w:w="19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6</w:t>
            </w:r>
          </w:p>
        </w:tc>
        <w:tc>
          <w:tcPr>
            <w:tcW w:w="16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Unrealized gains and losses related to changes in the fair value of foreign exchange forward contracts and options designated as cash flow hedges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September 30, 2026</w:t>
            </w: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September 30, 2025</w:t>
            </w:r>
          </w:p>
        </w:tc>
      </w:tr>
      <w:tr>
        <w:trPr>
          <w:trHeight w:val="222"/>
        </w:trPr>
        <w:tc>
          <w:tcPr>
            <w:tcW w:w="7840" w:type="dxa"/>
            <w:vAlign w:val="bottom"/>
          </w:tcPr>
          <w:p>
            <w:pPr>
              <w:spacing w:after="0"/>
              <w:rPr>
                <w:sz w:val="19"/>
                <w:szCs w:val="19"/>
                <w:color w:val="auto"/>
              </w:rPr>
            </w:pPr>
          </w:p>
        </w:tc>
        <w:tc>
          <w:tcPr>
            <w:tcW w:w="3400" w:type="dxa"/>
            <w:vAlign w:val="bottom"/>
            <w:gridSpan w:val="2"/>
          </w:tcPr>
          <w:p>
            <w:pPr>
              <w:ind w:left="1080"/>
              <w:spacing w:after="0"/>
              <w:rPr>
                <w:sz w:val="20"/>
                <w:szCs w:val="20"/>
                <w:color w:val="auto"/>
              </w:rPr>
            </w:pPr>
            <w:r>
              <w:rPr>
                <w:rFonts w:ascii="Arial" w:cs="Arial" w:eastAsia="Arial" w:hAnsi="Arial"/>
                <w:sz w:val="16"/>
                <w:szCs w:val="16"/>
                <w:color w:val="auto"/>
              </w:rPr>
              <w:t>(in US $ millions)</w:t>
            </w:r>
          </w:p>
        </w:tc>
      </w:tr>
      <w:tr>
        <w:trPr>
          <w:trHeight w:val="231"/>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Unrealized gains</w:t>
            </w:r>
          </w:p>
        </w:tc>
        <w:tc>
          <w:tcPr>
            <w:tcW w:w="1700" w:type="dxa"/>
            <w:vAlign w:val="bottom"/>
            <w:shd w:val="clear" w:color="auto" w:fill="F7F7F7"/>
          </w:tcPr>
          <w:p>
            <w:pPr>
              <w:ind w:left="13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F7F7F7"/>
          </w:tcPr>
          <w:p>
            <w:pPr>
              <w:jc w:val="center"/>
              <w:ind w:left="1379"/>
              <w:spacing w:after="0"/>
              <w:rPr>
                <w:sz w:val="20"/>
                <w:szCs w:val="20"/>
                <w:color w:val="auto"/>
              </w:rPr>
            </w:pPr>
            <w:r>
              <w:rPr>
                <w:rFonts w:ascii="Arial" w:cs="Arial" w:eastAsia="Arial" w:hAnsi="Arial"/>
                <w:sz w:val="16"/>
                <w:szCs w:val="16"/>
                <w:color w:val="auto"/>
                <w:w w:val="89"/>
              </w:rPr>
              <w:t>2</w:t>
            </w:r>
          </w:p>
        </w:tc>
      </w:tr>
      <w:tr>
        <w:trPr>
          <w:trHeight w:val="228"/>
        </w:trPr>
        <w:tc>
          <w:tcPr>
            <w:tcW w:w="784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Unrealized losses</w:t>
            </w:r>
          </w:p>
        </w:tc>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(6)</w:t>
            </w:r>
          </w:p>
        </w:tc>
        <w:tc>
          <w:tcPr>
            <w:tcW w:w="1700" w:type="dxa"/>
            <w:vAlign w:val="bottom"/>
            <w:tcBorders>
              <w:bottom w:val="single" w:sz="8" w:color="auto"/>
            </w:tcBorders>
          </w:tcPr>
          <w:p>
            <w:pPr>
              <w:jc w:val="center"/>
              <w:ind w:left="1379"/>
              <w:spacing w:after="0"/>
              <w:rPr>
                <w:sz w:val="20"/>
                <w:szCs w:val="20"/>
                <w:color w:val="auto"/>
              </w:rPr>
            </w:pPr>
            <w:r>
              <w:rPr>
                <w:rFonts w:ascii="Arial" w:cs="Arial" w:eastAsia="Arial" w:hAnsi="Arial"/>
                <w:sz w:val="16"/>
                <w:szCs w:val="16"/>
                <w:color w:val="auto"/>
              </w:rPr>
              <w:t>(3)</w:t>
            </w:r>
          </w:p>
        </w:tc>
      </w:tr>
      <w:tr>
        <w:trPr>
          <w:trHeight w:val="224"/>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Total net unrealized losses</w:t>
            </w:r>
          </w:p>
        </w:tc>
        <w:tc>
          <w:tcPr>
            <w:tcW w:w="1700" w:type="dxa"/>
            <w:vAlign w:val="bottom"/>
            <w:shd w:val="clear" w:color="auto" w:fill="F7F7F7"/>
          </w:tcPr>
          <w:p>
            <w:pPr>
              <w:ind w:left="1380"/>
              <w:spacing w:after="0"/>
              <w:rPr>
                <w:sz w:val="20"/>
                <w:szCs w:val="20"/>
                <w:color w:val="auto"/>
              </w:rPr>
            </w:pPr>
            <w:r>
              <w:rPr>
                <w:rFonts w:ascii="Arial" w:cs="Arial" w:eastAsia="Arial" w:hAnsi="Arial"/>
                <w:sz w:val="16"/>
                <w:szCs w:val="16"/>
                <w:color w:val="auto"/>
              </w:rPr>
              <w:t>(6)</w:t>
            </w:r>
          </w:p>
        </w:tc>
        <w:tc>
          <w:tcPr>
            <w:tcW w:w="1700" w:type="dxa"/>
            <w:vAlign w:val="bottom"/>
            <w:shd w:val="clear" w:color="auto" w:fill="F7F7F7"/>
          </w:tcPr>
          <w:p>
            <w:pPr>
              <w:jc w:val="center"/>
              <w:ind w:left="1379"/>
              <w:spacing w:after="0"/>
              <w:rPr>
                <w:sz w:val="20"/>
                <w:szCs w:val="20"/>
                <w:color w:val="auto"/>
              </w:rPr>
            </w:pPr>
            <w:r>
              <w:rPr>
                <w:rFonts w:ascii="Arial" w:cs="Arial" w:eastAsia="Arial" w:hAnsi="Arial"/>
                <w:sz w:val="16"/>
                <w:szCs w:val="16"/>
                <w:color w:val="auto"/>
              </w:rPr>
              <w:t>(1)</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unrealized losses were included in "Accumulated other comprehensive (loss) income", "Other current assets" and "Accounts payable and accrued liabilities" in the condensed consolidated balance sheets. These amounts are expected to be reclassified into earnings over the next twelve months.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Realized losses related to the maturity of foreign exchange forward contracts and options designated as cash flow hedges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2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7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160" w:type="dxa"/>
            <w:vAlign w:val="bottom"/>
            <w:gridSpan w:val="4"/>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30"/>
        </w:trPr>
        <w:tc>
          <w:tcPr>
            <w:tcW w:w="5740" w:type="dxa"/>
            <w:vAlign w:val="bottom"/>
            <w:gridSpan w:val="2"/>
            <w:shd w:val="clear" w:color="auto" w:fill="F7F7F7"/>
          </w:tcPr>
          <w:p>
            <w:pPr>
              <w:jc w:val="right"/>
              <w:ind w:right="2859"/>
              <w:spacing w:after="0"/>
              <w:rPr>
                <w:sz w:val="20"/>
                <w:szCs w:val="20"/>
                <w:color w:val="auto"/>
              </w:rPr>
            </w:pPr>
            <w:r>
              <w:rPr>
                <w:rFonts w:ascii="Arial" w:cs="Arial" w:eastAsia="Arial" w:hAnsi="Arial"/>
                <w:sz w:val="16"/>
                <w:szCs w:val="16"/>
                <w:color w:val="auto"/>
              </w:rPr>
              <w:t>Realized losses in operating expenses</w:t>
            </w:r>
          </w:p>
        </w:tc>
        <w:tc>
          <w:tcPr>
            <w:tcW w:w="1880" w:type="dxa"/>
            <w:vAlign w:val="bottom"/>
            <w:shd w:val="clear" w:color="auto" w:fill="F7F7F7"/>
          </w:tcPr>
          <w:p>
            <w:pPr>
              <w:jc w:val="right"/>
              <w:ind w:right="1419"/>
              <w:spacing w:after="0"/>
              <w:rPr>
                <w:sz w:val="20"/>
                <w:szCs w:val="20"/>
                <w:color w:val="auto"/>
              </w:rPr>
            </w:pPr>
            <w:r>
              <w:rPr>
                <w:rFonts w:ascii="Arial" w:cs="Arial" w:eastAsia="Arial" w:hAnsi="Arial"/>
                <w:sz w:val="16"/>
                <w:szCs w:val="16"/>
                <w:color w:val="auto"/>
              </w:rPr>
              <w:t>(2)</w:t>
            </w:r>
          </w:p>
        </w:tc>
        <w:tc>
          <w:tcPr>
            <w:tcW w:w="220" w:type="dxa"/>
            <w:vAlign w:val="bottom"/>
            <w:shd w:val="clear" w:color="auto" w:fill="F7F7F7"/>
          </w:tcPr>
          <w:p>
            <w:pPr>
              <w:jc w:val="right"/>
              <w:spacing w:after="0"/>
              <w:rPr>
                <w:sz w:val="20"/>
                <w:szCs w:val="20"/>
                <w:color w:val="auto"/>
              </w:rPr>
            </w:pPr>
            <w:r>
              <w:rPr>
                <w:rFonts w:ascii="Arial" w:cs="Arial" w:eastAsia="Arial" w:hAnsi="Arial"/>
                <w:sz w:val="16"/>
                <w:szCs w:val="16"/>
                <w:color w:val="auto"/>
                <w:w w:val="91"/>
              </w:rPr>
              <w:t>(6)</w:t>
            </w:r>
          </w:p>
        </w:tc>
        <w:tc>
          <w:tcPr>
            <w:tcW w:w="180" w:type="dxa"/>
            <w:vAlign w:val="bottom"/>
            <w:shd w:val="clear" w:color="auto" w:fill="F7F7F7"/>
          </w:tcPr>
          <w:p>
            <w:pPr>
              <w:spacing w:after="0"/>
              <w:rPr>
                <w:sz w:val="20"/>
                <w:szCs w:val="20"/>
                <w:color w:val="auto"/>
              </w:rPr>
            </w:pPr>
          </w:p>
        </w:tc>
        <w:tc>
          <w:tcPr>
            <w:tcW w:w="188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(2)</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Not Designated as Hedges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holds an investment option to purchase 15,743,174 of Series B common shares of Klaviyo, Inc. at an exercise price of $88.93 with an expiration date of July 28, 2030. The options are fair valued quarterly under Level 3 of the fair value hierarchy as certain unobservable inputs are used within the Black-Scholes model as well as a discount for lack of marketability. The fair value of the options as of September 30, 2026, utilizing a discount for lack of marketability of 18%, was $10 million (December 31, 2025 - 21% and $75 million) and is presented within "Equity and other investments" in the condensed consolidated balance sheets. The Company recognized an unrealized loss of $65 million for the nine months ended September 30, 2026 (three and nine months ended September 30, 2025 - unrealized loss of $75 million and $147 million, respectively) and is presented as a component of "Net unrealized (loss) gain on equity and other investments".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Trade and Other Receivables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and unbilled revenues, net of allowance for credit losses,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22"/>
        </w:trPr>
        <w:tc>
          <w:tcPr>
            <w:tcW w:w="7840" w:type="dxa"/>
            <w:vAlign w:val="bottom"/>
          </w:tcPr>
          <w:p>
            <w:pPr>
              <w:spacing w:after="0"/>
              <w:rPr>
                <w:sz w:val="19"/>
                <w:szCs w:val="19"/>
                <w:color w:val="auto"/>
              </w:rPr>
            </w:pPr>
          </w:p>
        </w:tc>
        <w:tc>
          <w:tcPr>
            <w:tcW w:w="3400" w:type="dxa"/>
            <w:vAlign w:val="bottom"/>
            <w:gridSpan w:val="2"/>
          </w:tcPr>
          <w:p>
            <w:pPr>
              <w:jc w:val="right"/>
              <w:ind w:right="999"/>
              <w:spacing w:after="0"/>
              <w:rPr>
                <w:sz w:val="20"/>
                <w:szCs w:val="20"/>
                <w:color w:val="auto"/>
              </w:rPr>
            </w:pPr>
            <w:r>
              <w:rPr>
                <w:rFonts w:ascii="Arial" w:cs="Arial" w:eastAsia="Arial" w:hAnsi="Arial"/>
                <w:sz w:val="16"/>
                <w:szCs w:val="16"/>
                <w:color w:val="auto"/>
              </w:rPr>
              <w:t>(in US $ millions)</w:t>
            </w:r>
          </w:p>
        </w:tc>
      </w:tr>
      <w:tr>
        <w:trPr>
          <w:trHeight w:val="230"/>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Unbilled revenues, net</w:t>
            </w:r>
          </w:p>
        </w:tc>
        <w:tc>
          <w:tcPr>
            <w:tcW w:w="17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270</w:t>
            </w:r>
          </w:p>
        </w:tc>
        <w:tc>
          <w:tcPr>
            <w:tcW w:w="16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229</w:t>
            </w: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Trade receivables, net</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16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31"/>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Indirect taxes receivable</w:t>
            </w:r>
          </w:p>
        </w:tc>
        <w:tc>
          <w:tcPr>
            <w:tcW w:w="17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48</w:t>
            </w:r>
          </w:p>
        </w:tc>
        <w:tc>
          <w:tcPr>
            <w:tcW w:w="16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109</w:t>
            </w: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6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0"/>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Other receivables</w:t>
            </w:r>
          </w:p>
        </w:tc>
        <w:tc>
          <w:tcPr>
            <w:tcW w:w="1720" w:type="dxa"/>
            <w:vAlign w:val="bottom"/>
            <w:tcBorders>
              <w:bottom w:val="single" w:sz="8" w:color="auto"/>
            </w:tcBorders>
            <w:shd w:val="clear" w:color="auto" w:fill="F7F7F7"/>
          </w:tcPr>
          <w:p>
            <w:pPr>
              <w:jc w:val="right"/>
              <w:ind w:right="99"/>
              <w:spacing w:after="0"/>
              <w:rPr>
                <w:sz w:val="20"/>
                <w:szCs w:val="20"/>
                <w:color w:val="auto"/>
              </w:rPr>
            </w:pPr>
            <w:r>
              <w:rPr>
                <w:rFonts w:ascii="Arial" w:cs="Arial" w:eastAsia="Arial" w:hAnsi="Arial"/>
                <w:sz w:val="16"/>
                <w:szCs w:val="16"/>
                <w:color w:val="auto"/>
              </w:rPr>
              <w:t>32</w:t>
            </w:r>
          </w:p>
        </w:tc>
        <w:tc>
          <w:tcPr>
            <w:tcW w:w="16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25</w:t>
            </w:r>
          </w:p>
        </w:tc>
      </w:tr>
      <w:tr>
        <w:trPr>
          <w:trHeight w:val="222"/>
        </w:trPr>
        <w:tc>
          <w:tcPr>
            <w:tcW w:w="7840" w:type="dxa"/>
            <w:vAlign w:val="bottom"/>
          </w:tcPr>
          <w:p>
            <w:pPr>
              <w:spacing w:after="0"/>
              <w:rPr>
                <w:sz w:val="19"/>
                <w:szCs w:val="19"/>
                <w:color w:val="auto"/>
              </w:rPr>
            </w:pP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483</w:t>
            </w:r>
          </w:p>
        </w:tc>
        <w:tc>
          <w:tcPr>
            <w:tcW w:w="1680" w:type="dxa"/>
            <w:vAlign w:val="bottom"/>
          </w:tcPr>
          <w:p>
            <w:pPr>
              <w:jc w:val="right"/>
              <w:spacing w:after="0"/>
              <w:rPr>
                <w:sz w:val="20"/>
                <w:szCs w:val="20"/>
                <w:color w:val="auto"/>
              </w:rPr>
            </w:pPr>
            <w:r>
              <w:rPr>
                <w:rFonts w:ascii="Arial" w:cs="Arial" w:eastAsia="Arial" w:hAnsi="Arial"/>
                <w:sz w:val="16"/>
                <w:szCs w:val="16"/>
                <w:color w:val="auto"/>
              </w:rPr>
              <w:t>500</w:t>
            </w:r>
          </w:p>
        </w:tc>
      </w:tr>
    </w:tbl>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Unbilled revenues represent amounts not yet billed related to partner referral fees, subscription fees for Plus merchants, shipping charges and transaction fees as of the condensed consolidated balance sheet dates.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allowance for credit losses reflects the Company's best estimate of probable losses inherent in the unbilled revenues and trade receivables accounts. The Company determined the provision based on known troubled accounts, historical experience, supportable forecasts of collectibility and other currently available evidence.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credit losses was as follows for the three and nine months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740" w:type="dxa"/>
            <w:vAlign w:val="bottom"/>
            <w:tcBorders>
              <w:bottom w:val="single" w:sz="8" w:color="auto"/>
            </w:tcBorders>
            <w:gridSpan w:val="2"/>
          </w:tcPr>
          <w:p>
            <w:pPr>
              <w:ind w:left="5220"/>
              <w:spacing w:after="0"/>
              <w:rPr>
                <w:sz w:val="20"/>
                <w:szCs w:val="20"/>
                <w:color w:val="auto"/>
              </w:rPr>
            </w:pPr>
            <w:r>
              <w:rPr>
                <w:rFonts w:ascii="Arial" w:cs="Arial" w:eastAsia="Arial" w:hAnsi="Arial"/>
                <w:sz w:val="16"/>
                <w:szCs w:val="16"/>
                <w:b w:val="1"/>
                <w:bCs w:val="1"/>
                <w:color w:val="auto"/>
              </w:rPr>
              <w:t>2026</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8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44"/>
        </w:trPr>
        <w:tc>
          <w:tcPr>
            <w:tcW w:w="57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7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21</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F7F7F7"/>
          </w:tcPr>
          <w:p>
            <w:pPr>
              <w:spacing w:after="0"/>
              <w:rPr>
                <w:sz w:val="21"/>
                <w:szCs w:val="21"/>
                <w:color w:val="auto"/>
              </w:rPr>
            </w:pPr>
          </w:p>
        </w:tc>
        <w:tc>
          <w:tcPr>
            <w:tcW w:w="1880" w:type="dxa"/>
            <w:vAlign w:val="bottom"/>
            <w:shd w:val="clear" w:color="auto" w:fill="F7F7F7"/>
          </w:tcPr>
          <w:p>
            <w:pPr>
              <w:jc w:val="center"/>
              <w:ind w:left="739"/>
              <w:spacing w:after="0"/>
              <w:rPr>
                <w:sz w:val="20"/>
                <w:szCs w:val="20"/>
                <w:color w:val="auto"/>
              </w:rPr>
            </w:pPr>
            <w:r>
              <w:rPr>
                <w:rFonts w:ascii="Arial" w:cs="Arial" w:eastAsia="Arial" w:hAnsi="Arial"/>
                <w:sz w:val="16"/>
                <w:szCs w:val="16"/>
                <w:color w:val="auto"/>
              </w:rPr>
              <w:t>17</w:t>
            </w:r>
          </w:p>
        </w:tc>
        <w:tc>
          <w:tcPr>
            <w:tcW w:w="1340" w:type="dxa"/>
            <w:vAlign w:val="bottom"/>
            <w:shd w:val="clear" w:color="auto" w:fill="F7F7F7"/>
          </w:tcPr>
          <w:p>
            <w:pPr>
              <w:jc w:val="center"/>
              <w:ind w:left="919"/>
              <w:spacing w:after="0"/>
              <w:rPr>
                <w:sz w:val="20"/>
                <w:szCs w:val="20"/>
                <w:color w:val="auto"/>
              </w:rPr>
            </w:pPr>
            <w:r>
              <w:rPr>
                <w:rFonts w:ascii="Arial" w:cs="Arial" w:eastAsia="Arial" w:hAnsi="Arial"/>
                <w:sz w:val="16"/>
                <w:szCs w:val="16"/>
                <w:color w:val="auto"/>
              </w:rPr>
              <w:t>16</w:t>
            </w:r>
          </w:p>
        </w:tc>
      </w:tr>
      <w:tr>
        <w:trPr>
          <w:trHeight w:val="242"/>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Provision for credit losses related to uncollectible receivables</w:t>
            </w:r>
          </w:p>
        </w:tc>
        <w:tc>
          <w:tcPr>
            <w:tcW w:w="780" w:type="dxa"/>
            <w:vAlign w:val="bottom"/>
          </w:tcPr>
          <w:p>
            <w:pPr>
              <w:jc w:val="right"/>
              <w:ind w:right="359"/>
              <w:spacing w:after="0"/>
              <w:rPr>
                <w:sz w:val="20"/>
                <w:szCs w:val="20"/>
                <w:color w:val="auto"/>
              </w:rPr>
            </w:pPr>
            <w:r>
              <w:rPr>
                <w:rFonts w:ascii="Arial" w:cs="Arial" w:eastAsia="Arial" w:hAnsi="Arial"/>
                <w:sz w:val="16"/>
                <w:szCs w:val="16"/>
                <w:color w:val="auto"/>
              </w:rPr>
              <w:t>13</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1"/>
                <w:szCs w:val="21"/>
                <w:color w:val="auto"/>
              </w:rPr>
            </w:pPr>
          </w:p>
        </w:tc>
        <w:tc>
          <w:tcPr>
            <w:tcW w:w="1880" w:type="dxa"/>
            <w:vAlign w:val="bottom"/>
          </w:tcPr>
          <w:p>
            <w:pPr>
              <w:jc w:val="center"/>
              <w:ind w:left="739"/>
              <w:spacing w:after="0"/>
              <w:rPr>
                <w:sz w:val="20"/>
                <w:szCs w:val="20"/>
                <w:color w:val="auto"/>
              </w:rPr>
            </w:pPr>
            <w:r>
              <w:rPr>
                <w:rFonts w:ascii="Arial" w:cs="Arial" w:eastAsia="Arial" w:hAnsi="Arial"/>
                <w:sz w:val="16"/>
                <w:szCs w:val="16"/>
                <w:color w:val="auto"/>
              </w:rPr>
              <w:t>26</w:t>
            </w:r>
          </w:p>
        </w:tc>
        <w:tc>
          <w:tcPr>
            <w:tcW w:w="1340" w:type="dxa"/>
            <w:vAlign w:val="bottom"/>
          </w:tcPr>
          <w:p>
            <w:pPr>
              <w:jc w:val="center"/>
              <w:ind w:left="919"/>
              <w:spacing w:after="0"/>
              <w:rPr>
                <w:sz w:val="20"/>
                <w:szCs w:val="20"/>
                <w:color w:val="auto"/>
              </w:rPr>
            </w:pPr>
            <w:r>
              <w:rPr>
                <w:rFonts w:ascii="Arial" w:cs="Arial" w:eastAsia="Arial" w:hAnsi="Arial"/>
                <w:sz w:val="16"/>
                <w:szCs w:val="16"/>
                <w:color w:val="auto"/>
              </w:rPr>
              <w:t>21</w:t>
            </w:r>
          </w:p>
        </w:tc>
      </w:tr>
      <w:tr>
        <w:trPr>
          <w:trHeight w:val="243"/>
        </w:trPr>
        <w:tc>
          <w:tcPr>
            <w:tcW w:w="46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Write-offs</w:t>
            </w:r>
          </w:p>
        </w:tc>
        <w:tc>
          <w:tcPr>
            <w:tcW w:w="1080" w:type="dxa"/>
            <w:vAlign w:val="bottom"/>
            <w:tcBorders>
              <w:bottom w:val="single" w:sz="8" w:color="auto"/>
            </w:tcBorders>
            <w:shd w:val="clear" w:color="auto" w:fill="F7F7F7"/>
          </w:tcPr>
          <w:p>
            <w:pPr>
              <w:spacing w:after="0"/>
              <w:rPr>
                <w:sz w:val="21"/>
                <w:szCs w:val="21"/>
                <w:color w:val="auto"/>
              </w:rPr>
            </w:pPr>
          </w:p>
        </w:tc>
        <w:tc>
          <w:tcPr>
            <w:tcW w:w="78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F7F7F7"/>
          </w:tcPr>
          <w:p>
            <w:pPr>
              <w:spacing w:after="0"/>
              <w:rPr>
                <w:sz w:val="21"/>
                <w:szCs w:val="21"/>
                <w:color w:val="auto"/>
              </w:rPr>
            </w:pPr>
          </w:p>
        </w:tc>
        <w:tc>
          <w:tcPr>
            <w:tcW w:w="1880" w:type="dxa"/>
            <w:vAlign w:val="bottom"/>
            <w:tcBorders>
              <w:bottom w:val="single" w:sz="8" w:color="auto"/>
            </w:tcBorders>
            <w:shd w:val="clear" w:color="auto" w:fill="F7F7F7"/>
          </w:tcPr>
          <w:p>
            <w:pPr>
              <w:jc w:val="center"/>
              <w:ind w:left="739"/>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auto"/>
            </w:tcBorders>
            <w:shd w:val="clear" w:color="auto" w:fill="F7F7F7"/>
          </w:tcPr>
          <w:p>
            <w:pPr>
              <w:jc w:val="center"/>
              <w:ind w:left="919"/>
              <w:spacing w:after="0"/>
              <w:rPr>
                <w:sz w:val="20"/>
                <w:szCs w:val="20"/>
                <w:color w:val="auto"/>
              </w:rPr>
            </w:pPr>
            <w:r>
              <w:rPr>
                <w:rFonts w:ascii="Arial" w:cs="Arial" w:eastAsia="Arial" w:hAnsi="Arial"/>
                <w:sz w:val="16"/>
                <w:szCs w:val="16"/>
                <w:color w:val="auto"/>
              </w:rPr>
              <w:t>(20)</w:t>
            </w:r>
          </w:p>
        </w:tc>
      </w:tr>
      <w:tr>
        <w:trPr>
          <w:trHeight w:val="235"/>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780" w:type="dxa"/>
            <w:vAlign w:val="bottom"/>
          </w:tcPr>
          <w:p>
            <w:pPr>
              <w:jc w:val="right"/>
              <w:ind w:right="359"/>
              <w:spacing w:after="0"/>
              <w:rPr>
                <w:sz w:val="20"/>
                <w:szCs w:val="20"/>
                <w:color w:val="auto"/>
              </w:rPr>
            </w:pPr>
            <w:r>
              <w:rPr>
                <w:rFonts w:ascii="Arial" w:cs="Arial" w:eastAsia="Arial" w:hAnsi="Arial"/>
                <w:sz w:val="16"/>
                <w:szCs w:val="16"/>
                <w:color w:val="auto"/>
              </w:rPr>
              <w:t>28</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0"/>
                <w:szCs w:val="20"/>
                <w:color w:val="auto"/>
              </w:rPr>
            </w:pPr>
          </w:p>
        </w:tc>
        <w:tc>
          <w:tcPr>
            <w:tcW w:w="1880" w:type="dxa"/>
            <w:vAlign w:val="bottom"/>
          </w:tcPr>
          <w:p>
            <w:pPr>
              <w:jc w:val="center"/>
              <w:ind w:left="739"/>
              <w:spacing w:after="0"/>
              <w:rPr>
                <w:sz w:val="20"/>
                <w:szCs w:val="20"/>
                <w:color w:val="auto"/>
              </w:rPr>
            </w:pPr>
            <w:r>
              <w:rPr>
                <w:rFonts w:ascii="Arial" w:cs="Arial" w:eastAsia="Arial" w:hAnsi="Arial"/>
                <w:sz w:val="16"/>
                <w:szCs w:val="16"/>
                <w:color w:val="auto"/>
              </w:rPr>
              <w:t>28</w:t>
            </w:r>
          </w:p>
        </w:tc>
        <w:tc>
          <w:tcPr>
            <w:tcW w:w="1340" w:type="dxa"/>
            <w:vAlign w:val="bottom"/>
          </w:tcPr>
          <w:p>
            <w:pPr>
              <w:jc w:val="center"/>
              <w:ind w:left="919"/>
              <w:spacing w:after="0"/>
              <w:rPr>
                <w:sz w:val="20"/>
                <w:szCs w:val="20"/>
                <w:color w:val="auto"/>
              </w:rPr>
            </w:pPr>
            <w:r>
              <w:rPr>
                <w:rFonts w:ascii="Arial" w:cs="Arial" w:eastAsia="Arial" w:hAnsi="Arial"/>
                <w:sz w:val="16"/>
                <w:szCs w:val="16"/>
                <w:color w:val="auto"/>
              </w:rPr>
              <w:t>17</w:t>
            </w:r>
          </w:p>
        </w:tc>
      </w:tr>
    </w:tbl>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Loans and Merchant Cash Advances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22"/>
        </w:trPr>
        <w:tc>
          <w:tcPr>
            <w:tcW w:w="7840" w:type="dxa"/>
            <w:vAlign w:val="bottom"/>
          </w:tcPr>
          <w:p>
            <w:pPr>
              <w:spacing w:after="0"/>
              <w:rPr>
                <w:sz w:val="19"/>
                <w:szCs w:val="19"/>
                <w:color w:val="auto"/>
              </w:rPr>
            </w:pPr>
          </w:p>
        </w:tc>
        <w:tc>
          <w:tcPr>
            <w:tcW w:w="3400" w:type="dxa"/>
            <w:vAlign w:val="bottom"/>
            <w:gridSpan w:val="2"/>
          </w:tcPr>
          <w:p>
            <w:pPr>
              <w:jc w:val="right"/>
              <w:ind w:right="999"/>
              <w:spacing w:after="0"/>
              <w:rPr>
                <w:sz w:val="20"/>
                <w:szCs w:val="20"/>
                <w:color w:val="auto"/>
              </w:rPr>
            </w:pPr>
            <w:r>
              <w:rPr>
                <w:rFonts w:ascii="Arial" w:cs="Arial" w:eastAsia="Arial" w:hAnsi="Arial"/>
                <w:sz w:val="16"/>
                <w:szCs w:val="16"/>
                <w:color w:val="auto"/>
              </w:rPr>
              <w:t>(in US $ millions)</w:t>
            </w:r>
          </w:p>
        </w:tc>
      </w:tr>
      <w:tr>
        <w:trPr>
          <w:trHeight w:val="230"/>
        </w:trPr>
        <w:tc>
          <w:tcPr>
            <w:tcW w:w="7840" w:type="dxa"/>
            <w:vAlign w:val="bottom"/>
            <w:shd w:val="clear" w:color="auto" w:fill="F7F7F7"/>
          </w:tcPr>
          <w:p>
            <w:pPr>
              <w:ind w:left="20"/>
              <w:spacing w:after="0" w:line="231" w:lineRule="exact"/>
              <w:rPr>
                <w:sz w:val="20"/>
                <w:szCs w:val="20"/>
                <w:color w:val="auto"/>
              </w:rPr>
            </w:pPr>
            <w:r>
              <w:rPr>
                <w:rFonts w:ascii="Arial" w:cs="Arial" w:eastAsia="Arial" w:hAnsi="Arial"/>
                <w:sz w:val="16"/>
                <w:szCs w:val="16"/>
                <w:color w:val="auto"/>
              </w:rPr>
              <w:t>Loans receivable, gross</w:t>
            </w:r>
            <w:r>
              <w:rPr>
                <w:rFonts w:ascii="Arial" w:cs="Arial" w:eastAsia="Arial" w:hAnsi="Arial"/>
                <w:sz w:val="21"/>
                <w:szCs w:val="21"/>
                <w:color w:val="auto"/>
                <w:vertAlign w:val="superscript"/>
              </w:rPr>
              <w:t>(1)</w:t>
            </w:r>
          </w:p>
        </w:tc>
        <w:tc>
          <w:tcPr>
            <w:tcW w:w="172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2,226</w:t>
            </w:r>
          </w:p>
        </w:tc>
        <w:tc>
          <w:tcPr>
            <w:tcW w:w="16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1,621</w:t>
            </w:r>
          </w:p>
        </w:tc>
      </w:tr>
      <w:tr>
        <w:trPr>
          <w:trHeight w:val="229"/>
        </w:trPr>
        <w:tc>
          <w:tcPr>
            <w:tcW w:w="7840" w:type="dxa"/>
            <w:vAlign w:val="bottom"/>
          </w:tcPr>
          <w:p>
            <w:pPr>
              <w:ind w:left="20"/>
              <w:spacing w:after="0"/>
              <w:rPr>
                <w:sz w:val="20"/>
                <w:szCs w:val="20"/>
                <w:color w:val="auto"/>
              </w:rPr>
            </w:pPr>
            <w:r>
              <w:rPr>
                <w:rFonts w:ascii="Arial" w:cs="Arial" w:eastAsia="Arial" w:hAnsi="Arial"/>
                <w:sz w:val="16"/>
                <w:szCs w:val="16"/>
                <w:color w:val="auto"/>
              </w:rPr>
              <w:t>Merchant cash advances receivable, gross</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370</w:t>
            </w:r>
          </w:p>
        </w:tc>
        <w:tc>
          <w:tcPr>
            <w:tcW w:w="16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30"/>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Allowance for credit losses related to uncollectible loans and merchant cash advances receivable</w:t>
            </w:r>
          </w:p>
        </w:tc>
        <w:tc>
          <w:tcPr>
            <w:tcW w:w="17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(246)</w:t>
            </w:r>
          </w:p>
        </w:tc>
        <w:tc>
          <w:tcPr>
            <w:tcW w:w="16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(195)</w:t>
            </w:r>
          </w:p>
        </w:tc>
      </w:tr>
      <w:tr>
        <w:trPr>
          <w:trHeight w:val="222"/>
        </w:trPr>
        <w:tc>
          <w:tcPr>
            <w:tcW w:w="7840" w:type="dxa"/>
            <w:vAlign w:val="bottom"/>
          </w:tcPr>
          <w:p>
            <w:pPr>
              <w:ind w:left="20"/>
              <w:spacing w:after="0"/>
              <w:rPr>
                <w:sz w:val="20"/>
                <w:szCs w:val="20"/>
                <w:color w:val="auto"/>
              </w:rPr>
            </w:pPr>
            <w:r>
              <w:rPr>
                <w:rFonts w:ascii="Arial" w:cs="Arial" w:eastAsia="Arial" w:hAnsi="Arial"/>
                <w:sz w:val="16"/>
                <w:szCs w:val="16"/>
                <w:color w:val="auto"/>
              </w:rPr>
              <w:t>Loans and merchant cash advances, net</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2,350</w:t>
            </w:r>
          </w:p>
        </w:tc>
        <w:tc>
          <w:tcPr>
            <w:tcW w:w="1680" w:type="dxa"/>
            <w:vAlign w:val="bottom"/>
          </w:tcPr>
          <w:p>
            <w:pPr>
              <w:jc w:val="right"/>
              <w:spacing w:after="0"/>
              <w:rPr>
                <w:sz w:val="20"/>
                <w:szCs w:val="20"/>
                <w:color w:val="auto"/>
              </w:rPr>
            </w:pPr>
            <w:r>
              <w:rPr>
                <w:rFonts w:ascii="Arial" w:cs="Arial" w:eastAsia="Arial" w:hAnsi="Arial"/>
                <w:sz w:val="16"/>
                <w:szCs w:val="16"/>
                <w:color w:val="auto"/>
              </w:rPr>
              <w:t>1,784</w:t>
            </w:r>
          </w:p>
        </w:tc>
      </w:tr>
    </w:tbl>
    <w:p>
      <w:pPr>
        <w:spacing w:after="0" w:line="87"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Included in the loans receivable gross balance as of September 30, 2026 is $35 million of interest receivable (December 31, 2025 - $24 million).</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loans and merchant cash advances are facilitated by the Company and originated by a bank partner, from whom the Company then purchases the loans and merchant cash advances obtaining all rights, title and interest or discount. In the three and nine months ended September 30, 2026, the Company purchased $ 1.5 billion and $4.3 billion, respectively, of loans and merchant cash advances to Shopify merchants (September 30, 2025 - $1.0 billion and $2.8 billion).</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three and nine months ended September 30, 2026, the Company recognized revenue of $96 million and $271 million, respectively, related to interest and fees earned on the Company's loans, which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do not represent revenues recognized in the scope of ASC 606, Revenue from Contracts with Customers (September 30, 2025 - $66 million and $185 million).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activities of the Company’s allowance for credit losses related to uncollectible loans and merchant cash advances receivable for the three and nine months ended September 30, 2026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1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gridSpan w:val="2"/>
          </w:tcPr>
          <w:p>
            <w:pPr>
              <w:ind w:left="5200"/>
              <w:spacing w:after="0"/>
              <w:rPr>
                <w:sz w:val="20"/>
                <w:szCs w:val="20"/>
                <w:color w:val="auto"/>
              </w:rPr>
            </w:pPr>
            <w:r>
              <w:rPr>
                <w:rFonts w:ascii="Arial" w:cs="Arial" w:eastAsia="Arial" w:hAnsi="Arial"/>
                <w:sz w:val="16"/>
                <w:szCs w:val="16"/>
                <w:b w:val="1"/>
                <w:bCs w:val="1"/>
                <w:color w:val="auto"/>
              </w:rPr>
              <w:t>2026</w:t>
            </w: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2"/>
        </w:trPr>
        <w:tc>
          <w:tcPr>
            <w:tcW w:w="4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0" w:type="dxa"/>
            <w:vAlign w:val="bottom"/>
            <w:gridSpan w:val="3"/>
          </w:tcPr>
          <w:p>
            <w:pPr>
              <w:jc w:val="right"/>
              <w:ind w:right="1219"/>
              <w:spacing w:after="0"/>
              <w:rPr>
                <w:sz w:val="20"/>
                <w:szCs w:val="20"/>
                <w:color w:val="auto"/>
              </w:rPr>
            </w:pPr>
            <w:r>
              <w:rPr>
                <w:rFonts w:ascii="Arial" w:cs="Arial" w:eastAsia="Arial" w:hAnsi="Arial"/>
                <w:sz w:val="16"/>
                <w:szCs w:val="16"/>
                <w:color w:val="auto"/>
              </w:rPr>
              <w:t>(in US $ millions)</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Allowance, beginning of the period</w:t>
            </w:r>
          </w:p>
        </w:tc>
        <w:tc>
          <w:tcPr>
            <w:tcW w:w="80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242</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F7F7F7"/>
          </w:tcPr>
          <w:p>
            <w:pPr>
              <w:spacing w:after="0"/>
              <w:rPr>
                <w:sz w:val="20"/>
                <w:szCs w:val="20"/>
                <w:color w:val="auto"/>
              </w:rPr>
            </w:pPr>
          </w:p>
        </w:tc>
        <w:tc>
          <w:tcPr>
            <w:tcW w:w="1820" w:type="dxa"/>
            <w:vAlign w:val="bottom"/>
            <w:shd w:val="clear" w:color="auto" w:fill="F7F7F7"/>
          </w:tcPr>
          <w:p>
            <w:pPr>
              <w:jc w:val="right"/>
              <w:ind w:right="379"/>
              <w:spacing w:after="0"/>
              <w:rPr>
                <w:sz w:val="20"/>
                <w:szCs w:val="20"/>
                <w:color w:val="auto"/>
              </w:rPr>
            </w:pPr>
            <w:r>
              <w:rPr>
                <w:rFonts w:ascii="Arial" w:cs="Arial" w:eastAsia="Arial" w:hAnsi="Arial"/>
                <w:sz w:val="16"/>
                <w:szCs w:val="16"/>
                <w:color w:val="auto"/>
              </w:rPr>
              <w:t>195</w:t>
            </w:r>
          </w:p>
        </w:tc>
        <w:tc>
          <w:tcPr>
            <w:tcW w:w="136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76"/>
        </w:trPr>
        <w:tc>
          <w:tcPr>
            <w:tcW w:w="564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Provision for credit losses related to uncollectible loans and</w:t>
            </w:r>
          </w:p>
        </w:tc>
        <w:tc>
          <w:tcPr>
            <w:tcW w:w="800" w:type="dxa"/>
            <w:vAlign w:val="bottom"/>
            <w:vMerge w:val="restart"/>
          </w:tcPr>
          <w:p>
            <w:pPr>
              <w:jc w:val="right"/>
              <w:ind w:right="359"/>
              <w:spacing w:after="0"/>
              <w:rPr>
                <w:sz w:val="20"/>
                <w:szCs w:val="20"/>
                <w:color w:val="auto"/>
              </w:rPr>
            </w:pPr>
            <w:r>
              <w:rPr>
                <w:rFonts w:ascii="Arial" w:cs="Arial" w:eastAsia="Arial" w:hAnsi="Arial"/>
                <w:sz w:val="16"/>
                <w:szCs w:val="16"/>
                <w:color w:val="auto"/>
              </w:rPr>
              <w:t>63</w:t>
            </w:r>
          </w:p>
        </w:tc>
        <w:tc>
          <w:tcPr>
            <w:tcW w:w="1380" w:type="dxa"/>
            <w:vAlign w:val="bottom"/>
            <w:vMerge w:val="restart"/>
          </w:tcPr>
          <w:p>
            <w:pPr>
              <w:jc w:val="right"/>
              <w:ind w:right="59"/>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5"/>
                <w:szCs w:val="15"/>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6"/>
                <w:szCs w:val="16"/>
                <w:color w:val="auto"/>
              </w:rPr>
              <w:t>217</w:t>
            </w: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5640" w:type="dxa"/>
            <w:vAlign w:val="bottom"/>
            <w:gridSpan w:val="2"/>
          </w:tcPr>
          <w:p>
            <w:pPr>
              <w:ind w:left="240"/>
              <w:spacing w:after="0"/>
              <w:rPr>
                <w:sz w:val="20"/>
                <w:szCs w:val="20"/>
                <w:color w:val="auto"/>
              </w:rPr>
            </w:pPr>
            <w:r>
              <w:rPr>
                <w:rFonts w:ascii="Arial" w:cs="Arial" w:eastAsia="Arial" w:hAnsi="Arial"/>
                <w:sz w:val="16"/>
                <w:szCs w:val="16"/>
                <w:color w:val="auto"/>
              </w:rPr>
              <w:t>merchant cash advances receivable</w:t>
            </w:r>
          </w:p>
        </w:tc>
        <w:tc>
          <w:tcPr>
            <w:tcW w:w="8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F7F7F7"/>
          </w:tcPr>
          <w:p>
            <w:pPr>
              <w:ind w:left="240"/>
              <w:spacing w:after="0" w:line="176" w:lineRule="exact"/>
              <w:rPr>
                <w:sz w:val="20"/>
                <w:szCs w:val="20"/>
                <w:color w:val="auto"/>
              </w:rPr>
            </w:pPr>
            <w:r>
              <w:rPr>
                <w:rFonts w:ascii="Arial" w:cs="Arial" w:eastAsia="Arial" w:hAnsi="Arial"/>
                <w:sz w:val="16"/>
                <w:szCs w:val="16"/>
                <w:color w:val="auto"/>
              </w:rPr>
              <w:t>Loans and merchant cash advances receivable charged off,</w:t>
            </w:r>
          </w:p>
        </w:tc>
        <w:tc>
          <w:tcPr>
            <w:tcW w:w="800" w:type="dxa"/>
            <w:vAlign w:val="bottom"/>
            <w:vMerge w:val="restart"/>
            <w:shd w:val="clear" w:color="auto" w:fill="F7F7F7"/>
          </w:tcPr>
          <w:p>
            <w:pPr>
              <w:jc w:val="right"/>
              <w:ind w:right="359"/>
              <w:spacing w:after="0"/>
              <w:rPr>
                <w:sz w:val="20"/>
                <w:szCs w:val="20"/>
                <w:color w:val="auto"/>
              </w:rPr>
            </w:pPr>
            <w:r>
              <w:rPr>
                <w:rFonts w:ascii="Arial" w:cs="Arial" w:eastAsia="Arial" w:hAnsi="Arial"/>
                <w:sz w:val="16"/>
                <w:szCs w:val="16"/>
                <w:color w:val="auto"/>
              </w:rPr>
              <w:t>(59)</w:t>
            </w:r>
          </w:p>
        </w:tc>
        <w:tc>
          <w:tcPr>
            <w:tcW w:w="138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(41)</w:t>
            </w:r>
          </w:p>
        </w:tc>
        <w:tc>
          <w:tcPr>
            <w:tcW w:w="200" w:type="dxa"/>
            <w:vAlign w:val="bottom"/>
            <w:shd w:val="clear" w:color="auto" w:fill="F7F7F7"/>
          </w:tcPr>
          <w:p>
            <w:pPr>
              <w:spacing w:after="0"/>
              <w:rPr>
                <w:sz w:val="15"/>
                <w:szCs w:val="15"/>
                <w:color w:val="auto"/>
              </w:rPr>
            </w:pPr>
          </w:p>
        </w:tc>
        <w:tc>
          <w:tcPr>
            <w:tcW w:w="1820" w:type="dxa"/>
            <w:vAlign w:val="bottom"/>
            <w:vMerge w:val="restart"/>
            <w:shd w:val="clear" w:color="auto" w:fill="F7F7F7"/>
          </w:tcPr>
          <w:p>
            <w:pPr>
              <w:jc w:val="right"/>
              <w:ind w:right="379"/>
              <w:spacing w:after="0"/>
              <w:rPr>
                <w:sz w:val="20"/>
                <w:szCs w:val="20"/>
                <w:color w:val="auto"/>
              </w:rPr>
            </w:pPr>
            <w:r>
              <w:rPr>
                <w:rFonts w:ascii="Arial" w:cs="Arial" w:eastAsia="Arial" w:hAnsi="Arial"/>
                <w:sz w:val="16"/>
                <w:szCs w:val="16"/>
                <w:color w:val="auto"/>
              </w:rPr>
              <w:t>(166)</w:t>
            </w:r>
          </w:p>
        </w:tc>
        <w:tc>
          <w:tcPr>
            <w:tcW w:w="136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5"/>
        </w:trPr>
        <w:tc>
          <w:tcPr>
            <w:tcW w:w="46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net of recoveries</w:t>
            </w:r>
          </w:p>
        </w:tc>
        <w:tc>
          <w:tcPr>
            <w:tcW w:w="1000" w:type="dxa"/>
            <w:vAlign w:val="bottom"/>
            <w:tcBorders>
              <w:bottom w:val="single" w:sz="8" w:color="auto"/>
            </w:tcBorders>
            <w:shd w:val="clear" w:color="auto" w:fill="F7F7F7"/>
          </w:tcPr>
          <w:p>
            <w:pPr>
              <w:spacing w:after="0"/>
              <w:rPr>
                <w:sz w:val="18"/>
                <w:szCs w:val="18"/>
                <w:color w:val="auto"/>
              </w:rPr>
            </w:pPr>
          </w:p>
        </w:tc>
        <w:tc>
          <w:tcPr>
            <w:tcW w:w="800" w:type="dxa"/>
            <w:vAlign w:val="bottom"/>
            <w:tcBorders>
              <w:bottom w:val="single" w:sz="8" w:color="auto"/>
            </w:tcBorders>
            <w:vMerge w:val="continue"/>
            <w:shd w:val="clear" w:color="auto" w:fill="F7F7F7"/>
          </w:tcPr>
          <w:p>
            <w:pPr>
              <w:spacing w:after="0"/>
              <w:rPr>
                <w:sz w:val="18"/>
                <w:szCs w:val="18"/>
                <w:color w:val="auto"/>
              </w:rPr>
            </w:pPr>
          </w:p>
        </w:tc>
        <w:tc>
          <w:tcPr>
            <w:tcW w:w="1380" w:type="dxa"/>
            <w:vAlign w:val="bottom"/>
            <w:tcBorders>
              <w:bottom w:val="single" w:sz="8" w:color="auto"/>
            </w:tcBorders>
            <w:vMerge w:val="continue"/>
            <w:shd w:val="clear" w:color="auto" w:fill="F7F7F7"/>
          </w:tcPr>
          <w:p>
            <w:pPr>
              <w:spacing w:after="0"/>
              <w:rPr>
                <w:sz w:val="18"/>
                <w:szCs w:val="18"/>
                <w:color w:val="auto"/>
              </w:rPr>
            </w:pPr>
          </w:p>
        </w:tc>
        <w:tc>
          <w:tcPr>
            <w:tcW w:w="200" w:type="dxa"/>
            <w:vAlign w:val="bottom"/>
            <w:tcBorders>
              <w:bottom w:val="single" w:sz="8" w:color="auto"/>
            </w:tcBorders>
            <w:shd w:val="clear" w:color="auto" w:fill="F7F7F7"/>
          </w:tcPr>
          <w:p>
            <w:pPr>
              <w:spacing w:after="0"/>
              <w:rPr>
                <w:sz w:val="18"/>
                <w:szCs w:val="18"/>
                <w:color w:val="auto"/>
              </w:rPr>
            </w:pPr>
          </w:p>
        </w:tc>
        <w:tc>
          <w:tcPr>
            <w:tcW w:w="1820" w:type="dxa"/>
            <w:vAlign w:val="bottom"/>
            <w:tcBorders>
              <w:bottom w:val="single" w:sz="8" w:color="auto"/>
            </w:tcBorders>
            <w:vMerge w:val="continue"/>
            <w:shd w:val="clear" w:color="auto" w:fill="F7F7F7"/>
          </w:tcPr>
          <w:p>
            <w:pPr>
              <w:spacing w:after="0"/>
              <w:rPr>
                <w:sz w:val="18"/>
                <w:szCs w:val="18"/>
                <w:color w:val="auto"/>
              </w:rPr>
            </w:pPr>
          </w:p>
        </w:tc>
        <w:tc>
          <w:tcPr>
            <w:tcW w:w="1360" w:type="dxa"/>
            <w:vAlign w:val="bottom"/>
            <w:tcBorders>
              <w:bottom w:val="single" w:sz="8" w:color="auto"/>
            </w:tcBorders>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color w:val="auto"/>
              </w:rPr>
              <w:t>Allowance, end of the period</w:t>
            </w: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246</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246</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delinquency status of the gross amount of loans and merchant cash advances by year of origination. The delinquency status is determined based on the number of days past the contractual or expected repayment date for which the Company anticipates to receive the amounts outstanding. The "current" category represents balances that are anticipated to be repaid within 29 days of the contractual repayment dates, or are anticipated to be repaid within 29 days of the expected repayment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September 30, 2026</w:t>
            </w:r>
          </w:p>
        </w:tc>
        <w:tc>
          <w:tcPr>
            <w:tcW w:w="1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23"/>
        </w:trPr>
        <w:tc>
          <w:tcPr>
            <w:tcW w:w="3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Year of origination</w:t>
            </w:r>
          </w:p>
        </w:tc>
        <w:tc>
          <w:tcPr>
            <w:tcW w:w="14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4060" w:type="dxa"/>
            <w:vAlign w:val="bottom"/>
            <w:tcBorders>
              <w:bottom w:val="single" w:sz="8" w:color="auto"/>
            </w:tcBorders>
            <w:gridSpan w:val="2"/>
          </w:tcPr>
          <w:p>
            <w:pPr>
              <w:ind w:left="3660"/>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22"/>
        </w:trPr>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rPr>
              <w:t>(in US $ millions)</w:t>
            </w: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6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Current</w:t>
            </w:r>
          </w:p>
        </w:tc>
        <w:tc>
          <w:tcPr>
            <w:tcW w:w="5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2,251</w:t>
            </w:r>
          </w:p>
        </w:tc>
        <w:tc>
          <w:tcPr>
            <w:tcW w:w="166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113</w:t>
            </w:r>
          </w:p>
        </w:tc>
        <w:tc>
          <w:tcPr>
            <w:tcW w:w="1920" w:type="dxa"/>
            <w:vAlign w:val="bottom"/>
            <w:gridSpan w:val="2"/>
            <w:shd w:val="clear" w:color="auto" w:fill="F7F7F7"/>
          </w:tcPr>
          <w:p>
            <w:pPr>
              <w:jc w:val="right"/>
              <w:ind w:right="5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2,364</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91.1 %</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30-89 Days</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9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38</w:t>
            </w:r>
          </w:p>
        </w:tc>
        <w:tc>
          <w:tcPr>
            <w:tcW w:w="15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30"/>
        </w:trPr>
        <w:tc>
          <w:tcPr>
            <w:tcW w:w="406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90-179 Days</w:t>
            </w:r>
          </w:p>
        </w:tc>
        <w:tc>
          <w:tcPr>
            <w:tcW w:w="5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19</w:t>
            </w:r>
          </w:p>
        </w:tc>
        <w:tc>
          <w:tcPr>
            <w:tcW w:w="166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17</w:t>
            </w:r>
          </w:p>
        </w:tc>
        <w:tc>
          <w:tcPr>
            <w:tcW w:w="14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c>
          <w:tcPr>
            <w:tcW w:w="460" w:type="dxa"/>
            <w:vAlign w:val="bottom"/>
            <w:shd w:val="clear" w:color="auto" w:fill="F7F7F7"/>
          </w:tcPr>
          <w:p>
            <w:pPr>
              <w:spacing w:after="0"/>
              <w:rPr>
                <w:sz w:val="20"/>
                <w:szCs w:val="20"/>
                <w:color w:val="auto"/>
              </w:rPr>
            </w:pPr>
          </w:p>
        </w:tc>
        <w:tc>
          <w:tcPr>
            <w:tcW w:w="15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37</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1.4 %</w:t>
            </w:r>
          </w:p>
        </w:tc>
      </w:tr>
      <w:tr>
        <w:trPr>
          <w:trHeight w:val="229"/>
        </w:trPr>
        <w:tc>
          <w:tcPr>
            <w:tcW w:w="310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180+ Days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157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r>
      <w:tr>
        <w:trPr>
          <w:trHeight w:val="224"/>
        </w:trPr>
        <w:tc>
          <w:tcPr>
            <w:tcW w:w="406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Total</w:t>
            </w:r>
          </w:p>
        </w:tc>
        <w:tc>
          <w:tcPr>
            <w:tcW w:w="5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2,376</w:t>
            </w:r>
          </w:p>
        </w:tc>
        <w:tc>
          <w:tcPr>
            <w:tcW w:w="166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210</w:t>
            </w:r>
          </w:p>
        </w:tc>
        <w:tc>
          <w:tcPr>
            <w:tcW w:w="14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w:t>
            </w:r>
          </w:p>
        </w:tc>
        <w:tc>
          <w:tcPr>
            <w:tcW w:w="460" w:type="dxa"/>
            <w:vAlign w:val="bottom"/>
            <w:shd w:val="clear" w:color="auto" w:fill="F7F7F7"/>
          </w:tcPr>
          <w:p>
            <w:pPr>
              <w:spacing w:after="0"/>
              <w:rPr>
                <w:sz w:val="19"/>
                <w:szCs w:val="19"/>
                <w:color w:val="auto"/>
              </w:rPr>
            </w:pPr>
          </w:p>
        </w:tc>
        <w:tc>
          <w:tcPr>
            <w:tcW w:w="15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2,596</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100.0 %</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rPr>
              <w:t>December 31, 2025</w:t>
            </w:r>
          </w:p>
        </w:tc>
        <w:tc>
          <w:tcPr>
            <w:tcW w:w="8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23"/>
        </w:trPr>
        <w:tc>
          <w:tcPr>
            <w:tcW w:w="4580" w:type="dxa"/>
            <w:vAlign w:val="bottom"/>
          </w:tcPr>
          <w:p>
            <w:pPr>
              <w:spacing w:after="0"/>
              <w:rPr>
                <w:sz w:val="19"/>
                <w:szCs w:val="19"/>
                <w:color w:val="auto"/>
              </w:rPr>
            </w:pPr>
          </w:p>
        </w:tc>
        <w:tc>
          <w:tcPr>
            <w:tcW w:w="26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Year of origination</w:t>
            </w:r>
          </w:p>
        </w:tc>
        <w:tc>
          <w:tcPr>
            <w:tcW w:w="54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540" w:type="dxa"/>
            <w:vAlign w:val="bottom"/>
            <w:tcBorders>
              <w:bottom w:val="single" w:sz="8" w:color="auto"/>
            </w:tcBorders>
            <w:gridSpan w:val="2"/>
          </w:tcPr>
          <w:p>
            <w:pPr>
              <w:ind w:left="5140"/>
              <w:spacing w:after="0"/>
              <w:rPr>
                <w:sz w:val="20"/>
                <w:szCs w:val="20"/>
                <w:color w:val="auto"/>
              </w:rPr>
            </w:pPr>
            <w:r>
              <w:rPr>
                <w:rFonts w:ascii="Arial" w:cs="Arial" w:eastAsia="Arial" w:hAnsi="Arial"/>
                <w:sz w:val="16"/>
                <w:szCs w:val="16"/>
                <w:b w:val="1"/>
                <w:bCs w:val="1"/>
                <w:color w:val="auto"/>
              </w:rPr>
              <w:t>2025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22"/>
        </w:trPr>
        <w:tc>
          <w:tcPr>
            <w:tcW w:w="4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gridSpan w:val="2"/>
          </w:tcPr>
          <w:p>
            <w:pPr>
              <w:jc w:val="center"/>
              <w:ind w:right="179"/>
              <w:spacing w:after="0"/>
              <w:rPr>
                <w:sz w:val="20"/>
                <w:szCs w:val="20"/>
                <w:color w:val="auto"/>
              </w:rPr>
            </w:pPr>
            <w:r>
              <w:rPr>
                <w:rFonts w:ascii="Arial" w:cs="Arial" w:eastAsia="Arial" w:hAnsi="Arial"/>
                <w:sz w:val="16"/>
                <w:szCs w:val="16"/>
                <w:color w:val="auto"/>
              </w:rPr>
              <w:t>(in US $ millions)</w:t>
            </w: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5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Current</w:t>
            </w:r>
          </w:p>
        </w:tc>
        <w:tc>
          <w:tcPr>
            <w:tcW w:w="1640" w:type="dxa"/>
            <w:vAlign w:val="bottom"/>
            <w:shd w:val="clear" w:color="auto" w:fill="F7F7F7"/>
          </w:tcPr>
          <w:p>
            <w:pPr>
              <w:jc w:val="right"/>
              <w:ind w:right="1119"/>
              <w:spacing w:after="0"/>
              <w:rPr>
                <w:sz w:val="20"/>
                <w:szCs w:val="20"/>
                <w:color w:val="auto"/>
              </w:rPr>
            </w:pPr>
            <w:r>
              <w:rPr>
                <w:rFonts w:ascii="Arial" w:cs="Arial" w:eastAsia="Arial" w:hAnsi="Arial"/>
                <w:sz w:val="16"/>
                <w:szCs w:val="16"/>
                <w:color w:val="auto"/>
              </w:rPr>
              <w:t>1,803</w:t>
            </w:r>
          </w:p>
        </w:tc>
        <w:tc>
          <w:tcPr>
            <w:tcW w:w="5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w:t>
            </w:r>
          </w:p>
        </w:tc>
        <w:tc>
          <w:tcPr>
            <w:tcW w:w="1180" w:type="dxa"/>
            <w:vAlign w:val="bottom"/>
            <w:shd w:val="clear" w:color="auto" w:fill="F7F7F7"/>
          </w:tcPr>
          <w:p>
            <w:pPr>
              <w:spacing w:after="0"/>
              <w:rPr>
                <w:sz w:val="20"/>
                <w:szCs w:val="20"/>
                <w:color w:val="auto"/>
              </w:rPr>
            </w:pPr>
          </w:p>
        </w:tc>
        <w:tc>
          <w:tcPr>
            <w:tcW w:w="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1,822</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92.0 %</w:t>
            </w: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30-89 Days</w:t>
            </w:r>
          </w:p>
        </w:tc>
        <w:tc>
          <w:tcPr>
            <w:tcW w:w="1640" w:type="dxa"/>
            <w:vAlign w:val="bottom"/>
          </w:tcPr>
          <w:p>
            <w:pPr>
              <w:jc w:val="right"/>
              <w:ind w:right="1119"/>
              <w:spacing w:after="0"/>
              <w:rPr>
                <w:sz w:val="20"/>
                <w:szCs w:val="20"/>
                <w:color w:val="auto"/>
              </w:rPr>
            </w:pPr>
            <w:r>
              <w:rPr>
                <w:rFonts w:ascii="Arial" w:cs="Arial" w:eastAsia="Arial" w:hAnsi="Arial"/>
                <w:sz w:val="16"/>
                <w:szCs w:val="16"/>
                <w:color w:val="auto"/>
              </w:rPr>
              <w:t>16</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180" w:type="dxa"/>
            <w:vAlign w:val="bottom"/>
          </w:tcPr>
          <w:p>
            <w:pPr>
              <w:spacing w:after="0"/>
              <w:rPr>
                <w:sz w:val="19"/>
                <w:szCs w:val="19"/>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22</w:t>
            </w:r>
          </w:p>
        </w:tc>
        <w:tc>
          <w:tcPr>
            <w:tcW w:w="150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30"/>
        </w:trPr>
        <w:tc>
          <w:tcPr>
            <w:tcW w:w="55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90-179 Days</w:t>
            </w:r>
          </w:p>
        </w:tc>
        <w:tc>
          <w:tcPr>
            <w:tcW w:w="1640" w:type="dxa"/>
            <w:vAlign w:val="bottom"/>
            <w:shd w:val="clear" w:color="auto" w:fill="F7F7F7"/>
          </w:tcPr>
          <w:p>
            <w:pPr>
              <w:jc w:val="right"/>
              <w:ind w:right="1119"/>
              <w:spacing w:after="0"/>
              <w:rPr>
                <w:sz w:val="20"/>
                <w:szCs w:val="20"/>
                <w:color w:val="auto"/>
              </w:rPr>
            </w:pPr>
            <w:r>
              <w:rPr>
                <w:rFonts w:ascii="Arial" w:cs="Arial" w:eastAsia="Arial" w:hAnsi="Arial"/>
                <w:sz w:val="16"/>
                <w:szCs w:val="16"/>
                <w:color w:val="auto"/>
              </w:rPr>
              <w:t>16</w:t>
            </w:r>
          </w:p>
        </w:tc>
        <w:tc>
          <w:tcPr>
            <w:tcW w:w="5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w:t>
            </w:r>
          </w:p>
        </w:tc>
        <w:tc>
          <w:tcPr>
            <w:tcW w:w="1180" w:type="dxa"/>
            <w:vAlign w:val="bottom"/>
            <w:shd w:val="clear" w:color="auto" w:fill="F7F7F7"/>
          </w:tcPr>
          <w:p>
            <w:pPr>
              <w:spacing w:after="0"/>
              <w:rPr>
                <w:sz w:val="20"/>
                <w:szCs w:val="20"/>
                <w:color w:val="auto"/>
              </w:rPr>
            </w:pPr>
          </w:p>
        </w:tc>
        <w:tc>
          <w:tcPr>
            <w:tcW w:w="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23</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1.2 %</w:t>
            </w:r>
          </w:p>
        </w:tc>
      </w:tr>
      <w:tr>
        <w:trPr>
          <w:trHeight w:val="229"/>
        </w:trPr>
        <w:tc>
          <w:tcPr>
            <w:tcW w:w="458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180+ Days</w:t>
            </w:r>
          </w:p>
        </w:tc>
        <w:tc>
          <w:tcPr>
            <w:tcW w:w="9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77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r>
      <w:tr>
        <w:trPr>
          <w:trHeight w:val="224"/>
        </w:trPr>
        <w:tc>
          <w:tcPr>
            <w:tcW w:w="554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shd w:val="clear" w:color="auto" w:fill="F7F7F7"/>
          </w:tcPr>
          <w:p>
            <w:pPr>
              <w:jc w:val="right"/>
              <w:ind w:right="1119"/>
              <w:spacing w:after="0"/>
              <w:rPr>
                <w:sz w:val="20"/>
                <w:szCs w:val="20"/>
                <w:color w:val="auto"/>
              </w:rPr>
            </w:pPr>
            <w:r>
              <w:rPr>
                <w:rFonts w:ascii="Arial" w:cs="Arial" w:eastAsia="Arial" w:hAnsi="Arial"/>
                <w:sz w:val="16"/>
                <w:szCs w:val="16"/>
                <w:color w:val="auto"/>
              </w:rPr>
              <w:t>1,912</w:t>
            </w:r>
          </w:p>
        </w:tc>
        <w:tc>
          <w:tcPr>
            <w:tcW w:w="5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67</w:t>
            </w:r>
          </w:p>
        </w:tc>
        <w:tc>
          <w:tcPr>
            <w:tcW w:w="1180" w:type="dxa"/>
            <w:vAlign w:val="bottom"/>
            <w:shd w:val="clear" w:color="auto" w:fill="F7F7F7"/>
          </w:tcPr>
          <w:p>
            <w:pPr>
              <w:spacing w:after="0"/>
              <w:rPr>
                <w:sz w:val="19"/>
                <w:szCs w:val="19"/>
                <w:color w:val="auto"/>
              </w:rPr>
            </w:pPr>
          </w:p>
        </w:tc>
        <w:tc>
          <w:tcPr>
            <w:tcW w:w="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1,979</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100.0 %</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maintains an internal monitoring list related to its outstanding loans. A merchant's ability and willingness to repay the loan and merchant cash advances outstanding under the program is analyzed for a variety of factors that include, but are not limited to current or expected age of the financing, merchant subscription or financing status, merchant gross merchandise volume trends and other changes to merchant credit profiles.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Deferred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660" w:type="dxa"/>
            <w:vAlign w:val="bottom"/>
            <w:tcBorders>
              <w:bottom w:val="single" w:sz="8" w:color="auto"/>
            </w:tcBorders>
            <w:gridSpan w:val="2"/>
          </w:tcPr>
          <w:p>
            <w:pPr>
              <w:ind w:left="5220"/>
              <w:spacing w:after="0"/>
              <w:rPr>
                <w:sz w:val="20"/>
                <w:szCs w:val="20"/>
                <w:color w:val="auto"/>
              </w:rPr>
            </w:pPr>
            <w:r>
              <w:rPr>
                <w:rFonts w:ascii="Arial" w:cs="Arial" w:eastAsia="Arial" w:hAnsi="Arial"/>
                <w:sz w:val="16"/>
                <w:szCs w:val="16"/>
                <w:b w:val="1"/>
                <w:bCs w:val="1"/>
                <w:color w:val="auto"/>
              </w:rPr>
              <w:t>2026</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8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30"/>
        </w:trPr>
        <w:tc>
          <w:tcPr>
            <w:tcW w:w="566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860" w:type="dxa"/>
            <w:vAlign w:val="bottom"/>
            <w:shd w:val="clear" w:color="auto" w:fill="F7F7F7"/>
          </w:tcPr>
          <w:p>
            <w:pPr>
              <w:jc w:val="center"/>
              <w:ind w:right="219"/>
              <w:spacing w:after="0"/>
              <w:rPr>
                <w:sz w:val="20"/>
                <w:szCs w:val="20"/>
                <w:color w:val="auto"/>
              </w:rPr>
            </w:pPr>
            <w:r>
              <w:rPr>
                <w:rFonts w:ascii="Arial" w:cs="Arial" w:eastAsia="Arial" w:hAnsi="Arial"/>
                <w:sz w:val="16"/>
                <w:szCs w:val="16"/>
                <w:color w:val="auto"/>
              </w:rPr>
              <w:t>414</w:t>
            </w:r>
          </w:p>
        </w:tc>
        <w:tc>
          <w:tcPr>
            <w:tcW w:w="1320" w:type="dxa"/>
            <w:vAlign w:val="bottom"/>
            <w:shd w:val="clear" w:color="auto" w:fill="F7F7F7"/>
          </w:tcPr>
          <w:p>
            <w:pPr>
              <w:jc w:val="center"/>
              <w:ind w:left="819"/>
              <w:spacing w:after="0"/>
              <w:rPr>
                <w:sz w:val="20"/>
                <w:szCs w:val="20"/>
                <w:color w:val="auto"/>
              </w:rPr>
            </w:pPr>
            <w:r>
              <w:rPr>
                <w:rFonts w:ascii="Arial" w:cs="Arial" w:eastAsia="Arial" w:hAnsi="Arial"/>
                <w:sz w:val="16"/>
                <w:szCs w:val="16"/>
                <w:color w:val="auto"/>
                <w:w w:val="97"/>
              </w:rPr>
              <w:t>421</w:t>
            </w:r>
          </w:p>
        </w:tc>
        <w:tc>
          <w:tcPr>
            <w:tcW w:w="180" w:type="dxa"/>
            <w:vAlign w:val="bottom"/>
            <w:shd w:val="clear" w:color="auto" w:fill="F7F7F7"/>
          </w:tcPr>
          <w:p>
            <w:pPr>
              <w:spacing w:after="0"/>
              <w:rPr>
                <w:sz w:val="20"/>
                <w:szCs w:val="20"/>
                <w:color w:val="auto"/>
              </w:rPr>
            </w:pPr>
          </w:p>
        </w:tc>
        <w:tc>
          <w:tcPr>
            <w:tcW w:w="1880" w:type="dxa"/>
            <w:vAlign w:val="bottom"/>
            <w:shd w:val="clear" w:color="auto" w:fill="F7F7F7"/>
          </w:tcPr>
          <w:p>
            <w:pPr>
              <w:jc w:val="center"/>
              <w:ind w:left="659"/>
              <w:spacing w:after="0"/>
              <w:rPr>
                <w:sz w:val="20"/>
                <w:szCs w:val="20"/>
                <w:color w:val="auto"/>
              </w:rPr>
            </w:pPr>
            <w:r>
              <w:rPr>
                <w:rFonts w:ascii="Arial" w:cs="Arial" w:eastAsia="Arial" w:hAnsi="Arial"/>
                <w:sz w:val="16"/>
                <w:szCs w:val="16"/>
                <w:color w:val="auto"/>
                <w:w w:val="97"/>
              </w:rPr>
              <w:t>398</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430</w:t>
            </w:r>
          </w:p>
        </w:tc>
      </w:tr>
      <w:tr>
        <w:trPr>
          <w:trHeight w:val="229"/>
        </w:trPr>
        <w:tc>
          <w:tcPr>
            <w:tcW w:w="5660" w:type="dxa"/>
            <w:vAlign w:val="bottom"/>
            <w:gridSpan w:val="2"/>
          </w:tcPr>
          <w:p>
            <w:pPr>
              <w:ind w:left="240"/>
              <w:spacing w:after="0" w:line="230" w:lineRule="exact"/>
              <w:rPr>
                <w:sz w:val="20"/>
                <w:szCs w:val="20"/>
                <w:color w:val="auto"/>
              </w:rPr>
            </w:pPr>
            <w:r>
              <w:rPr>
                <w:rFonts w:ascii="Arial" w:cs="Arial" w:eastAsia="Arial" w:hAnsi="Arial"/>
                <w:sz w:val="16"/>
                <w:szCs w:val="16"/>
                <w:color w:val="auto"/>
              </w:rPr>
              <w:t>Deferral of revenue</w:t>
            </w:r>
            <w:r>
              <w:rPr>
                <w:rFonts w:ascii="Arial" w:cs="Arial" w:eastAsia="Arial" w:hAnsi="Arial"/>
                <w:sz w:val="21"/>
                <w:szCs w:val="21"/>
                <w:color w:val="auto"/>
                <w:vertAlign w:val="superscript"/>
              </w:rPr>
              <w:t>(1)</w:t>
            </w:r>
          </w:p>
        </w:tc>
        <w:tc>
          <w:tcPr>
            <w:tcW w:w="860" w:type="dxa"/>
            <w:vAlign w:val="bottom"/>
          </w:tcPr>
          <w:p>
            <w:pPr>
              <w:jc w:val="center"/>
              <w:ind w:right="219"/>
              <w:spacing w:after="0"/>
              <w:rPr>
                <w:sz w:val="20"/>
                <w:szCs w:val="20"/>
                <w:color w:val="auto"/>
              </w:rPr>
            </w:pPr>
            <w:r>
              <w:rPr>
                <w:rFonts w:ascii="Arial" w:cs="Arial" w:eastAsia="Arial" w:hAnsi="Arial"/>
                <w:sz w:val="16"/>
                <w:szCs w:val="16"/>
                <w:color w:val="auto"/>
              </w:rPr>
              <w:t>137</w:t>
            </w:r>
          </w:p>
        </w:tc>
        <w:tc>
          <w:tcPr>
            <w:tcW w:w="1320" w:type="dxa"/>
            <w:vAlign w:val="bottom"/>
          </w:tcPr>
          <w:p>
            <w:pPr>
              <w:jc w:val="center"/>
              <w:ind w:left="819"/>
              <w:spacing w:after="0"/>
              <w:rPr>
                <w:sz w:val="20"/>
                <w:szCs w:val="20"/>
                <w:color w:val="auto"/>
              </w:rPr>
            </w:pPr>
            <w:r>
              <w:rPr>
                <w:rFonts w:ascii="Arial" w:cs="Arial" w:eastAsia="Arial" w:hAnsi="Arial"/>
                <w:sz w:val="16"/>
                <w:szCs w:val="16"/>
                <w:color w:val="auto"/>
                <w:w w:val="97"/>
              </w:rPr>
              <w:t>122</w:t>
            </w:r>
          </w:p>
        </w:tc>
        <w:tc>
          <w:tcPr>
            <w:tcW w:w="180" w:type="dxa"/>
            <w:vAlign w:val="bottom"/>
          </w:tcPr>
          <w:p>
            <w:pPr>
              <w:spacing w:after="0"/>
              <w:rPr>
                <w:sz w:val="19"/>
                <w:szCs w:val="19"/>
                <w:color w:val="auto"/>
              </w:rPr>
            </w:pPr>
          </w:p>
        </w:tc>
        <w:tc>
          <w:tcPr>
            <w:tcW w:w="1880" w:type="dxa"/>
            <w:vAlign w:val="bottom"/>
          </w:tcPr>
          <w:p>
            <w:pPr>
              <w:jc w:val="center"/>
              <w:ind w:left="659"/>
              <w:spacing w:after="0"/>
              <w:rPr>
                <w:sz w:val="20"/>
                <w:szCs w:val="20"/>
                <w:color w:val="auto"/>
              </w:rPr>
            </w:pPr>
            <w:r>
              <w:rPr>
                <w:rFonts w:ascii="Arial" w:cs="Arial" w:eastAsia="Arial" w:hAnsi="Arial"/>
                <w:sz w:val="16"/>
                <w:szCs w:val="16"/>
                <w:color w:val="auto"/>
                <w:w w:val="97"/>
              </w:rPr>
              <w:t>227</w:t>
            </w:r>
          </w:p>
        </w:tc>
        <w:tc>
          <w:tcPr>
            <w:tcW w:w="13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28"/>
        </w:trPr>
        <w:tc>
          <w:tcPr>
            <w:tcW w:w="46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Recognition of deferred revenue from beginning balance</w:t>
            </w:r>
          </w:p>
        </w:tc>
        <w:tc>
          <w:tcPr>
            <w:tcW w:w="1000" w:type="dxa"/>
            <w:vAlign w:val="bottom"/>
            <w:tcBorders>
              <w:bottom w:val="single" w:sz="8" w:color="auto"/>
            </w:tcBorders>
            <w:shd w:val="clear" w:color="auto" w:fill="F7F7F7"/>
          </w:tcPr>
          <w:p>
            <w:pPr>
              <w:spacing w:after="0"/>
              <w:rPr>
                <w:sz w:val="19"/>
                <w:szCs w:val="19"/>
                <w:color w:val="auto"/>
              </w:rPr>
            </w:pPr>
          </w:p>
        </w:tc>
        <w:tc>
          <w:tcPr>
            <w:tcW w:w="860" w:type="dxa"/>
            <w:vAlign w:val="bottom"/>
            <w:tcBorders>
              <w:bottom w:val="single" w:sz="8" w:color="auto"/>
            </w:tcBorders>
            <w:shd w:val="clear" w:color="auto" w:fill="F7F7F7"/>
          </w:tcPr>
          <w:p>
            <w:pPr>
              <w:jc w:val="center"/>
              <w:ind w:right="239"/>
              <w:spacing w:after="0"/>
              <w:rPr>
                <w:sz w:val="20"/>
                <w:szCs w:val="20"/>
                <w:color w:val="auto"/>
              </w:rPr>
            </w:pPr>
            <w:r>
              <w:rPr>
                <w:rFonts w:ascii="Arial" w:cs="Arial" w:eastAsia="Arial" w:hAnsi="Arial"/>
                <w:sz w:val="16"/>
                <w:szCs w:val="16"/>
                <w:color w:val="auto"/>
              </w:rPr>
              <w:t>(137)</w:t>
            </w:r>
          </w:p>
        </w:tc>
        <w:tc>
          <w:tcPr>
            <w:tcW w:w="1320" w:type="dxa"/>
            <w:vAlign w:val="bottom"/>
            <w:tcBorders>
              <w:bottom w:val="single" w:sz="8" w:color="auto"/>
            </w:tcBorders>
            <w:shd w:val="clear" w:color="auto" w:fill="F7F7F7"/>
          </w:tcPr>
          <w:p>
            <w:pPr>
              <w:jc w:val="center"/>
              <w:ind w:left="819"/>
              <w:spacing w:after="0"/>
              <w:rPr>
                <w:sz w:val="20"/>
                <w:szCs w:val="20"/>
                <w:color w:val="auto"/>
              </w:rPr>
            </w:pPr>
            <w:r>
              <w:rPr>
                <w:rFonts w:ascii="Arial" w:cs="Arial" w:eastAsia="Arial" w:hAnsi="Arial"/>
                <w:sz w:val="16"/>
                <w:szCs w:val="16"/>
                <w:color w:val="auto"/>
              </w:rPr>
              <w:t>(133)</w:t>
            </w:r>
          </w:p>
        </w:tc>
        <w:tc>
          <w:tcPr>
            <w:tcW w:w="180" w:type="dxa"/>
            <w:vAlign w:val="bottom"/>
            <w:shd w:val="clear" w:color="auto" w:fill="F7F7F7"/>
          </w:tcPr>
          <w:p>
            <w:pPr>
              <w:spacing w:after="0"/>
              <w:rPr>
                <w:sz w:val="19"/>
                <w:szCs w:val="19"/>
                <w:color w:val="auto"/>
              </w:rPr>
            </w:pPr>
          </w:p>
        </w:tc>
        <w:tc>
          <w:tcPr>
            <w:tcW w:w="1880" w:type="dxa"/>
            <w:vAlign w:val="bottom"/>
            <w:tcBorders>
              <w:bottom w:val="single" w:sz="8" w:color="auto"/>
            </w:tcBorders>
            <w:shd w:val="clear" w:color="auto" w:fill="F7F7F7"/>
          </w:tcPr>
          <w:p>
            <w:pPr>
              <w:jc w:val="center"/>
              <w:ind w:left="659"/>
              <w:spacing w:after="0"/>
              <w:rPr>
                <w:sz w:val="20"/>
                <w:szCs w:val="20"/>
                <w:color w:val="auto"/>
              </w:rPr>
            </w:pPr>
            <w:r>
              <w:rPr>
                <w:rFonts w:ascii="Arial" w:cs="Arial" w:eastAsia="Arial" w:hAnsi="Arial"/>
                <w:sz w:val="16"/>
                <w:szCs w:val="16"/>
                <w:color w:val="auto"/>
              </w:rPr>
              <w:t>(211)</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(231)</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860" w:type="dxa"/>
            <w:vAlign w:val="bottom"/>
          </w:tcPr>
          <w:p>
            <w:pPr>
              <w:jc w:val="center"/>
              <w:ind w:right="219"/>
              <w:spacing w:after="0"/>
              <w:rPr>
                <w:sz w:val="20"/>
                <w:szCs w:val="20"/>
                <w:color w:val="auto"/>
              </w:rPr>
            </w:pPr>
            <w:r>
              <w:rPr>
                <w:rFonts w:ascii="Arial" w:cs="Arial" w:eastAsia="Arial" w:hAnsi="Arial"/>
                <w:sz w:val="16"/>
                <w:szCs w:val="16"/>
                <w:color w:val="auto"/>
              </w:rPr>
              <w:t>414</w:t>
            </w:r>
          </w:p>
        </w:tc>
        <w:tc>
          <w:tcPr>
            <w:tcW w:w="1320" w:type="dxa"/>
            <w:vAlign w:val="bottom"/>
          </w:tcPr>
          <w:p>
            <w:pPr>
              <w:jc w:val="center"/>
              <w:ind w:left="819"/>
              <w:spacing w:after="0"/>
              <w:rPr>
                <w:sz w:val="20"/>
                <w:szCs w:val="20"/>
                <w:color w:val="auto"/>
              </w:rPr>
            </w:pPr>
            <w:r>
              <w:rPr>
                <w:rFonts w:ascii="Arial" w:cs="Arial" w:eastAsia="Arial" w:hAnsi="Arial"/>
                <w:sz w:val="16"/>
                <w:szCs w:val="16"/>
                <w:color w:val="auto"/>
                <w:w w:val="97"/>
              </w:rPr>
              <w:t>410</w:t>
            </w:r>
          </w:p>
        </w:tc>
        <w:tc>
          <w:tcPr>
            <w:tcW w:w="180" w:type="dxa"/>
            <w:vAlign w:val="bottom"/>
          </w:tcPr>
          <w:p>
            <w:pPr>
              <w:spacing w:after="0"/>
              <w:rPr>
                <w:sz w:val="19"/>
                <w:szCs w:val="19"/>
                <w:color w:val="auto"/>
              </w:rPr>
            </w:pPr>
          </w:p>
        </w:tc>
        <w:tc>
          <w:tcPr>
            <w:tcW w:w="1880" w:type="dxa"/>
            <w:vAlign w:val="bottom"/>
          </w:tcPr>
          <w:p>
            <w:pPr>
              <w:jc w:val="center"/>
              <w:ind w:left="659"/>
              <w:spacing w:after="0"/>
              <w:rPr>
                <w:sz w:val="20"/>
                <w:szCs w:val="20"/>
                <w:color w:val="auto"/>
              </w:rPr>
            </w:pPr>
            <w:r>
              <w:rPr>
                <w:rFonts w:ascii="Arial" w:cs="Arial" w:eastAsia="Arial" w:hAnsi="Arial"/>
                <w:sz w:val="16"/>
                <w:szCs w:val="16"/>
                <w:color w:val="auto"/>
                <w:w w:val="97"/>
              </w:rPr>
              <w:t>414</w:t>
            </w:r>
          </w:p>
        </w:tc>
        <w:tc>
          <w:tcPr>
            <w:tcW w:w="1340" w:type="dxa"/>
            <w:vAlign w:val="bottom"/>
          </w:tcPr>
          <w:p>
            <w:pPr>
              <w:jc w:val="right"/>
              <w:spacing w:after="0"/>
              <w:rPr>
                <w:sz w:val="20"/>
                <w:szCs w:val="20"/>
                <w:color w:val="auto"/>
              </w:rPr>
            </w:pPr>
            <w:r>
              <w:rPr>
                <w:rFonts w:ascii="Arial" w:cs="Arial" w:eastAsia="Arial" w:hAnsi="Arial"/>
                <w:sz w:val="16"/>
                <w:szCs w:val="16"/>
                <w:color w:val="auto"/>
              </w:rPr>
              <w:t>410</w:t>
            </w:r>
          </w:p>
        </w:tc>
      </w:tr>
    </w:tbl>
    <w:p>
      <w:pPr>
        <w:spacing w:after="0" w:line="155" w:lineRule="exact"/>
        <w:rPr>
          <w:sz w:val="20"/>
          <w:szCs w:val="20"/>
          <w:color w:val="auto"/>
        </w:rPr>
      </w:pPr>
    </w:p>
    <w:p>
      <w:pPr>
        <w:ind w:right="20" w:firstLine="8"/>
        <w:spacing w:after="0" w:line="316" w:lineRule="auto"/>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Deferral of revenue includes only the portion of collections from merchant billings throughout the period, primarily related to subscription fees, for which the services have not yet been provided. The amounts primarily exclude subscription revenue that has both been deferred and recognized within the period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30, 2026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2025</w:t>
            </w:r>
          </w:p>
        </w:tc>
      </w:tr>
      <w:tr>
        <w:trPr>
          <w:trHeight w:val="222"/>
        </w:trPr>
        <w:tc>
          <w:tcPr>
            <w:tcW w:w="7840" w:type="dxa"/>
            <w:vAlign w:val="bottom"/>
          </w:tcPr>
          <w:p>
            <w:pPr>
              <w:spacing w:after="0"/>
              <w:rPr>
                <w:sz w:val="19"/>
                <w:szCs w:val="19"/>
                <w:color w:val="auto"/>
              </w:rPr>
            </w:pPr>
          </w:p>
        </w:tc>
        <w:tc>
          <w:tcPr>
            <w:tcW w:w="3400" w:type="dxa"/>
            <w:vAlign w:val="bottom"/>
            <w:gridSpan w:val="2"/>
          </w:tcPr>
          <w:p>
            <w:pPr>
              <w:jc w:val="right"/>
              <w:ind w:right="999"/>
              <w:spacing w:after="0"/>
              <w:rPr>
                <w:sz w:val="20"/>
                <w:szCs w:val="20"/>
                <w:color w:val="auto"/>
              </w:rPr>
            </w:pPr>
            <w:r>
              <w:rPr>
                <w:rFonts w:ascii="Arial" w:cs="Arial" w:eastAsia="Arial" w:hAnsi="Arial"/>
                <w:sz w:val="16"/>
                <w:szCs w:val="16"/>
                <w:color w:val="auto"/>
              </w:rPr>
              <w:t>(in US $ millions)</w:t>
            </w:r>
          </w:p>
        </w:tc>
      </w:tr>
      <w:tr>
        <w:trPr>
          <w:trHeight w:val="230"/>
        </w:trPr>
        <w:tc>
          <w:tcPr>
            <w:tcW w:w="7840" w:type="dxa"/>
            <w:vAlign w:val="bottom"/>
            <w:shd w:val="clear" w:color="auto" w:fill="F7F7F7"/>
          </w:tcPr>
          <w:p>
            <w:pPr>
              <w:ind w:left="20"/>
              <w:spacing w:after="0"/>
              <w:rPr>
                <w:sz w:val="20"/>
                <w:szCs w:val="20"/>
                <w:color w:val="auto"/>
              </w:rPr>
            </w:pPr>
            <w:r>
              <w:rPr>
                <w:rFonts w:ascii="Arial" w:cs="Arial" w:eastAsia="Arial" w:hAnsi="Arial"/>
                <w:sz w:val="16"/>
                <w:szCs w:val="16"/>
                <w:color w:val="auto"/>
              </w:rPr>
              <w:t>Current portion</w:t>
            </w:r>
          </w:p>
        </w:tc>
        <w:tc>
          <w:tcPr>
            <w:tcW w:w="17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345</w:t>
            </w:r>
          </w:p>
        </w:tc>
        <w:tc>
          <w:tcPr>
            <w:tcW w:w="17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300</w:t>
            </w:r>
          </w:p>
        </w:tc>
      </w:tr>
      <w:tr>
        <w:trPr>
          <w:trHeight w:val="228"/>
        </w:trPr>
        <w:tc>
          <w:tcPr>
            <w:tcW w:w="784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Long-term portion</w:t>
            </w: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24"/>
        </w:trPr>
        <w:tc>
          <w:tcPr>
            <w:tcW w:w="7840" w:type="dxa"/>
            <w:vAlign w:val="bottom"/>
            <w:shd w:val="clear" w:color="auto" w:fill="F7F7F7"/>
          </w:tcPr>
          <w:p>
            <w:pPr>
              <w:spacing w:after="0"/>
              <w:rPr>
                <w:sz w:val="19"/>
                <w:szCs w:val="19"/>
                <w:color w:val="auto"/>
              </w:rPr>
            </w:pPr>
          </w:p>
        </w:tc>
        <w:tc>
          <w:tcPr>
            <w:tcW w:w="170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414</w:t>
            </w:r>
          </w:p>
        </w:tc>
        <w:tc>
          <w:tcPr>
            <w:tcW w:w="17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410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balances of current and long-term deferred revenue were $283 million and $147 million, respectively, as of January 1, 2025.</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2026, the long-term deferred revenue, excluding non-cash consideration received, will be recognized ratably over the remaining terms of the contracts with the customers, which range from two years to three years.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received non-cash consideration in the form of equity investments in exchange for services to be rendered as part of strategic partnerships. As the Company is required to provide referral services and other services to support the partners' merchant offerings over the period of the performance obligations, revenue is deferred and recognized over time on a ratable basis over the expected terms of the contracts.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gross changes in deferred revenue associated with this non-cash consideration received for the three and nine months ended September 30,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700" w:type="dxa"/>
            <w:vAlign w:val="bottom"/>
            <w:tcBorders>
              <w:bottom w:val="single" w:sz="8" w:color="auto"/>
            </w:tcBorders>
            <w:gridSpan w:val="2"/>
          </w:tcPr>
          <w:p>
            <w:pPr>
              <w:ind w:left="5220"/>
              <w:spacing w:after="0"/>
              <w:rPr>
                <w:sz w:val="20"/>
                <w:szCs w:val="20"/>
                <w:color w:val="auto"/>
              </w:rPr>
            </w:pPr>
            <w:r>
              <w:rPr>
                <w:rFonts w:ascii="Arial" w:cs="Arial" w:eastAsia="Arial" w:hAnsi="Arial"/>
                <w:sz w:val="16"/>
                <w:szCs w:val="16"/>
                <w:b w:val="1"/>
                <w:bCs w:val="1"/>
                <w:color w:val="auto"/>
              </w:rPr>
              <w:t>2026</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30"/>
        </w:trPr>
        <w:tc>
          <w:tcPr>
            <w:tcW w:w="57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82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124</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F7F7F7"/>
          </w:tcPr>
          <w:p>
            <w:pPr>
              <w:spacing w:after="0"/>
              <w:rPr>
                <w:sz w:val="20"/>
                <w:szCs w:val="20"/>
                <w:color w:val="auto"/>
              </w:rPr>
            </w:pPr>
          </w:p>
        </w:tc>
        <w:tc>
          <w:tcPr>
            <w:tcW w:w="188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141</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190</w:t>
            </w:r>
          </w:p>
        </w:tc>
      </w:tr>
      <w:tr>
        <w:trPr>
          <w:trHeight w:val="229"/>
        </w:trPr>
        <w:tc>
          <w:tcPr>
            <w:tcW w:w="5700" w:type="dxa"/>
            <w:vAlign w:val="bottom"/>
            <w:gridSpan w:val="2"/>
          </w:tcPr>
          <w:p>
            <w:pPr>
              <w:ind w:left="240"/>
              <w:spacing w:after="0"/>
              <w:rPr>
                <w:sz w:val="20"/>
                <w:szCs w:val="20"/>
                <w:color w:val="auto"/>
              </w:rPr>
            </w:pPr>
            <w:r>
              <w:rPr>
                <w:rFonts w:ascii="Arial" w:cs="Arial" w:eastAsia="Arial" w:hAnsi="Arial"/>
                <w:sz w:val="16"/>
                <w:szCs w:val="16"/>
                <w:color w:val="auto"/>
              </w:rPr>
              <w:t>Non-cash consideration received in exchange for services</w:t>
            </w: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8</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Revenue recognized related to non-cash consideration</w:t>
            </w:r>
          </w:p>
        </w:tc>
        <w:tc>
          <w:tcPr>
            <w:tcW w:w="1040" w:type="dxa"/>
            <w:vAlign w:val="bottom"/>
            <w:tcBorders>
              <w:bottom w:val="single" w:sz="8" w:color="auto"/>
            </w:tcBorders>
            <w:shd w:val="clear" w:color="auto" w:fill="F7F7F7"/>
          </w:tcPr>
          <w:p>
            <w:pPr>
              <w:spacing w:after="0"/>
              <w:rPr>
                <w:sz w:val="19"/>
                <w:szCs w:val="19"/>
                <w:color w:val="auto"/>
              </w:rPr>
            </w:pPr>
          </w:p>
        </w:tc>
        <w:tc>
          <w:tcPr>
            <w:tcW w:w="82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(13)</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F7F7F7"/>
          </w:tcPr>
          <w:p>
            <w:pPr>
              <w:spacing w:after="0"/>
              <w:rPr>
                <w:sz w:val="19"/>
                <w:szCs w:val="19"/>
                <w:color w:val="auto"/>
              </w:rPr>
            </w:pPr>
          </w:p>
        </w:tc>
        <w:tc>
          <w:tcPr>
            <w:tcW w:w="1880" w:type="dxa"/>
            <w:vAlign w:val="bottom"/>
            <w:tcBorders>
              <w:bottom w:val="single" w:sz="8" w:color="auto"/>
            </w:tcBorders>
            <w:shd w:val="clear" w:color="auto" w:fill="F7F7F7"/>
          </w:tcPr>
          <w:p>
            <w:pPr>
              <w:jc w:val="right"/>
              <w:ind w:right="299"/>
              <w:spacing w:after="0"/>
              <w:rPr>
                <w:sz w:val="20"/>
                <w:szCs w:val="20"/>
                <w:color w:val="auto"/>
              </w:rPr>
            </w:pPr>
            <w:r>
              <w:rPr>
                <w:rFonts w:ascii="Arial" w:cs="Arial" w:eastAsia="Arial" w:hAnsi="Arial"/>
                <w:sz w:val="16"/>
                <w:szCs w:val="16"/>
                <w:color w:val="auto"/>
              </w:rPr>
              <w:t>(38)</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(37)</w:t>
            </w:r>
          </w:p>
        </w:tc>
      </w:tr>
      <w:tr>
        <w:trPr>
          <w:trHeight w:val="223"/>
        </w:trPr>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89"/>
        </w:trPr>
        <w:tc>
          <w:tcPr>
            <w:tcW w:w="4660" w:type="dxa"/>
            <w:vAlign w:val="bottom"/>
            <w:shd w:val="clear" w:color="auto" w:fill="F7F7F7"/>
          </w:tcPr>
          <w:p>
            <w:pPr>
              <w:spacing w:after="0"/>
              <w:rPr>
                <w:sz w:val="7"/>
                <w:szCs w:val="7"/>
                <w:color w:val="auto"/>
              </w:rPr>
            </w:pPr>
          </w:p>
        </w:tc>
        <w:tc>
          <w:tcPr>
            <w:tcW w:w="1040" w:type="dxa"/>
            <w:vAlign w:val="bottom"/>
            <w:shd w:val="clear" w:color="auto" w:fill="F7F7F7"/>
          </w:tcPr>
          <w:p>
            <w:pPr>
              <w:spacing w:after="0"/>
              <w:rPr>
                <w:sz w:val="7"/>
                <w:szCs w:val="7"/>
                <w:color w:val="auto"/>
              </w:rPr>
            </w:pPr>
          </w:p>
        </w:tc>
        <w:tc>
          <w:tcPr>
            <w:tcW w:w="820" w:type="dxa"/>
            <w:vAlign w:val="bottom"/>
            <w:shd w:val="clear" w:color="auto" w:fill="F7F7F7"/>
          </w:tcPr>
          <w:p>
            <w:pPr>
              <w:spacing w:after="0"/>
              <w:rPr>
                <w:sz w:val="7"/>
                <w:szCs w:val="7"/>
                <w:color w:val="auto"/>
              </w:rPr>
            </w:pPr>
          </w:p>
        </w:tc>
        <w:tc>
          <w:tcPr>
            <w:tcW w:w="132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1880" w:type="dxa"/>
            <w:vAlign w:val="bottom"/>
            <w:shd w:val="clear" w:color="auto" w:fill="F7F7F7"/>
          </w:tcPr>
          <w:p>
            <w:pPr>
              <w:spacing w:after="0"/>
              <w:rPr>
                <w:sz w:val="7"/>
                <w:szCs w:val="7"/>
                <w:color w:val="auto"/>
              </w:rPr>
            </w:pPr>
          </w:p>
        </w:tc>
        <w:tc>
          <w:tcPr>
            <w:tcW w:w="1340" w:type="dxa"/>
            <w:vAlign w:val="bottom"/>
            <w:shd w:val="clear" w:color="auto" w:fill="F7F7F7"/>
          </w:tcPr>
          <w:p>
            <w:pPr>
              <w:spacing w:after="0"/>
              <w:rPr>
                <w:sz w:val="7"/>
                <w:szCs w:val="7"/>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Current portion</w:t>
            </w: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47</w:t>
            </w: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9"/>
        </w:trPr>
        <w:tc>
          <w:tcPr>
            <w:tcW w:w="57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Long-term portion</w:t>
            </w:r>
          </w:p>
        </w:tc>
        <w:tc>
          <w:tcPr>
            <w:tcW w:w="820" w:type="dxa"/>
            <w:vAlign w:val="bottom"/>
            <w:shd w:val="clear" w:color="auto" w:fill="F7F7F7"/>
          </w:tcPr>
          <w:p>
            <w:pPr>
              <w:spacing w:after="0"/>
              <w:rPr>
                <w:sz w:val="19"/>
                <w:szCs w:val="19"/>
                <w:color w:val="auto"/>
              </w:rPr>
            </w:pPr>
          </w:p>
        </w:tc>
        <w:tc>
          <w:tcPr>
            <w:tcW w:w="132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880" w:type="dxa"/>
            <w:vAlign w:val="bottom"/>
            <w:tcBorders>
              <w:bottom w:val="single" w:sz="8" w:color="auto"/>
            </w:tcBorders>
            <w:shd w:val="clear" w:color="auto" w:fill="F7F7F7"/>
          </w:tcPr>
          <w:p>
            <w:pPr>
              <w:jc w:val="right"/>
              <w:ind w:right="359"/>
              <w:spacing w:after="0"/>
              <w:rPr>
                <w:sz w:val="20"/>
                <w:szCs w:val="20"/>
                <w:color w:val="auto"/>
              </w:rPr>
            </w:pPr>
            <w:r>
              <w:rPr>
                <w:rFonts w:ascii="Arial" w:cs="Arial" w:eastAsia="Arial" w:hAnsi="Arial"/>
                <w:sz w:val="16"/>
                <w:szCs w:val="16"/>
                <w:color w:val="auto"/>
              </w:rPr>
              <w:t>64</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104</w:t>
            </w:r>
          </w:p>
        </w:tc>
      </w:tr>
      <w:tr>
        <w:trPr>
          <w:trHeight w:val="222"/>
        </w:trPr>
        <w:tc>
          <w:tcPr>
            <w:tcW w:w="4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111</w:t>
            </w: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r>
    </w:tbl>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will recognize this revenue ratably over the remaining terms of the respective strategic partnership service agreements, which range from one year to three years.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Credit Facility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entered into a revolving credit facility with Royal Bank of Canada for $100 million. The credit facility bears interest at the Royal Bank US Base Rate plus a spread on drawn amounts. As of September 30, 2026 the effective rate was 7.50% and no cash amounts were drawn under this credit facility.</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Loss Contingencies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may become a party to litigation and subject to claims incidental to the ordinary course of business, including intellectual property claims, labor and employment claims and threatened claims, breach of contract claims, tax and other matters.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records accruals for loss contingencies when losses are probable and reasonably estimable. The Company currently has no material pending litigation or claims. The Company is not aware of any litigation matters or loss contingencies that would be expected to have a material adverse effect on the business, condensed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commercial agreement with Flexport, a company in which it has an equity method investment. The Company is entitled to earn a share of revenues for orders processed or otherwise sent through services provided by Shopify, subject to certain financial conditions. In the three and nine months ended September 30, 2026, as certain financial conditions were not met, the Company recognized nil revenue related to this agreement. The Company has a separate agreement with Flexport to provide co-marketing services for the coordinated marketing of fulfillment-related products and services to current and prospective merchants. In the three and nine months ended September 30, 2026, the Company recognized $3 million and $ 9 million of expense in the condensed consolidated statements of operations and comprehensive income (September 30, 2025 - $2 million and $6 million), respectively, and as of September 30, 2026, $9 million in "Other current assets" and $9 million in "Other long-term assets" in the condensed consolidated balance sheets are related to this agreement.</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an investment in Flexport in the form of convertible notes with a fair value of $351 million as of September 30, 2026 (December 31, 2025 - $326 million). The Company has elected to account for it using the fair value option for the investment, which is classified within "Equity and other investments" in the condensed consolidated balance sheets. In the three and nine months ended September 30, 2026, the Company has recognized $10 million and $29 million of interest income related to the convertible notes within "Interest income" (September 30, 2025 - $9 million and $26 million), and an immaterial amount of unrealized gains in the condensed consolidated statements of operations and comprehensive income.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September 30, 2026, there were 531,772,589 shares reserved for issuance under the Company's Third Amended and Restated Stock Option Plan ("SOP") and the Third Amended and Restated Long Term Incentive Plan ("LTIP").</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stock option and Restricted Share Unit ("RSU") award activities under the Company's share-based compensation plans for the nine months ended September 30,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Shares Subject to Options Outstanding</w:t>
            </w:r>
          </w:p>
        </w:tc>
        <w:tc>
          <w:tcPr>
            <w:tcW w:w="12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Outstanding RSUs</w:t>
            </w:r>
          </w:p>
        </w:tc>
        <w:tc>
          <w:tcPr>
            <w:tcW w:w="0" w:type="dxa"/>
            <w:vAlign w:val="bottom"/>
          </w:tcPr>
          <w:p>
            <w:pPr>
              <w:spacing w:after="0"/>
              <w:rPr>
                <w:sz w:val="1"/>
                <w:szCs w:val="1"/>
                <w:color w:val="auto"/>
              </w:rPr>
            </w:pPr>
          </w:p>
        </w:tc>
      </w:tr>
      <w:tr>
        <w:trPr>
          <w:trHeight w:val="224"/>
        </w:trPr>
        <w:tc>
          <w:tcPr>
            <w:tcW w:w="2120" w:type="dxa"/>
            <w:vAlign w:val="bottom"/>
          </w:tcPr>
          <w:p>
            <w:pPr>
              <w:spacing w:after="0"/>
              <w:rPr>
                <w:sz w:val="19"/>
                <w:szCs w:val="19"/>
                <w:color w:val="auto"/>
              </w:rPr>
            </w:pPr>
          </w:p>
        </w:tc>
        <w:tc>
          <w:tcPr>
            <w:tcW w:w="12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rPr>
              <w:t>Remaining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ind w:left="11"/>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3"/>
        </w:trPr>
        <w:tc>
          <w:tcPr>
            <w:tcW w:w="2120" w:type="dxa"/>
            <w:vAlign w:val="bottom"/>
          </w:tcPr>
          <w:p>
            <w:pPr>
              <w:spacing w:after="0"/>
              <w:rPr>
                <w:sz w:val="7"/>
                <w:szCs w:val="7"/>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8"/>
              </w:rPr>
              <w:t>Options</w:t>
            </w:r>
          </w:p>
        </w:tc>
        <w:tc>
          <w:tcPr>
            <w:tcW w:w="460" w:type="dxa"/>
            <w:vAlign w:val="bottom"/>
          </w:tcPr>
          <w:p>
            <w:pPr>
              <w:jc w:val="right"/>
              <w:ind w:right="293"/>
              <w:spacing w:after="0" w:line="83" w:lineRule="exact"/>
              <w:rPr>
                <w:sz w:val="20"/>
                <w:szCs w:val="20"/>
                <w:color w:val="auto"/>
              </w:rPr>
            </w:pPr>
            <w:r>
              <w:rPr>
                <w:rFonts w:ascii="Arial" w:cs="Arial" w:eastAsia="Arial" w:hAnsi="Arial"/>
                <w:sz w:val="9"/>
                <w:szCs w:val="9"/>
                <w:b w:val="1"/>
                <w:bCs w:val="1"/>
                <w:color w:val="auto"/>
                <w:w w:val="90"/>
              </w:rPr>
              <w:t>(1)</w:t>
            </w:r>
          </w:p>
        </w:tc>
        <w:tc>
          <w:tcPr>
            <w:tcW w:w="134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Average</w:t>
            </w:r>
          </w:p>
        </w:tc>
        <w:tc>
          <w:tcPr>
            <w:tcW w:w="1420" w:type="dxa"/>
            <w:vAlign w:val="bottom"/>
          </w:tcPr>
          <w:p>
            <w:pPr>
              <w:jc w:val="center"/>
              <w:ind w:right="32"/>
              <w:spacing w:after="0" w:line="83" w:lineRule="exact"/>
              <w:rPr>
                <w:sz w:val="20"/>
                <w:szCs w:val="20"/>
                <w:color w:val="auto"/>
              </w:rPr>
            </w:pPr>
            <w:r>
              <w:rPr>
                <w:rFonts w:ascii="Arial" w:cs="Arial" w:eastAsia="Arial" w:hAnsi="Arial"/>
                <w:sz w:val="9"/>
                <w:szCs w:val="9"/>
                <w:b w:val="1"/>
                <w:bCs w:val="1"/>
                <w:color w:val="auto"/>
              </w:rPr>
              <w:t>Contractual</w:t>
            </w:r>
          </w:p>
        </w:tc>
        <w:tc>
          <w:tcPr>
            <w:tcW w:w="11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Intrinsic</w:t>
            </w:r>
          </w:p>
        </w:tc>
        <w:tc>
          <w:tcPr>
            <w:tcW w:w="140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rPr>
              <w:t>Average Grant</w:t>
            </w:r>
          </w:p>
        </w:tc>
        <w:tc>
          <w:tcPr>
            <w:tcW w:w="13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RSUs</w:t>
            </w:r>
          </w:p>
        </w:tc>
        <w:tc>
          <w:tcPr>
            <w:tcW w:w="1200" w:type="dxa"/>
            <w:vAlign w:val="bottom"/>
          </w:tcPr>
          <w:p>
            <w:pPr>
              <w:jc w:val="center"/>
              <w:ind w:left="11"/>
              <w:spacing w:after="0" w:line="83" w:lineRule="exact"/>
              <w:rPr>
                <w:sz w:val="20"/>
                <w:szCs w:val="20"/>
                <w:color w:val="auto"/>
              </w:rPr>
            </w:pPr>
            <w:r>
              <w:rPr>
                <w:rFonts w:ascii="Arial" w:cs="Arial" w:eastAsia="Arial" w:hAnsi="Arial"/>
                <w:sz w:val="9"/>
                <w:szCs w:val="9"/>
                <w:b w:val="1"/>
                <w:bCs w:val="1"/>
                <w:color w:val="auto"/>
              </w:rPr>
              <w:t>Average Grant</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Term (in years)</w:t>
            </w:r>
          </w:p>
        </w:tc>
        <w:tc>
          <w:tcPr>
            <w:tcW w:w="11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8"/>
                <w:szCs w:val="18"/>
                <w:b w:val="1"/>
                <w:bCs w:val="1"/>
                <w:color w:val="auto"/>
                <w:w w:val="92"/>
                <w:vertAlign w:val="superscript"/>
              </w:rPr>
              <w:t>(2)</w:t>
            </w: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Date Fair Value</w:t>
            </w:r>
          </w:p>
        </w:tc>
        <w:tc>
          <w:tcPr>
            <w:tcW w:w="1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0" w:type="dxa"/>
            <w:vAlign w:val="bottom"/>
            <w:gridSpan w:val="4"/>
          </w:tcPr>
          <w:p>
            <w:pPr>
              <w:jc w:val="center"/>
              <w:ind w:right="20"/>
              <w:spacing w:after="0"/>
              <w:rPr>
                <w:sz w:val="20"/>
                <w:szCs w:val="20"/>
                <w:color w:val="auto"/>
              </w:rPr>
            </w:pPr>
            <w:r>
              <w:rPr>
                <w:rFonts w:ascii="Arial" w:cs="Arial" w:eastAsia="Arial" w:hAnsi="Arial"/>
                <w:sz w:val="14"/>
                <w:szCs w:val="14"/>
                <w:color w:val="auto"/>
              </w:rPr>
              <w:t>(in US $ millions, except share and share price amounts)</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b w:val="1"/>
                <w:bCs w:val="1"/>
                <w:color w:val="auto"/>
              </w:rPr>
              <w:t>December 31, 2025</w:t>
            </w:r>
          </w:p>
        </w:tc>
        <w:tc>
          <w:tcPr>
            <w:tcW w:w="1220" w:type="dxa"/>
            <w:vAlign w:val="bottom"/>
            <w:gridSpan w:val="2"/>
            <w:shd w:val="clear" w:color="auto" w:fill="F7F7F7"/>
          </w:tcPr>
          <w:p>
            <w:pPr>
              <w:jc w:val="right"/>
              <w:ind w:right="133"/>
              <w:spacing w:after="0"/>
              <w:rPr>
                <w:sz w:val="20"/>
                <w:szCs w:val="20"/>
                <w:color w:val="auto"/>
              </w:rPr>
            </w:pPr>
            <w:r>
              <w:rPr>
                <w:rFonts w:ascii="Arial" w:cs="Arial" w:eastAsia="Arial" w:hAnsi="Arial"/>
                <w:sz w:val="14"/>
                <w:szCs w:val="14"/>
                <w:b w:val="1"/>
                <w:bCs w:val="1"/>
                <w:color w:val="auto"/>
              </w:rPr>
              <w:t>10,200,678</w:t>
            </w:r>
          </w:p>
        </w:tc>
        <w:tc>
          <w:tcPr>
            <w:tcW w:w="1340" w:type="dxa"/>
            <w:vAlign w:val="bottom"/>
            <w:shd w:val="clear" w:color="auto" w:fill="F7F7F7"/>
          </w:tcPr>
          <w:p>
            <w:pPr>
              <w:jc w:val="right"/>
              <w:ind w:right="91"/>
              <w:spacing w:after="0"/>
              <w:rPr>
                <w:sz w:val="20"/>
                <w:szCs w:val="20"/>
                <w:color w:val="auto"/>
              </w:rPr>
            </w:pPr>
            <w:r>
              <w:rPr>
                <w:rFonts w:ascii="Arial" w:cs="Arial" w:eastAsia="Arial" w:hAnsi="Arial"/>
                <w:sz w:val="14"/>
                <w:szCs w:val="14"/>
                <w:b w:val="1"/>
                <w:bCs w:val="1"/>
                <w:color w:val="auto"/>
              </w:rPr>
              <w:t>80.03</w:t>
            </w:r>
          </w:p>
        </w:tc>
        <w:tc>
          <w:tcPr>
            <w:tcW w:w="1420" w:type="dxa"/>
            <w:vAlign w:val="bottom"/>
            <w:shd w:val="clear" w:color="auto" w:fill="F7F7F7"/>
          </w:tcPr>
          <w:p>
            <w:pPr>
              <w:jc w:val="right"/>
              <w:ind w:right="112"/>
              <w:spacing w:after="0"/>
              <w:rPr>
                <w:sz w:val="20"/>
                <w:szCs w:val="20"/>
                <w:color w:val="auto"/>
              </w:rPr>
            </w:pPr>
            <w:r>
              <w:rPr>
                <w:rFonts w:ascii="Arial" w:cs="Arial" w:eastAsia="Arial" w:hAnsi="Arial"/>
                <w:sz w:val="14"/>
                <w:szCs w:val="14"/>
                <w:b w:val="1"/>
                <w:bCs w:val="1"/>
                <w:color w:val="auto"/>
              </w:rPr>
              <w:t>7.22</w:t>
            </w:r>
          </w:p>
        </w:tc>
        <w:tc>
          <w:tcPr>
            <w:tcW w:w="1180" w:type="dxa"/>
            <w:vAlign w:val="bottom"/>
            <w:shd w:val="clear" w:color="auto" w:fill="F7F7F7"/>
          </w:tcPr>
          <w:p>
            <w:pPr>
              <w:jc w:val="right"/>
              <w:ind w:right="92"/>
              <w:spacing w:after="0"/>
              <w:rPr>
                <w:sz w:val="20"/>
                <w:szCs w:val="20"/>
                <w:color w:val="auto"/>
              </w:rPr>
            </w:pPr>
            <w:r>
              <w:rPr>
                <w:rFonts w:ascii="Arial" w:cs="Arial" w:eastAsia="Arial" w:hAnsi="Arial"/>
                <w:sz w:val="14"/>
                <w:szCs w:val="14"/>
                <w:b w:val="1"/>
                <w:bCs w:val="1"/>
                <w:color w:val="auto"/>
              </w:rPr>
              <w:t>826</w:t>
            </w:r>
          </w:p>
        </w:tc>
        <w:tc>
          <w:tcPr>
            <w:tcW w:w="1400" w:type="dxa"/>
            <w:vAlign w:val="bottom"/>
            <w:gridSpan w:val="2"/>
            <w:shd w:val="clear" w:color="auto" w:fill="F7F7F7"/>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F7F7F7"/>
          </w:tcPr>
          <w:p>
            <w:pPr>
              <w:jc w:val="right"/>
              <w:ind w:right="108"/>
              <w:spacing w:after="0"/>
              <w:rPr>
                <w:sz w:val="20"/>
                <w:szCs w:val="20"/>
                <w:color w:val="auto"/>
              </w:rPr>
            </w:pPr>
            <w:r>
              <w:rPr>
                <w:rFonts w:ascii="Arial" w:cs="Arial" w:eastAsia="Arial" w:hAnsi="Arial"/>
                <w:sz w:val="14"/>
                <w:szCs w:val="14"/>
                <w:b w:val="1"/>
                <w:bCs w:val="1"/>
                <w:color w:val="auto"/>
              </w:rPr>
              <w:t>3,486,886</w:t>
            </w:r>
          </w:p>
        </w:tc>
        <w:tc>
          <w:tcPr>
            <w:tcW w:w="1200" w:type="dxa"/>
            <w:vAlign w:val="bottom"/>
            <w:shd w:val="clear" w:color="auto" w:fill="F7F7F7"/>
          </w:tcPr>
          <w:p>
            <w:pPr>
              <w:jc w:val="right"/>
              <w:spacing w:after="0"/>
              <w:rPr>
                <w:sz w:val="20"/>
                <w:szCs w:val="20"/>
                <w:color w:val="auto"/>
              </w:rPr>
            </w:pPr>
            <w:r>
              <w:rPr>
                <w:rFonts w:ascii="Arial" w:cs="Arial" w:eastAsia="Arial" w:hAnsi="Arial"/>
                <w:sz w:val="14"/>
                <w:szCs w:val="14"/>
                <w:b w:val="1"/>
                <w:bCs w:val="1"/>
                <w:color w:val="auto"/>
              </w:rPr>
              <w:t>110.16</w:t>
            </w:r>
          </w:p>
        </w:tc>
        <w:tc>
          <w:tcPr>
            <w:tcW w:w="0" w:type="dxa"/>
            <w:vAlign w:val="bottom"/>
          </w:tcPr>
          <w:p>
            <w:pPr>
              <w:spacing w:after="0"/>
              <w:rPr>
                <w:sz w:val="1"/>
                <w:szCs w:val="1"/>
                <w:color w:val="auto"/>
              </w:rPr>
            </w:pPr>
          </w:p>
        </w:tc>
      </w:tr>
      <w:tr>
        <w:trPr>
          <w:trHeight w:val="212"/>
        </w:trPr>
        <w:tc>
          <w:tcPr>
            <w:tcW w:w="2120" w:type="dxa"/>
            <w:vAlign w:val="bottom"/>
          </w:tcPr>
          <w:p>
            <w:pPr>
              <w:ind w:left="20"/>
              <w:spacing w:after="0"/>
              <w:rPr>
                <w:sz w:val="20"/>
                <w:szCs w:val="20"/>
                <w:color w:val="auto"/>
              </w:rPr>
            </w:pPr>
            <w:r>
              <w:rPr>
                <w:rFonts w:ascii="Arial" w:cs="Arial" w:eastAsia="Arial" w:hAnsi="Arial"/>
                <w:sz w:val="14"/>
                <w:szCs w:val="14"/>
                <w:color w:val="auto"/>
              </w:rPr>
              <w:t>Stock options granted</w:t>
            </w:r>
          </w:p>
        </w:tc>
        <w:tc>
          <w:tcPr>
            <w:tcW w:w="1220" w:type="dxa"/>
            <w:vAlign w:val="bottom"/>
            <w:gridSpan w:val="2"/>
          </w:tcPr>
          <w:p>
            <w:pPr>
              <w:jc w:val="right"/>
              <w:ind w:right="133"/>
              <w:spacing w:after="0"/>
              <w:rPr>
                <w:sz w:val="20"/>
                <w:szCs w:val="20"/>
                <w:color w:val="auto"/>
              </w:rPr>
            </w:pPr>
            <w:r>
              <w:rPr>
                <w:rFonts w:ascii="Arial" w:cs="Arial" w:eastAsia="Arial" w:hAnsi="Arial"/>
                <w:sz w:val="14"/>
                <w:szCs w:val="14"/>
                <w:color w:val="auto"/>
              </w:rPr>
              <w:t>3,055,469</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115.96</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53.60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Stock options exercised</w:t>
            </w:r>
          </w:p>
        </w:tc>
        <w:tc>
          <w:tcPr>
            <w:tcW w:w="1220" w:type="dxa"/>
            <w:vAlign w:val="bottom"/>
            <w:gridSpan w:val="2"/>
            <w:shd w:val="clear" w:color="auto" w:fill="F7F7F7"/>
          </w:tcPr>
          <w:p>
            <w:pPr>
              <w:jc w:val="right"/>
              <w:ind w:right="93"/>
              <w:spacing w:after="0"/>
              <w:rPr>
                <w:sz w:val="20"/>
                <w:szCs w:val="20"/>
                <w:color w:val="auto"/>
              </w:rPr>
            </w:pPr>
            <w:r>
              <w:rPr>
                <w:rFonts w:ascii="Arial" w:cs="Arial" w:eastAsia="Arial" w:hAnsi="Arial"/>
                <w:sz w:val="14"/>
                <w:szCs w:val="14"/>
                <w:color w:val="auto"/>
              </w:rPr>
              <w:t>(687,079)</w:t>
            </w:r>
          </w:p>
        </w:tc>
        <w:tc>
          <w:tcPr>
            <w:tcW w:w="1340" w:type="dxa"/>
            <w:vAlign w:val="bottom"/>
            <w:shd w:val="clear" w:color="auto" w:fill="F7F7F7"/>
          </w:tcPr>
          <w:p>
            <w:pPr>
              <w:jc w:val="right"/>
              <w:ind w:right="91"/>
              <w:spacing w:after="0"/>
              <w:rPr>
                <w:sz w:val="20"/>
                <w:szCs w:val="20"/>
                <w:color w:val="auto"/>
              </w:rPr>
            </w:pPr>
            <w:r>
              <w:rPr>
                <w:rFonts w:ascii="Arial" w:cs="Arial" w:eastAsia="Arial" w:hAnsi="Arial"/>
                <w:sz w:val="14"/>
                <w:szCs w:val="14"/>
                <w:color w:val="auto"/>
              </w:rPr>
              <w:t>35.09</w:t>
            </w:r>
          </w:p>
        </w:tc>
        <w:tc>
          <w:tcPr>
            <w:tcW w:w="1420" w:type="dxa"/>
            <w:vAlign w:val="bottom"/>
            <w:shd w:val="clear" w:color="auto" w:fill="F7F7F7"/>
          </w:tcPr>
          <w:p>
            <w:pPr>
              <w:spacing w:after="0"/>
              <w:rPr>
                <w:sz w:val="19"/>
                <w:szCs w:val="19"/>
                <w:color w:val="auto"/>
              </w:rPr>
            </w:pPr>
          </w:p>
        </w:tc>
        <w:tc>
          <w:tcPr>
            <w:tcW w:w="1180" w:type="dxa"/>
            <w:vAlign w:val="bottom"/>
            <w:shd w:val="clear" w:color="auto" w:fill="F7F7F7"/>
          </w:tcPr>
          <w:p>
            <w:pPr>
              <w:spacing w:after="0"/>
              <w:rPr>
                <w:sz w:val="19"/>
                <w:szCs w:val="19"/>
                <w:color w:val="auto"/>
              </w:rPr>
            </w:pPr>
          </w:p>
        </w:tc>
        <w:tc>
          <w:tcPr>
            <w:tcW w:w="122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360" w:type="dxa"/>
            <w:vAlign w:val="bottom"/>
            <w:shd w:val="clear" w:color="auto" w:fill="F7F7F7"/>
          </w:tcPr>
          <w:p>
            <w:pPr>
              <w:spacing w:after="0"/>
              <w:rPr>
                <w:sz w:val="19"/>
                <w:szCs w:val="19"/>
                <w:color w:val="auto"/>
              </w:rPr>
            </w:pPr>
          </w:p>
        </w:tc>
        <w:tc>
          <w:tcPr>
            <w:tcW w:w="120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20" w:type="dxa"/>
            <w:vAlign w:val="bottom"/>
          </w:tcPr>
          <w:p>
            <w:pPr>
              <w:ind w:left="20"/>
              <w:spacing w:after="0"/>
              <w:rPr>
                <w:sz w:val="20"/>
                <w:szCs w:val="20"/>
                <w:color w:val="auto"/>
              </w:rPr>
            </w:pPr>
            <w:r>
              <w:rPr>
                <w:rFonts w:ascii="Arial" w:cs="Arial" w:eastAsia="Arial" w:hAnsi="Arial"/>
                <w:sz w:val="14"/>
                <w:szCs w:val="14"/>
                <w:color w:val="auto"/>
              </w:rPr>
              <w:t>Stock options forfeited</w:t>
            </w:r>
          </w:p>
        </w:tc>
        <w:tc>
          <w:tcPr>
            <w:tcW w:w="1220" w:type="dxa"/>
            <w:vAlign w:val="bottom"/>
            <w:gridSpan w:val="2"/>
          </w:tcPr>
          <w:p>
            <w:pPr>
              <w:jc w:val="right"/>
              <w:ind w:right="93"/>
              <w:spacing w:after="0"/>
              <w:rPr>
                <w:sz w:val="20"/>
                <w:szCs w:val="20"/>
                <w:color w:val="auto"/>
              </w:rPr>
            </w:pPr>
            <w:r>
              <w:rPr>
                <w:rFonts w:ascii="Arial" w:cs="Arial" w:eastAsia="Arial" w:hAnsi="Arial"/>
                <w:sz w:val="14"/>
                <w:szCs w:val="14"/>
                <w:color w:val="auto"/>
              </w:rPr>
              <w:t>(747,307)</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82.08</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RSUs granted</w:t>
            </w:r>
          </w:p>
        </w:tc>
        <w:tc>
          <w:tcPr>
            <w:tcW w:w="760" w:type="dxa"/>
            <w:vAlign w:val="bottom"/>
            <w:shd w:val="clear" w:color="auto" w:fill="F7F7F7"/>
          </w:tcPr>
          <w:p>
            <w:pPr>
              <w:spacing w:after="0"/>
              <w:rPr>
                <w:sz w:val="19"/>
                <w:szCs w:val="19"/>
                <w:color w:val="auto"/>
              </w:rPr>
            </w:pPr>
          </w:p>
        </w:tc>
        <w:tc>
          <w:tcPr>
            <w:tcW w:w="460" w:type="dxa"/>
            <w:vAlign w:val="bottom"/>
            <w:shd w:val="clear" w:color="auto" w:fill="F7F7F7"/>
          </w:tcPr>
          <w:p>
            <w:pPr>
              <w:spacing w:after="0"/>
              <w:rPr>
                <w:sz w:val="19"/>
                <w:szCs w:val="19"/>
                <w:color w:val="auto"/>
              </w:rPr>
            </w:pPr>
          </w:p>
        </w:tc>
        <w:tc>
          <w:tcPr>
            <w:tcW w:w="1340" w:type="dxa"/>
            <w:vAlign w:val="bottom"/>
            <w:shd w:val="clear" w:color="auto" w:fill="F7F7F7"/>
          </w:tcPr>
          <w:p>
            <w:pPr>
              <w:spacing w:after="0"/>
              <w:rPr>
                <w:sz w:val="19"/>
                <w:szCs w:val="19"/>
                <w:color w:val="auto"/>
              </w:rPr>
            </w:pPr>
          </w:p>
        </w:tc>
        <w:tc>
          <w:tcPr>
            <w:tcW w:w="1420" w:type="dxa"/>
            <w:vAlign w:val="bottom"/>
            <w:shd w:val="clear" w:color="auto" w:fill="F7F7F7"/>
          </w:tcPr>
          <w:p>
            <w:pPr>
              <w:spacing w:after="0"/>
              <w:rPr>
                <w:sz w:val="19"/>
                <w:szCs w:val="19"/>
                <w:color w:val="auto"/>
              </w:rPr>
            </w:pPr>
          </w:p>
        </w:tc>
        <w:tc>
          <w:tcPr>
            <w:tcW w:w="1180" w:type="dxa"/>
            <w:vAlign w:val="bottom"/>
            <w:shd w:val="clear" w:color="auto" w:fill="F7F7F7"/>
          </w:tcPr>
          <w:p>
            <w:pPr>
              <w:spacing w:after="0"/>
              <w:rPr>
                <w:sz w:val="19"/>
                <w:szCs w:val="19"/>
                <w:color w:val="auto"/>
              </w:rPr>
            </w:pPr>
          </w:p>
        </w:tc>
        <w:tc>
          <w:tcPr>
            <w:tcW w:w="122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360" w:type="dxa"/>
            <w:vAlign w:val="bottom"/>
            <w:shd w:val="clear" w:color="auto" w:fill="F7F7F7"/>
          </w:tcPr>
          <w:p>
            <w:pPr>
              <w:jc w:val="right"/>
              <w:ind w:right="108"/>
              <w:spacing w:after="0"/>
              <w:rPr>
                <w:sz w:val="20"/>
                <w:szCs w:val="20"/>
                <w:color w:val="auto"/>
              </w:rPr>
            </w:pPr>
            <w:r>
              <w:rPr>
                <w:rFonts w:ascii="Arial" w:cs="Arial" w:eastAsia="Arial" w:hAnsi="Arial"/>
                <w:sz w:val="14"/>
                <w:szCs w:val="14"/>
                <w:color w:val="auto"/>
              </w:rPr>
              <w:t>4,306,245</w:t>
            </w:r>
          </w:p>
        </w:tc>
        <w:tc>
          <w:tcPr>
            <w:tcW w:w="12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120.47</w:t>
            </w:r>
          </w:p>
        </w:tc>
        <w:tc>
          <w:tcPr>
            <w:tcW w:w="0" w:type="dxa"/>
            <w:vAlign w:val="bottom"/>
          </w:tcPr>
          <w:p>
            <w:pPr>
              <w:spacing w:after="0"/>
              <w:rPr>
                <w:sz w:val="1"/>
                <w:szCs w:val="1"/>
                <w:color w:val="auto"/>
              </w:rPr>
            </w:pPr>
          </w:p>
        </w:tc>
      </w:tr>
      <w:tr>
        <w:trPr>
          <w:trHeight w:val="212"/>
        </w:trPr>
        <w:tc>
          <w:tcPr>
            <w:tcW w:w="2120" w:type="dxa"/>
            <w:vAlign w:val="bottom"/>
          </w:tcPr>
          <w:p>
            <w:pPr>
              <w:ind w:left="20"/>
              <w:spacing w:after="0"/>
              <w:rPr>
                <w:sz w:val="20"/>
                <w:szCs w:val="20"/>
                <w:color w:val="auto"/>
              </w:rPr>
            </w:pPr>
            <w:r>
              <w:rPr>
                <w:rFonts w:ascii="Arial" w:cs="Arial" w:eastAsia="Arial" w:hAnsi="Arial"/>
                <w:sz w:val="14"/>
                <w:szCs w:val="14"/>
                <w:color w:val="auto"/>
              </w:rPr>
              <w:t>RSUs settled</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(2,937,355)</w:t>
            </w:r>
          </w:p>
        </w:tc>
        <w:tc>
          <w:tcPr>
            <w:tcW w:w="1200" w:type="dxa"/>
            <w:vAlign w:val="bottom"/>
          </w:tcPr>
          <w:p>
            <w:pPr>
              <w:jc w:val="right"/>
              <w:spacing w:after="0"/>
              <w:rPr>
                <w:sz w:val="20"/>
                <w:szCs w:val="20"/>
                <w:color w:val="auto"/>
              </w:rPr>
            </w:pPr>
            <w:r>
              <w:rPr>
                <w:rFonts w:ascii="Arial" w:cs="Arial" w:eastAsia="Arial" w:hAnsi="Arial"/>
                <w:sz w:val="14"/>
                <w:szCs w:val="14"/>
                <w:color w:val="auto"/>
              </w:rPr>
              <w:t>112.63</w:t>
            </w:r>
          </w:p>
        </w:tc>
        <w:tc>
          <w:tcPr>
            <w:tcW w:w="0" w:type="dxa"/>
            <w:vAlign w:val="bottom"/>
          </w:tcPr>
          <w:p>
            <w:pPr>
              <w:spacing w:after="0"/>
              <w:rPr>
                <w:sz w:val="1"/>
                <w:szCs w:val="1"/>
                <w:color w:val="auto"/>
              </w:rPr>
            </w:pPr>
          </w:p>
        </w:tc>
      </w:tr>
      <w:tr>
        <w:trPr>
          <w:trHeight w:val="216"/>
        </w:trPr>
        <w:tc>
          <w:tcPr>
            <w:tcW w:w="2120" w:type="dxa"/>
            <w:vAlign w:val="bottom"/>
            <w:shd w:val="clear" w:color="auto" w:fill="F7F7F7"/>
          </w:tcPr>
          <w:p>
            <w:pPr>
              <w:ind w:left="20"/>
              <w:spacing w:after="0"/>
              <w:rPr>
                <w:sz w:val="20"/>
                <w:szCs w:val="20"/>
                <w:color w:val="auto"/>
              </w:rPr>
            </w:pPr>
            <w:r>
              <w:rPr>
                <w:rFonts w:ascii="Arial" w:cs="Arial" w:eastAsia="Arial" w:hAnsi="Arial"/>
                <w:sz w:val="14"/>
                <w:szCs w:val="14"/>
                <w:color w:val="auto"/>
              </w:rPr>
              <w:t>RSUs forfeited</w:t>
            </w:r>
          </w:p>
        </w:tc>
        <w:tc>
          <w:tcPr>
            <w:tcW w:w="760" w:type="dxa"/>
            <w:vAlign w:val="bottom"/>
            <w:tcBorders>
              <w:bottom w:val="single" w:sz="8" w:color="auto"/>
            </w:tcBorders>
            <w:shd w:val="clear" w:color="auto" w:fill="F7F7F7"/>
          </w:tcPr>
          <w:p>
            <w:pPr>
              <w:spacing w:after="0"/>
              <w:rPr>
                <w:sz w:val="18"/>
                <w:szCs w:val="18"/>
                <w:color w:val="auto"/>
              </w:rPr>
            </w:pPr>
          </w:p>
        </w:tc>
        <w:tc>
          <w:tcPr>
            <w:tcW w:w="460" w:type="dxa"/>
            <w:vAlign w:val="bottom"/>
            <w:tcBorders>
              <w:bottom w:val="single" w:sz="8" w:color="auto"/>
            </w:tcBorders>
            <w:shd w:val="clear" w:color="auto" w:fill="F7F7F7"/>
          </w:tcPr>
          <w:p>
            <w:pPr>
              <w:spacing w:after="0"/>
              <w:rPr>
                <w:sz w:val="18"/>
                <w:szCs w:val="18"/>
                <w:color w:val="auto"/>
              </w:rPr>
            </w:pPr>
          </w:p>
        </w:tc>
        <w:tc>
          <w:tcPr>
            <w:tcW w:w="1340" w:type="dxa"/>
            <w:vAlign w:val="bottom"/>
            <w:tcBorders>
              <w:bottom w:val="single" w:sz="8" w:color="auto"/>
            </w:tcBorders>
            <w:shd w:val="clear" w:color="auto" w:fill="F7F7F7"/>
          </w:tcPr>
          <w:p>
            <w:pPr>
              <w:spacing w:after="0"/>
              <w:rPr>
                <w:sz w:val="18"/>
                <w:szCs w:val="18"/>
                <w:color w:val="auto"/>
              </w:rPr>
            </w:pPr>
          </w:p>
        </w:tc>
        <w:tc>
          <w:tcPr>
            <w:tcW w:w="1420" w:type="dxa"/>
            <w:vAlign w:val="bottom"/>
            <w:tcBorders>
              <w:bottom w:val="single" w:sz="8" w:color="auto"/>
            </w:tcBorders>
            <w:shd w:val="clear" w:color="auto" w:fill="F7F7F7"/>
          </w:tcPr>
          <w:p>
            <w:pPr>
              <w:spacing w:after="0"/>
              <w:rPr>
                <w:sz w:val="18"/>
                <w:szCs w:val="18"/>
                <w:color w:val="auto"/>
              </w:rPr>
            </w:pPr>
          </w:p>
        </w:tc>
        <w:tc>
          <w:tcPr>
            <w:tcW w:w="1180" w:type="dxa"/>
            <w:vAlign w:val="bottom"/>
            <w:tcBorders>
              <w:bottom w:val="single" w:sz="8" w:color="auto"/>
            </w:tcBorders>
            <w:shd w:val="clear" w:color="auto" w:fill="F7F7F7"/>
          </w:tcPr>
          <w:p>
            <w:pPr>
              <w:spacing w:after="0"/>
              <w:rPr>
                <w:sz w:val="18"/>
                <w:szCs w:val="18"/>
                <w:color w:val="auto"/>
              </w:rPr>
            </w:pPr>
          </w:p>
        </w:tc>
        <w:tc>
          <w:tcPr>
            <w:tcW w:w="1220" w:type="dxa"/>
            <w:vAlign w:val="bottom"/>
            <w:tcBorders>
              <w:bottom w:val="single" w:sz="8" w:color="auto"/>
            </w:tcBorders>
            <w:shd w:val="clear" w:color="auto" w:fill="F7F7F7"/>
          </w:tcPr>
          <w:p>
            <w:pPr>
              <w:spacing w:after="0"/>
              <w:rPr>
                <w:sz w:val="18"/>
                <w:szCs w:val="18"/>
                <w:color w:val="auto"/>
              </w:rPr>
            </w:pPr>
          </w:p>
        </w:tc>
        <w:tc>
          <w:tcPr>
            <w:tcW w:w="180" w:type="dxa"/>
            <w:vAlign w:val="bottom"/>
            <w:tcBorders>
              <w:bottom w:val="single" w:sz="8" w:color="auto"/>
            </w:tcBorders>
            <w:shd w:val="clear" w:color="auto" w:fill="F7F7F7"/>
          </w:tcPr>
          <w:p>
            <w:pPr>
              <w:spacing w:after="0"/>
              <w:rPr>
                <w:sz w:val="18"/>
                <w:szCs w:val="18"/>
                <w:color w:val="auto"/>
              </w:rPr>
            </w:pPr>
          </w:p>
        </w:tc>
        <w:tc>
          <w:tcPr>
            <w:tcW w:w="1360" w:type="dxa"/>
            <w:vAlign w:val="bottom"/>
            <w:tcBorders>
              <w:bottom w:val="single" w:sz="8" w:color="auto"/>
            </w:tcBorders>
            <w:shd w:val="clear" w:color="auto" w:fill="F7F7F7"/>
          </w:tcPr>
          <w:p>
            <w:pPr>
              <w:jc w:val="right"/>
              <w:ind w:right="68"/>
              <w:spacing w:after="0"/>
              <w:rPr>
                <w:sz w:val="20"/>
                <w:szCs w:val="20"/>
                <w:color w:val="auto"/>
              </w:rPr>
            </w:pPr>
            <w:r>
              <w:rPr>
                <w:rFonts w:ascii="Arial" w:cs="Arial" w:eastAsia="Arial" w:hAnsi="Arial"/>
                <w:sz w:val="14"/>
                <w:szCs w:val="14"/>
                <w:color w:val="auto"/>
              </w:rPr>
              <w:t>(510,825)</w:t>
            </w: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105.96</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September 30, 2026</w:t>
            </w:r>
          </w:p>
        </w:tc>
        <w:tc>
          <w:tcPr>
            <w:tcW w:w="12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11,821,761</w:t>
            </w:r>
          </w:p>
        </w:tc>
        <w:tc>
          <w:tcPr>
            <w:tcW w:w="1340" w:type="dxa"/>
            <w:vAlign w:val="bottom"/>
          </w:tcPr>
          <w:p>
            <w:pPr>
              <w:jc w:val="right"/>
              <w:ind w:right="91"/>
              <w:spacing w:after="0"/>
              <w:rPr>
                <w:sz w:val="20"/>
                <w:szCs w:val="20"/>
                <w:color w:val="auto"/>
              </w:rPr>
            </w:pPr>
            <w:r>
              <w:rPr>
                <w:rFonts w:ascii="Arial" w:cs="Arial" w:eastAsia="Arial" w:hAnsi="Arial"/>
                <w:sz w:val="14"/>
                <w:szCs w:val="14"/>
                <w:b w:val="1"/>
                <w:bCs w:val="1"/>
                <w:color w:val="auto"/>
              </w:rPr>
              <w:t>91.80</w:t>
            </w: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rPr>
              <w:t>7.27</w:t>
            </w: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rPr>
              <w:t>304</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4,344,951</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119.20</w:t>
            </w:r>
          </w:p>
        </w:tc>
        <w:tc>
          <w:tcPr>
            <w:tcW w:w="0" w:type="dxa"/>
            <w:vAlign w:val="bottom"/>
          </w:tcPr>
          <w:p>
            <w:pPr>
              <w:spacing w:after="0"/>
              <w:rPr>
                <w:sz w:val="1"/>
                <w:szCs w:val="1"/>
                <w:color w:val="auto"/>
              </w:rPr>
            </w:pPr>
          </w:p>
        </w:tc>
      </w:tr>
      <w:tr>
        <w:trPr>
          <w:trHeight w:val="109"/>
        </w:trPr>
        <w:tc>
          <w:tcPr>
            <w:tcW w:w="2120" w:type="dxa"/>
            <w:vAlign w:val="bottom"/>
            <w:shd w:val="clear" w:color="auto" w:fill="F7F7F7"/>
          </w:tcPr>
          <w:p>
            <w:pPr>
              <w:spacing w:after="0"/>
              <w:rPr>
                <w:sz w:val="9"/>
                <w:szCs w:val="9"/>
                <w:color w:val="auto"/>
              </w:rPr>
            </w:pPr>
          </w:p>
        </w:tc>
        <w:tc>
          <w:tcPr>
            <w:tcW w:w="760" w:type="dxa"/>
            <w:vAlign w:val="bottom"/>
            <w:shd w:val="clear" w:color="auto" w:fill="F7F7F7"/>
          </w:tcPr>
          <w:p>
            <w:pPr>
              <w:spacing w:after="0"/>
              <w:rPr>
                <w:sz w:val="9"/>
                <w:szCs w:val="9"/>
                <w:color w:val="auto"/>
              </w:rPr>
            </w:pPr>
          </w:p>
        </w:tc>
        <w:tc>
          <w:tcPr>
            <w:tcW w:w="460" w:type="dxa"/>
            <w:vAlign w:val="bottom"/>
            <w:shd w:val="clear" w:color="auto" w:fill="F7F7F7"/>
          </w:tcPr>
          <w:p>
            <w:pPr>
              <w:spacing w:after="0"/>
              <w:rPr>
                <w:sz w:val="9"/>
                <w:szCs w:val="9"/>
                <w:color w:val="auto"/>
              </w:rPr>
            </w:pPr>
          </w:p>
        </w:tc>
        <w:tc>
          <w:tcPr>
            <w:tcW w:w="1340" w:type="dxa"/>
            <w:vAlign w:val="bottom"/>
            <w:shd w:val="clear" w:color="auto" w:fill="F7F7F7"/>
          </w:tcPr>
          <w:p>
            <w:pPr>
              <w:spacing w:after="0"/>
              <w:rPr>
                <w:sz w:val="9"/>
                <w:szCs w:val="9"/>
                <w:color w:val="auto"/>
              </w:rPr>
            </w:pPr>
          </w:p>
        </w:tc>
        <w:tc>
          <w:tcPr>
            <w:tcW w:w="1420" w:type="dxa"/>
            <w:vAlign w:val="bottom"/>
            <w:shd w:val="clear" w:color="auto" w:fill="F7F7F7"/>
          </w:tcPr>
          <w:p>
            <w:pPr>
              <w:spacing w:after="0"/>
              <w:rPr>
                <w:sz w:val="9"/>
                <w:szCs w:val="9"/>
                <w:color w:val="auto"/>
              </w:rPr>
            </w:pPr>
          </w:p>
        </w:tc>
        <w:tc>
          <w:tcPr>
            <w:tcW w:w="1180" w:type="dxa"/>
            <w:vAlign w:val="bottom"/>
            <w:shd w:val="clear" w:color="auto" w:fill="F7F7F7"/>
          </w:tcPr>
          <w:p>
            <w:pPr>
              <w:spacing w:after="0"/>
              <w:rPr>
                <w:sz w:val="9"/>
                <w:szCs w:val="9"/>
                <w:color w:val="auto"/>
              </w:rPr>
            </w:pPr>
          </w:p>
        </w:tc>
        <w:tc>
          <w:tcPr>
            <w:tcW w:w="1220" w:type="dxa"/>
            <w:vAlign w:val="bottom"/>
            <w:shd w:val="clear" w:color="auto" w:fill="F7F7F7"/>
          </w:tcPr>
          <w:p>
            <w:pPr>
              <w:spacing w:after="0"/>
              <w:rPr>
                <w:sz w:val="9"/>
                <w:szCs w:val="9"/>
                <w:color w:val="auto"/>
              </w:rPr>
            </w:pPr>
          </w:p>
        </w:tc>
        <w:tc>
          <w:tcPr>
            <w:tcW w:w="180" w:type="dxa"/>
            <w:vAlign w:val="bottom"/>
            <w:shd w:val="clear" w:color="auto" w:fill="F7F7F7"/>
          </w:tcPr>
          <w:p>
            <w:pPr>
              <w:spacing w:after="0"/>
              <w:rPr>
                <w:sz w:val="9"/>
                <w:szCs w:val="9"/>
                <w:color w:val="auto"/>
              </w:rPr>
            </w:pPr>
          </w:p>
        </w:tc>
        <w:tc>
          <w:tcPr>
            <w:tcW w:w="1360" w:type="dxa"/>
            <w:vAlign w:val="bottom"/>
            <w:shd w:val="clear" w:color="auto" w:fill="F7F7F7"/>
          </w:tcPr>
          <w:p>
            <w:pPr>
              <w:spacing w:after="0"/>
              <w:rPr>
                <w:sz w:val="9"/>
                <w:szCs w:val="9"/>
                <w:color w:val="auto"/>
              </w:rPr>
            </w:pPr>
          </w:p>
        </w:tc>
        <w:tc>
          <w:tcPr>
            <w:tcW w:w="1200" w:type="dxa"/>
            <w:vAlign w:val="bottom"/>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rPr>
                <w:sz w:val="20"/>
                <w:szCs w:val="20"/>
                <w:color w:val="auto"/>
              </w:rPr>
            </w:pPr>
            <w:r>
              <w:rPr>
                <w:rFonts w:ascii="Arial" w:cs="Arial" w:eastAsia="Arial" w:hAnsi="Arial"/>
                <w:sz w:val="14"/>
                <w:szCs w:val="14"/>
                <w:color w:val="auto"/>
              </w:rPr>
              <w:t>Stock options exercisable as of</w:t>
            </w:r>
          </w:p>
        </w:tc>
        <w:tc>
          <w:tcPr>
            <w:tcW w:w="1220" w:type="dxa"/>
            <w:vAlign w:val="bottom"/>
            <w:gridSpan w:val="2"/>
            <w:vMerge w:val="restart"/>
          </w:tcPr>
          <w:p>
            <w:pPr>
              <w:jc w:val="right"/>
              <w:ind w:right="133"/>
              <w:spacing w:after="0"/>
              <w:rPr>
                <w:sz w:val="20"/>
                <w:szCs w:val="20"/>
                <w:color w:val="auto"/>
              </w:rPr>
            </w:pPr>
            <w:r>
              <w:rPr>
                <w:rFonts w:ascii="Arial" w:cs="Arial" w:eastAsia="Arial" w:hAnsi="Arial"/>
                <w:sz w:val="14"/>
                <w:szCs w:val="14"/>
                <w:color w:val="auto"/>
              </w:rPr>
              <w:t>5,369,082</w:t>
            </w:r>
          </w:p>
        </w:tc>
        <w:tc>
          <w:tcPr>
            <w:tcW w:w="1340" w:type="dxa"/>
            <w:vAlign w:val="bottom"/>
            <w:vMerge w:val="restart"/>
          </w:tcPr>
          <w:p>
            <w:pPr>
              <w:jc w:val="right"/>
              <w:ind w:right="91"/>
              <w:spacing w:after="0"/>
              <w:rPr>
                <w:sz w:val="20"/>
                <w:szCs w:val="20"/>
                <w:color w:val="auto"/>
              </w:rPr>
            </w:pPr>
            <w:r>
              <w:rPr>
                <w:rFonts w:ascii="Arial" w:cs="Arial" w:eastAsia="Arial" w:hAnsi="Arial"/>
                <w:sz w:val="14"/>
                <w:szCs w:val="14"/>
                <w:color w:val="auto"/>
              </w:rPr>
              <w:t>79.69</w:t>
            </w: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color w:val="auto"/>
              </w:rPr>
              <w:t>5.81</w:t>
            </w:r>
          </w:p>
        </w:tc>
        <w:tc>
          <w:tcPr>
            <w:tcW w:w="1180" w:type="dxa"/>
            <w:vAlign w:val="bottom"/>
            <w:vMerge w:val="restart"/>
          </w:tcPr>
          <w:p>
            <w:pPr>
              <w:jc w:val="right"/>
              <w:ind w:right="92"/>
              <w:spacing w:after="0"/>
              <w:rPr>
                <w:sz w:val="20"/>
                <w:szCs w:val="20"/>
                <w:color w:val="auto"/>
              </w:rPr>
            </w:pPr>
            <w:r>
              <w:rPr>
                <w:rFonts w:ascii="Arial" w:cs="Arial" w:eastAsia="Arial" w:hAnsi="Arial"/>
                <w:sz w:val="14"/>
                <w:szCs w:val="14"/>
                <w:color w:val="auto"/>
              </w:rPr>
              <w:t>216</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September 30, 2026</w:t>
            </w:r>
          </w:p>
        </w:tc>
        <w:tc>
          <w:tcPr>
            <w:tcW w:w="12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8"/>
        <w:spacing w:after="0" w:line="305" w:lineRule="auto"/>
        <w:tabs>
          <w:tab w:leader="none" w:pos="161" w:val="left"/>
        </w:tabs>
        <w:numPr>
          <w:ilvl w:val="0"/>
          <w:numId w:val="12"/>
        </w:numPr>
        <w:rPr>
          <w:rFonts w:ascii="Arial" w:cs="Arial" w:eastAsia="Arial" w:hAnsi="Arial"/>
          <w:sz w:val="9"/>
          <w:szCs w:val="9"/>
          <w:color w:val="auto"/>
        </w:rPr>
      </w:pPr>
      <w:r>
        <w:rPr>
          <w:rFonts w:ascii="Arial" w:cs="Arial" w:eastAsia="Arial" w:hAnsi="Arial"/>
          <w:sz w:val="14"/>
          <w:szCs w:val="14"/>
          <w:color w:val="auto"/>
        </w:rPr>
        <w:t>As of September 30, 2026, 11,815,800 of the outstanding stock options were granted under the Company's SOP and are exercisable for Class A subordinate voting shares and 5,961 of the outstanding stock options were granted under the Deliverr 2017 Stock Option and Grant Plan and are exercisable for Class A subordinate voting shares.</w:t>
      </w:r>
    </w:p>
    <w:p>
      <w:pPr>
        <w:spacing w:after="0" w:line="76" w:lineRule="exact"/>
        <w:rPr>
          <w:rFonts w:ascii="Arial" w:cs="Arial" w:eastAsia="Arial" w:hAnsi="Arial"/>
          <w:sz w:val="9"/>
          <w:szCs w:val="9"/>
          <w:color w:val="auto"/>
        </w:rPr>
      </w:pPr>
    </w:p>
    <w:p>
      <w:pPr>
        <w:ind w:firstLine="8"/>
        <w:spacing w:after="0" w:line="305" w:lineRule="auto"/>
        <w:tabs>
          <w:tab w:leader="none" w:pos="159"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aggregate intrinsic value is calculated as the difference between the exercise price of the underlying stock option awards and the closing market price of the Company's Class A subordinate voting shares as of September 30, 2026 and December 31, 2025.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the Company had issued 6,168 deferred share units ("DSUs") under its LTIP.</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acquisition of Vantage Discovery Inc. in the first quarter of 2025, 252,257 Class A subordinate voting shares were issued with trading restrictions. The restrictions on these shares are lifted over time and are being accounted for as stock-based compensation as the vesting is contingent on continued employment and therefore related to post-combination services. As of September 30, 2026, 157,663 of the Class A subordinate voting shares remained restricted.</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illustrates the classification of stock-based compensation expense in the condensed consolidated statements of operations and comprehensive income, which includes both stock-based compensation and restricted stock-compensation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3360" w:type="dxa"/>
            <w:vAlign w:val="bottom"/>
            <w:gridSpan w:val="3"/>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660" w:type="dxa"/>
            <w:vAlign w:val="bottom"/>
            <w:tcBorders>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0" w:type="dxa"/>
            <w:vAlign w:val="bottom"/>
            <w:gridSpan w:val="3"/>
          </w:tcPr>
          <w:p>
            <w:pPr>
              <w:jc w:val="right"/>
              <w:ind w:right="1219"/>
              <w:spacing w:after="0"/>
              <w:rPr>
                <w:sz w:val="20"/>
                <w:szCs w:val="20"/>
                <w:color w:val="auto"/>
              </w:rPr>
            </w:pPr>
            <w:r>
              <w:rPr>
                <w:rFonts w:ascii="Arial" w:cs="Arial" w:eastAsia="Arial" w:hAnsi="Arial"/>
                <w:sz w:val="16"/>
                <w:szCs w:val="16"/>
                <w:color w:val="auto"/>
              </w:rPr>
              <w:t>(in US $ millions)</w:t>
            </w:r>
          </w:p>
        </w:tc>
        <w:tc>
          <w:tcPr>
            <w:tcW w:w="1380" w:type="dxa"/>
            <w:vAlign w:val="bottom"/>
          </w:tcPr>
          <w:p>
            <w:pPr>
              <w:spacing w:after="0"/>
              <w:rPr>
                <w:sz w:val="19"/>
                <w:szCs w:val="19"/>
                <w:color w:val="auto"/>
              </w:rPr>
            </w:pPr>
          </w:p>
        </w:tc>
      </w:tr>
      <w:tr>
        <w:trPr>
          <w:trHeight w:val="230"/>
        </w:trPr>
        <w:tc>
          <w:tcPr>
            <w:tcW w:w="466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180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1</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w:t>
            </w:r>
          </w:p>
        </w:tc>
        <w:tc>
          <w:tcPr>
            <w:tcW w:w="180" w:type="dxa"/>
            <w:vAlign w:val="bottom"/>
            <w:shd w:val="clear" w:color="auto" w:fill="F7F7F7"/>
          </w:tcPr>
          <w:p>
            <w:pPr>
              <w:spacing w:after="0"/>
              <w:rPr>
                <w:sz w:val="20"/>
                <w:szCs w:val="20"/>
                <w:color w:val="auto"/>
              </w:rPr>
            </w:pPr>
          </w:p>
        </w:tc>
        <w:tc>
          <w:tcPr>
            <w:tcW w:w="1840" w:type="dxa"/>
            <w:vAlign w:val="bottom"/>
            <w:shd w:val="clear" w:color="auto" w:fill="F7F7F7"/>
          </w:tcPr>
          <w:p>
            <w:pPr>
              <w:jc w:val="right"/>
              <w:ind w:right="379"/>
              <w:spacing w:after="0"/>
              <w:rPr>
                <w:sz w:val="20"/>
                <w:szCs w:val="20"/>
                <w:color w:val="auto"/>
              </w:rPr>
            </w:pPr>
            <w:r>
              <w:rPr>
                <w:rFonts w:ascii="Arial" w:cs="Arial" w:eastAsia="Arial" w:hAnsi="Arial"/>
                <w:sz w:val="16"/>
                <w:szCs w:val="16"/>
                <w:color w:val="auto"/>
              </w:rPr>
              <w:t>4</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31</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35</w:t>
            </w:r>
          </w:p>
        </w:tc>
      </w:tr>
      <w:tr>
        <w:trPr>
          <w:trHeight w:val="230"/>
        </w:trPr>
        <w:tc>
          <w:tcPr>
            <w:tcW w:w="46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180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99</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73</w:t>
            </w:r>
          </w:p>
        </w:tc>
        <w:tc>
          <w:tcPr>
            <w:tcW w:w="180" w:type="dxa"/>
            <w:vAlign w:val="bottom"/>
            <w:shd w:val="clear" w:color="auto" w:fill="F7F7F7"/>
          </w:tcPr>
          <w:p>
            <w:pPr>
              <w:spacing w:after="0"/>
              <w:rPr>
                <w:sz w:val="20"/>
                <w:szCs w:val="20"/>
                <w:color w:val="auto"/>
              </w:rPr>
            </w:pPr>
          </w:p>
        </w:tc>
        <w:tc>
          <w:tcPr>
            <w:tcW w:w="1840" w:type="dxa"/>
            <w:vAlign w:val="bottom"/>
            <w:shd w:val="clear" w:color="auto" w:fill="F7F7F7"/>
          </w:tcPr>
          <w:p>
            <w:pPr>
              <w:jc w:val="right"/>
              <w:ind w:right="379"/>
              <w:spacing w:after="0"/>
              <w:rPr>
                <w:sz w:val="20"/>
                <w:szCs w:val="20"/>
                <w:color w:val="auto"/>
              </w:rPr>
            </w:pPr>
            <w:r>
              <w:rPr>
                <w:rFonts w:ascii="Arial" w:cs="Arial" w:eastAsia="Arial" w:hAnsi="Arial"/>
                <w:sz w:val="16"/>
                <w:szCs w:val="16"/>
                <w:color w:val="auto"/>
              </w:rPr>
              <w:t>282</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232</w:t>
            </w:r>
          </w:p>
        </w:tc>
      </w:tr>
      <w:tr>
        <w:trPr>
          <w:trHeight w:val="228"/>
        </w:trPr>
        <w:tc>
          <w:tcPr>
            <w:tcW w:w="466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F7F7F7"/>
            </w:tcBorders>
          </w:tcPr>
          <w:p>
            <w:pPr>
              <w:spacing w:after="0"/>
              <w:rPr>
                <w:sz w:val="19"/>
                <w:szCs w:val="19"/>
                <w:color w:val="auto"/>
              </w:rPr>
            </w:pPr>
          </w:p>
        </w:tc>
        <w:tc>
          <w:tcPr>
            <w:tcW w:w="1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83</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w:t>
            </w:r>
          </w:p>
        </w:tc>
      </w:tr>
      <w:tr>
        <w:trPr>
          <w:trHeight w:val="224"/>
        </w:trPr>
        <w:tc>
          <w:tcPr>
            <w:tcW w:w="4660" w:type="dxa"/>
            <w:vAlign w:val="bottom"/>
            <w:shd w:val="clear" w:color="auto" w:fill="F7F7F7"/>
          </w:tcPr>
          <w:p>
            <w:pPr>
              <w:spacing w:after="0"/>
              <w:rPr>
                <w:sz w:val="19"/>
                <w:szCs w:val="19"/>
                <w:color w:val="auto"/>
              </w:rPr>
            </w:pPr>
          </w:p>
        </w:tc>
        <w:tc>
          <w:tcPr>
            <w:tcW w:w="1800" w:type="dxa"/>
            <w:vAlign w:val="bottom"/>
            <w:shd w:val="clear" w:color="auto" w:fill="F7F7F7"/>
          </w:tcPr>
          <w:p>
            <w:pPr>
              <w:jc w:val="right"/>
              <w:ind w:right="359"/>
              <w:spacing w:after="0"/>
              <w:rPr>
                <w:sz w:val="20"/>
                <w:szCs w:val="20"/>
                <w:color w:val="auto"/>
              </w:rPr>
            </w:pPr>
            <w:r>
              <w:rPr>
                <w:rFonts w:ascii="Arial" w:cs="Arial" w:eastAsia="Arial" w:hAnsi="Arial"/>
                <w:sz w:val="16"/>
                <w:szCs w:val="16"/>
                <w:color w:val="auto"/>
              </w:rPr>
              <w:t>140</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F7F7F7"/>
          </w:tcPr>
          <w:p>
            <w:pPr>
              <w:spacing w:after="0"/>
              <w:rPr>
                <w:sz w:val="19"/>
                <w:szCs w:val="19"/>
                <w:color w:val="auto"/>
              </w:rPr>
            </w:pPr>
          </w:p>
        </w:tc>
        <w:tc>
          <w:tcPr>
            <w:tcW w:w="1840" w:type="dxa"/>
            <w:vAlign w:val="bottom"/>
            <w:shd w:val="clear" w:color="auto" w:fill="F7F7F7"/>
          </w:tcPr>
          <w:p>
            <w:pPr>
              <w:jc w:val="right"/>
              <w:ind w:right="379"/>
              <w:spacing w:after="0"/>
              <w:rPr>
                <w:sz w:val="20"/>
                <w:szCs w:val="20"/>
                <w:color w:val="auto"/>
              </w:rPr>
            </w:pPr>
            <w:r>
              <w:rPr>
                <w:rFonts w:ascii="Arial" w:cs="Arial" w:eastAsia="Arial" w:hAnsi="Arial"/>
                <w:sz w:val="16"/>
                <w:szCs w:val="16"/>
                <w:color w:val="auto"/>
              </w:rPr>
              <w:t>400</w:t>
            </w:r>
          </w:p>
        </w:tc>
        <w:tc>
          <w:tcPr>
            <w:tcW w:w="138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334</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2026, the Company's Board of Directors authorized an additional $3 billion of the Company's outstanding Class A subordinate voting shares, in addition to the $2 billion previously authorized, bringing its aggregate share repurchase authorization to $5 billion.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 activity under our share repurchase program for the nine months ended September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68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 Price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 Shares</w:t>
            </w:r>
          </w:p>
        </w:tc>
        <w:tc>
          <w:tcPr>
            <w:tcW w:w="1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Remaining Amount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Repurchased</w:t>
            </w:r>
            <w:r>
              <w:rPr>
                <w:rFonts w:ascii="Arial" w:cs="Arial" w:eastAsia="Arial" w:hAnsi="Arial"/>
                <w:sz w:val="21"/>
                <w:szCs w:val="21"/>
                <w:b w:val="1"/>
                <w:bCs w:val="1"/>
                <w:color w:val="auto"/>
                <w:w w:val="97"/>
                <w:vertAlign w:val="superscript"/>
              </w:rPr>
              <w:t>(1)</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1"/>
                <w:szCs w:val="21"/>
                <w:b w:val="1"/>
                <w:bCs w:val="1"/>
                <w:color w:val="auto"/>
                <w:w w:val="94"/>
                <w:vertAlign w:val="superscript"/>
              </w:rPr>
              <w:t>(2)</w:t>
            </w: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Repurchased</w:t>
            </w:r>
            <w:r>
              <w:rPr>
                <w:rFonts w:ascii="Arial" w:cs="Arial" w:eastAsia="Arial" w:hAnsi="Arial"/>
                <w:sz w:val="21"/>
                <w:szCs w:val="21"/>
                <w:b w:val="1"/>
                <w:bCs w:val="1"/>
                <w:color w:val="auto"/>
                <w:w w:val="97"/>
                <w:vertAlign w:val="superscript"/>
              </w:rPr>
              <w:t>(2)</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Authorized</w:t>
            </w: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5720" w:type="dxa"/>
            <w:vAlign w:val="bottom"/>
            <w:gridSpan w:val="5"/>
          </w:tcPr>
          <w:p>
            <w:pPr>
              <w:jc w:val="right"/>
              <w:ind w:right="59"/>
              <w:spacing w:after="0"/>
              <w:rPr>
                <w:sz w:val="20"/>
                <w:szCs w:val="20"/>
                <w:color w:val="auto"/>
              </w:rPr>
            </w:pPr>
            <w:r>
              <w:rPr>
                <w:rFonts w:ascii="Arial" w:cs="Arial" w:eastAsia="Arial" w:hAnsi="Arial"/>
                <w:sz w:val="16"/>
                <w:szCs w:val="16"/>
                <w:color w:val="auto"/>
              </w:rPr>
              <w:t>(in US $ millions, except share and share price amounts)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80" w:type="dxa"/>
            <w:vAlign w:val="bottom"/>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720" w:type="dxa"/>
            <w:vAlign w:val="bottom"/>
            <w:shd w:val="clear" w:color="auto" w:fill="F7F7F7"/>
          </w:tcPr>
          <w:p>
            <w:pPr>
              <w:spacing w:after="0"/>
              <w:rPr>
                <w:sz w:val="20"/>
                <w:szCs w:val="20"/>
                <w:color w:val="auto"/>
              </w:rPr>
            </w:pPr>
          </w:p>
        </w:tc>
        <w:tc>
          <w:tcPr>
            <w:tcW w:w="220" w:type="dxa"/>
            <w:vAlign w:val="bottom"/>
            <w:shd w:val="clear" w:color="auto" w:fill="F7F7F7"/>
          </w:tcPr>
          <w:p>
            <w:pPr>
              <w:spacing w:after="0"/>
              <w:rPr>
                <w:sz w:val="20"/>
                <w:szCs w:val="20"/>
                <w:color w:val="auto"/>
              </w:rPr>
            </w:pPr>
          </w:p>
        </w:tc>
        <w:tc>
          <w:tcPr>
            <w:tcW w:w="1680" w:type="dxa"/>
            <w:vAlign w:val="bottom"/>
            <w:shd w:val="clear" w:color="auto" w:fill="F7F7F7"/>
          </w:tcPr>
          <w:p>
            <w:pPr>
              <w:spacing w:after="0"/>
              <w:rPr>
                <w:sz w:val="20"/>
                <w:szCs w:val="20"/>
                <w:color w:val="auto"/>
              </w:rPr>
            </w:pPr>
          </w:p>
        </w:tc>
        <w:tc>
          <w:tcPr>
            <w:tcW w:w="1720" w:type="dxa"/>
            <w:vAlign w:val="bottom"/>
            <w:shd w:val="clear" w:color="auto" w:fill="F7F7F7"/>
          </w:tcPr>
          <w:p>
            <w:pPr>
              <w:spacing w:after="0"/>
              <w:rPr>
                <w:sz w:val="20"/>
                <w:szCs w:val="20"/>
                <w:color w:val="auto"/>
              </w:rPr>
            </w:pPr>
          </w:p>
        </w:tc>
        <w:tc>
          <w:tcPr>
            <w:tcW w:w="3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080" w:type="dxa"/>
            <w:vAlign w:val="bottom"/>
          </w:tcPr>
          <w:p>
            <w:pPr>
              <w:ind w:left="240"/>
              <w:spacing w:after="0" w:line="175" w:lineRule="exact"/>
              <w:rPr>
                <w:sz w:val="20"/>
                <w:szCs w:val="20"/>
                <w:color w:val="auto"/>
              </w:rPr>
            </w:pPr>
            <w:r>
              <w:rPr>
                <w:rFonts w:ascii="Arial" w:cs="Arial" w:eastAsia="Arial" w:hAnsi="Arial"/>
                <w:sz w:val="16"/>
                <w:szCs w:val="16"/>
                <w:color w:val="auto"/>
              </w:rPr>
              <w:t>Authorization of share repurchases in the first quarter</w:t>
            </w: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of 2026</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F7F7F7"/>
          </w:tcPr>
          <w:p>
            <w:pPr>
              <w:ind w:left="240"/>
              <w:spacing w:after="0" w:line="176" w:lineRule="exact"/>
              <w:rPr>
                <w:sz w:val="20"/>
                <w:szCs w:val="20"/>
                <w:color w:val="auto"/>
              </w:rPr>
            </w:pPr>
            <w:r>
              <w:rPr>
                <w:rFonts w:ascii="Arial" w:cs="Arial" w:eastAsia="Arial" w:hAnsi="Arial"/>
                <w:sz w:val="16"/>
                <w:szCs w:val="16"/>
                <w:color w:val="auto"/>
              </w:rPr>
              <w:t>Authorization of additional share repurchases in the</w:t>
            </w:r>
          </w:p>
        </w:tc>
        <w:tc>
          <w:tcPr>
            <w:tcW w:w="1720" w:type="dxa"/>
            <w:vAlign w:val="bottom"/>
            <w:shd w:val="clear" w:color="auto" w:fill="F7F7F7"/>
          </w:tcPr>
          <w:p>
            <w:pPr>
              <w:spacing w:after="0"/>
              <w:rPr>
                <w:sz w:val="15"/>
                <w:szCs w:val="15"/>
                <w:color w:val="auto"/>
              </w:rPr>
            </w:pPr>
          </w:p>
        </w:tc>
        <w:tc>
          <w:tcPr>
            <w:tcW w:w="220" w:type="dxa"/>
            <w:vAlign w:val="bottom"/>
            <w:shd w:val="clear" w:color="auto" w:fill="F7F7F7"/>
          </w:tcPr>
          <w:p>
            <w:pPr>
              <w:spacing w:after="0"/>
              <w:rPr>
                <w:sz w:val="15"/>
                <w:szCs w:val="15"/>
                <w:color w:val="auto"/>
              </w:rPr>
            </w:pPr>
          </w:p>
        </w:tc>
        <w:tc>
          <w:tcPr>
            <w:tcW w:w="1680" w:type="dxa"/>
            <w:vAlign w:val="bottom"/>
            <w:shd w:val="clear" w:color="auto" w:fill="F7F7F7"/>
          </w:tcPr>
          <w:p>
            <w:pPr>
              <w:spacing w:after="0"/>
              <w:rPr>
                <w:sz w:val="15"/>
                <w:szCs w:val="15"/>
                <w:color w:val="auto"/>
              </w:rPr>
            </w:pPr>
          </w:p>
        </w:tc>
        <w:tc>
          <w:tcPr>
            <w:tcW w:w="1720" w:type="dxa"/>
            <w:vAlign w:val="bottom"/>
            <w:shd w:val="clear" w:color="auto" w:fill="F7F7F7"/>
          </w:tcPr>
          <w:p>
            <w:pPr>
              <w:spacing w:after="0"/>
              <w:rPr>
                <w:sz w:val="15"/>
                <w:szCs w:val="15"/>
                <w:color w:val="auto"/>
              </w:rPr>
            </w:pPr>
          </w:p>
        </w:tc>
        <w:tc>
          <w:tcPr>
            <w:tcW w:w="380" w:type="dxa"/>
            <w:vAlign w:val="bottom"/>
            <w:shd w:val="clear" w:color="auto" w:fill="F7F7F7"/>
          </w:tcPr>
          <w:p>
            <w:pPr>
              <w:spacing w:after="0"/>
              <w:rPr>
                <w:sz w:val="15"/>
                <w:szCs w:val="15"/>
                <w:color w:val="auto"/>
              </w:rPr>
            </w:pPr>
          </w:p>
        </w:tc>
        <w:tc>
          <w:tcPr>
            <w:tcW w:w="138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4080" w:type="dxa"/>
            <w:vAlign w:val="bottom"/>
            <w:shd w:val="clear" w:color="auto" w:fill="F7F7F7"/>
          </w:tcPr>
          <w:p>
            <w:pPr>
              <w:ind w:left="240"/>
              <w:spacing w:after="0"/>
              <w:rPr>
                <w:sz w:val="20"/>
                <w:szCs w:val="20"/>
                <w:color w:val="auto"/>
              </w:rPr>
            </w:pPr>
            <w:r>
              <w:rPr>
                <w:rFonts w:ascii="Arial" w:cs="Arial" w:eastAsia="Arial" w:hAnsi="Arial"/>
                <w:sz w:val="16"/>
                <w:szCs w:val="16"/>
                <w:color w:val="auto"/>
              </w:rPr>
              <w:t>second quarter of 2026</w:t>
            </w:r>
          </w:p>
        </w:tc>
        <w:tc>
          <w:tcPr>
            <w:tcW w:w="1720" w:type="dxa"/>
            <w:vAlign w:val="bottom"/>
            <w:shd w:val="clear" w:color="auto" w:fill="F7F7F7"/>
          </w:tcPr>
          <w:p>
            <w:pPr>
              <w:spacing w:after="0"/>
              <w:rPr>
                <w:sz w:val="18"/>
                <w:szCs w:val="18"/>
                <w:color w:val="auto"/>
              </w:rPr>
            </w:pPr>
          </w:p>
        </w:tc>
        <w:tc>
          <w:tcPr>
            <w:tcW w:w="220" w:type="dxa"/>
            <w:vAlign w:val="bottom"/>
            <w:shd w:val="clear" w:color="auto" w:fill="F7F7F7"/>
          </w:tcPr>
          <w:p>
            <w:pPr>
              <w:spacing w:after="0"/>
              <w:rPr>
                <w:sz w:val="18"/>
                <w:szCs w:val="18"/>
                <w:color w:val="auto"/>
              </w:rPr>
            </w:pPr>
          </w:p>
        </w:tc>
        <w:tc>
          <w:tcPr>
            <w:tcW w:w="1680" w:type="dxa"/>
            <w:vAlign w:val="bottom"/>
            <w:shd w:val="clear" w:color="auto" w:fill="F7F7F7"/>
          </w:tcPr>
          <w:p>
            <w:pPr>
              <w:spacing w:after="0"/>
              <w:rPr>
                <w:sz w:val="18"/>
                <w:szCs w:val="18"/>
                <w:color w:val="auto"/>
              </w:rPr>
            </w:pPr>
          </w:p>
        </w:tc>
        <w:tc>
          <w:tcPr>
            <w:tcW w:w="1720" w:type="dxa"/>
            <w:vAlign w:val="bottom"/>
            <w:shd w:val="clear" w:color="auto" w:fill="F7F7F7"/>
          </w:tcPr>
          <w:p>
            <w:pPr>
              <w:spacing w:after="0"/>
              <w:rPr>
                <w:sz w:val="18"/>
                <w:szCs w:val="18"/>
                <w:color w:val="auto"/>
              </w:rPr>
            </w:pPr>
          </w:p>
        </w:tc>
        <w:tc>
          <w:tcPr>
            <w:tcW w:w="380" w:type="dxa"/>
            <w:vAlign w:val="bottom"/>
            <w:shd w:val="clear" w:color="auto" w:fill="F7F7F7"/>
          </w:tcPr>
          <w:p>
            <w:pPr>
              <w:spacing w:after="0"/>
              <w:rPr>
                <w:sz w:val="18"/>
                <w:szCs w:val="18"/>
                <w:color w:val="auto"/>
              </w:rPr>
            </w:pPr>
          </w:p>
        </w:tc>
        <w:tc>
          <w:tcPr>
            <w:tcW w:w="138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40"/>
              <w:spacing w:after="0" w:line="175" w:lineRule="exact"/>
              <w:rPr>
                <w:sz w:val="20"/>
                <w:szCs w:val="20"/>
                <w:color w:val="auto"/>
              </w:rPr>
            </w:pPr>
            <w:r>
              <w:rPr>
                <w:rFonts w:ascii="Arial" w:cs="Arial" w:eastAsia="Arial" w:hAnsi="Arial"/>
                <w:sz w:val="16"/>
                <w:szCs w:val="16"/>
                <w:color w:val="auto"/>
              </w:rPr>
              <w:t>Repurchase of shares of Class A subordinate voting</w:t>
            </w:r>
          </w:p>
        </w:tc>
        <w:tc>
          <w:tcPr>
            <w:tcW w:w="1720" w:type="dxa"/>
            <w:vAlign w:val="bottom"/>
            <w:vMerge w:val="restart"/>
          </w:tcPr>
          <w:p>
            <w:pPr>
              <w:jc w:val="right"/>
              <w:ind w:right="39"/>
              <w:spacing w:after="0"/>
              <w:rPr>
                <w:sz w:val="20"/>
                <w:szCs w:val="20"/>
                <w:color w:val="auto"/>
              </w:rPr>
            </w:pPr>
            <w:r>
              <w:rPr>
                <w:rFonts w:ascii="Arial" w:cs="Arial" w:eastAsia="Arial" w:hAnsi="Arial"/>
                <w:sz w:val="16"/>
                <w:szCs w:val="16"/>
                <w:color w:val="auto"/>
              </w:rPr>
              <w:t>21,145,824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right"/>
              <w:ind w:right="139"/>
              <w:spacing w:after="0"/>
              <w:rPr>
                <w:sz w:val="20"/>
                <w:szCs w:val="20"/>
                <w:color w:val="auto"/>
              </w:rPr>
            </w:pPr>
            <w:r>
              <w:rPr>
                <w:rFonts w:ascii="Arial" w:cs="Arial" w:eastAsia="Arial" w:hAnsi="Arial"/>
                <w:sz w:val="16"/>
                <w:szCs w:val="16"/>
                <w:color w:val="auto"/>
              </w:rPr>
              <w:t>117.09</w:t>
            </w:r>
          </w:p>
        </w:tc>
        <w:tc>
          <w:tcPr>
            <w:tcW w:w="1720" w:type="dxa"/>
            <w:vAlign w:val="bottom"/>
            <w:vMerge w:val="restart"/>
          </w:tcPr>
          <w:p>
            <w:pPr>
              <w:jc w:val="right"/>
              <w:ind w:right="39"/>
              <w:spacing w:after="0"/>
              <w:rPr>
                <w:sz w:val="20"/>
                <w:szCs w:val="20"/>
                <w:color w:val="auto"/>
              </w:rPr>
            </w:pPr>
            <w:r>
              <w:rPr>
                <w:rFonts w:ascii="Arial" w:cs="Arial" w:eastAsia="Arial" w:hAnsi="Arial"/>
                <w:sz w:val="16"/>
                <w:szCs w:val="16"/>
                <w:color w:val="auto"/>
              </w:rPr>
              <w:t>2,476</w:t>
            </w:r>
          </w:p>
        </w:tc>
        <w:tc>
          <w:tcPr>
            <w:tcW w:w="3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shares</w:t>
            </w:r>
          </w:p>
        </w:tc>
        <w:tc>
          <w:tcPr>
            <w:tcW w:w="17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F7F7F7"/>
          </w:tcPr>
          <w:p>
            <w:pPr>
              <w:ind w:left="20"/>
              <w:spacing w:after="0"/>
              <w:rPr>
                <w:sz w:val="20"/>
                <w:szCs w:val="20"/>
                <w:color w:val="auto"/>
              </w:rPr>
            </w:pPr>
            <w:r>
              <w:rPr>
                <w:rFonts w:ascii="Arial" w:cs="Arial" w:eastAsia="Arial" w:hAnsi="Arial"/>
                <w:sz w:val="16"/>
                <w:szCs w:val="16"/>
                <w:color w:val="auto"/>
              </w:rPr>
              <w:t>Balance, end of the period</w:t>
            </w:r>
          </w:p>
        </w:tc>
        <w:tc>
          <w:tcPr>
            <w:tcW w:w="1720" w:type="dxa"/>
            <w:vAlign w:val="bottom"/>
            <w:shd w:val="clear" w:color="auto" w:fill="F7F7F7"/>
          </w:tcPr>
          <w:p>
            <w:pPr>
              <w:spacing w:after="0"/>
              <w:rPr>
                <w:sz w:val="19"/>
                <w:szCs w:val="19"/>
                <w:color w:val="auto"/>
              </w:rPr>
            </w:pPr>
          </w:p>
        </w:tc>
        <w:tc>
          <w:tcPr>
            <w:tcW w:w="220" w:type="dxa"/>
            <w:vAlign w:val="bottom"/>
            <w:shd w:val="clear" w:color="auto" w:fill="F7F7F7"/>
          </w:tcPr>
          <w:p>
            <w:pPr>
              <w:spacing w:after="0"/>
              <w:rPr>
                <w:sz w:val="19"/>
                <w:szCs w:val="19"/>
                <w:color w:val="auto"/>
              </w:rPr>
            </w:pPr>
          </w:p>
        </w:tc>
        <w:tc>
          <w:tcPr>
            <w:tcW w:w="1680" w:type="dxa"/>
            <w:vAlign w:val="bottom"/>
            <w:shd w:val="clear" w:color="auto" w:fill="F7F7F7"/>
          </w:tcPr>
          <w:p>
            <w:pPr>
              <w:spacing w:after="0"/>
              <w:rPr>
                <w:sz w:val="19"/>
                <w:szCs w:val="19"/>
                <w:color w:val="auto"/>
              </w:rPr>
            </w:pPr>
          </w:p>
        </w:tc>
        <w:tc>
          <w:tcPr>
            <w:tcW w:w="1720" w:type="dxa"/>
            <w:vAlign w:val="bottom"/>
            <w:shd w:val="clear" w:color="auto" w:fill="F7F7F7"/>
          </w:tcPr>
          <w:p>
            <w:pPr>
              <w:spacing w:after="0"/>
              <w:rPr>
                <w:sz w:val="19"/>
                <w:szCs w:val="19"/>
                <w:color w:val="auto"/>
              </w:rPr>
            </w:pPr>
          </w:p>
        </w:tc>
        <w:tc>
          <w:tcPr>
            <w:tcW w:w="3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These repurchased shares of Class A subordinate voting shares were recognized within "Common stock".</w:t>
      </w:r>
    </w:p>
    <w:p>
      <w:pPr>
        <w:spacing w:after="0" w:line="12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Excludes immaterial broker commissions and excise tax accruals.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Changes in Accumulated Other Comprehensive (Loss) Income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changes in accumulated other comprehensive (loss) income, which is reported as a component of shareholders’ equity:</w:t>
      </w:r>
    </w:p>
    <w:p>
      <w:pPr>
        <w:spacing w:after="0" w:line="185"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20955</wp:posOffset>
            </wp:positionV>
            <wp:extent cx="2040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Borders>
              <w:bottom w:val="single" w:sz="8" w:color="auto"/>
            </w:tcBorders>
            <w:gridSpan w:val="2"/>
          </w:tcPr>
          <w:p>
            <w:pPr>
              <w:ind w:left="8600"/>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8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60" w:type="dxa"/>
            <w:vAlign w:val="bottom"/>
          </w:tcPr>
          <w:p>
            <w:pPr>
              <w:spacing w:after="0"/>
              <w:rPr>
                <w:sz w:val="19"/>
                <w:szCs w:val="19"/>
                <w:color w:val="auto"/>
              </w:rPr>
            </w:pPr>
          </w:p>
        </w:tc>
      </w:tr>
      <w:tr>
        <w:trPr>
          <w:trHeight w:val="229"/>
        </w:trPr>
        <w:tc>
          <w:tcPr>
            <w:tcW w:w="9000" w:type="dxa"/>
            <w:vAlign w:val="bottom"/>
            <w:gridSpan w:val="2"/>
            <w:shd w:val="clear" w:color="auto" w:fill="F7F7F7"/>
          </w:tcPr>
          <w:p>
            <w:pPr>
              <w:ind w:left="20"/>
              <w:spacing w:after="0"/>
              <w:rPr>
                <w:sz w:val="20"/>
                <w:szCs w:val="20"/>
                <w:color w:val="auto"/>
              </w:rPr>
            </w:pPr>
            <w:r>
              <w:rPr>
                <w:rFonts w:ascii="Arial" w:cs="Arial" w:eastAsia="Arial" w:hAnsi="Arial"/>
                <w:sz w:val="16"/>
                <w:szCs w:val="16"/>
                <w:color w:val="auto"/>
              </w:rPr>
              <w:t>Balance, beginning of the period</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w:t>
            </w:r>
          </w:p>
        </w:tc>
      </w:tr>
      <w:tr>
        <w:trPr>
          <w:trHeight w:val="89"/>
        </w:trPr>
        <w:tc>
          <w:tcPr>
            <w:tcW w:w="80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29"/>
        </w:trPr>
        <w:tc>
          <w:tcPr>
            <w:tcW w:w="9000" w:type="dxa"/>
            <w:vAlign w:val="bottom"/>
            <w:gridSpan w:val="2"/>
            <w:shd w:val="clear" w:color="auto" w:fill="F7F7F7"/>
          </w:tcPr>
          <w:p>
            <w:pPr>
              <w:ind w:left="220"/>
              <w:spacing w:after="0"/>
              <w:rPr>
                <w:sz w:val="20"/>
                <w:szCs w:val="20"/>
                <w:color w:val="auto"/>
              </w:rPr>
            </w:pPr>
            <w:r>
              <w:rPr>
                <w:rFonts w:ascii="Arial" w:cs="Arial" w:eastAsia="Arial" w:hAnsi="Arial"/>
                <w:sz w:val="16"/>
                <w:szCs w:val="16"/>
                <w:color w:val="auto"/>
              </w:rPr>
              <w:t>Other comprehensive (loss) income before reclassifications</w:t>
            </w:r>
          </w:p>
        </w:tc>
        <w:tc>
          <w:tcPr>
            <w:tcW w:w="1280" w:type="dxa"/>
            <w:vAlign w:val="bottom"/>
            <w:shd w:val="clear" w:color="auto" w:fill="F7F7F7"/>
          </w:tcPr>
          <w:p>
            <w:pPr>
              <w:jc w:val="right"/>
              <w:ind w:right="679"/>
              <w:spacing w:after="0"/>
              <w:rPr>
                <w:sz w:val="20"/>
                <w:szCs w:val="20"/>
                <w:color w:val="auto"/>
              </w:rPr>
            </w:pPr>
            <w:r>
              <w:rPr>
                <w:rFonts w:ascii="Arial" w:cs="Arial" w:eastAsia="Arial" w:hAnsi="Arial"/>
                <w:sz w:val="16"/>
                <w:szCs w:val="16"/>
                <w:color w:val="auto"/>
              </w:rPr>
              <w:t>(11)</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9000" w:type="dxa"/>
            <w:vAlign w:val="bottom"/>
            <w:gridSpan w:val="2"/>
          </w:tcPr>
          <w:p>
            <w:pPr>
              <w:ind w:left="220"/>
              <w:spacing w:after="0"/>
              <w:rPr>
                <w:sz w:val="20"/>
                <w:szCs w:val="20"/>
                <w:color w:val="auto"/>
              </w:rPr>
            </w:pPr>
            <w:r>
              <w:rPr>
                <w:rFonts w:ascii="Arial" w:cs="Arial" w:eastAsia="Arial" w:hAnsi="Arial"/>
                <w:sz w:val="16"/>
                <w:szCs w:val="16"/>
                <w:color w:val="auto"/>
              </w:rPr>
              <w:t>Gain on cash flow hedges reclassified from accumulated other comprehensive loss to earnings: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000" w:type="dxa"/>
            <w:vAlign w:val="bottom"/>
            <w:gridSpan w:val="2"/>
            <w:shd w:val="clear" w:color="auto" w:fill="F7F7F7"/>
          </w:tcPr>
          <w:p>
            <w:pPr>
              <w:ind w:left="360"/>
              <w:spacing w:after="0"/>
              <w:rPr>
                <w:sz w:val="20"/>
                <w:szCs w:val="20"/>
                <w:color w:val="auto"/>
              </w:rPr>
            </w:pPr>
            <w:r>
              <w:rPr>
                <w:rFonts w:ascii="Arial" w:cs="Arial" w:eastAsia="Arial" w:hAnsi="Arial"/>
                <w:sz w:val="16"/>
                <w:szCs w:val="16"/>
                <w:color w:val="auto"/>
              </w:rPr>
              <w:t>Sales and marketing</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9000" w:type="dxa"/>
            <w:vAlign w:val="bottom"/>
            <w:gridSpan w:val="2"/>
          </w:tcPr>
          <w:p>
            <w:pPr>
              <w:ind w:left="360"/>
              <w:spacing w:after="0"/>
              <w:rPr>
                <w:sz w:val="20"/>
                <w:szCs w:val="20"/>
                <w:color w:val="auto"/>
              </w:rPr>
            </w:pPr>
            <w:r>
              <w:rPr>
                <w:rFonts w:ascii="Arial" w:cs="Arial" w:eastAsia="Arial" w:hAnsi="Arial"/>
                <w:sz w:val="16"/>
                <w:szCs w:val="16"/>
                <w:color w:val="auto"/>
              </w:rPr>
              <w:t>Research and development</w:t>
            </w:r>
          </w:p>
        </w:tc>
        <w:tc>
          <w:tcPr>
            <w:tcW w:w="1280" w:type="dxa"/>
            <w:vAlign w:val="bottom"/>
          </w:tcPr>
          <w:p>
            <w:pPr>
              <w:jc w:val="right"/>
              <w:ind w:right="73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9000" w:type="dxa"/>
            <w:vAlign w:val="bottom"/>
            <w:gridSpan w:val="2"/>
            <w:shd w:val="clear" w:color="auto" w:fill="F7F7F7"/>
          </w:tcPr>
          <w:p>
            <w:pPr>
              <w:ind w:left="360"/>
              <w:spacing w:after="0"/>
              <w:rPr>
                <w:sz w:val="20"/>
                <w:szCs w:val="20"/>
                <w:color w:val="auto"/>
              </w:rPr>
            </w:pPr>
            <w:r>
              <w:rPr>
                <w:rFonts w:ascii="Arial" w:cs="Arial" w:eastAsia="Arial" w:hAnsi="Arial"/>
                <w:sz w:val="16"/>
                <w:szCs w:val="16"/>
                <w:color w:val="auto"/>
              </w:rPr>
              <w:t>General and administrative</w:t>
            </w:r>
          </w:p>
        </w:tc>
        <w:tc>
          <w:tcPr>
            <w:tcW w:w="1280" w:type="dxa"/>
            <w:vAlign w:val="bottom"/>
            <w:shd w:val="clear" w:color="auto" w:fill="F7F7F7"/>
          </w:tcPr>
          <w:p>
            <w:pPr>
              <w:jc w:val="right"/>
              <w:ind w:right="739"/>
              <w:spacing w:after="0"/>
              <w:rPr>
                <w:sz w:val="20"/>
                <w:szCs w:val="20"/>
                <w:color w:val="auto"/>
              </w:rPr>
            </w:pPr>
            <w:r>
              <w:rPr>
                <w:rFonts w:ascii="Arial" w:cs="Arial" w:eastAsia="Arial" w:hAnsi="Arial"/>
                <w:sz w:val="16"/>
                <w:szCs w:val="16"/>
                <w:color w:val="auto"/>
              </w:rPr>
              <w:t>—</w:t>
            </w:r>
          </w:p>
        </w:tc>
        <w:tc>
          <w:tcPr>
            <w:tcW w:w="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802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Tax effect on unrealized (loss) gain on cash flow hedges</w:t>
            </w: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8020" w:type="dxa"/>
            <w:vAlign w:val="bottom"/>
            <w:shd w:val="clear" w:color="auto" w:fill="F7F7F7"/>
          </w:tcPr>
          <w:p>
            <w:pPr>
              <w:ind w:left="140"/>
              <w:spacing w:after="0"/>
              <w:rPr>
                <w:sz w:val="20"/>
                <w:szCs w:val="20"/>
                <w:color w:val="auto"/>
              </w:rPr>
            </w:pPr>
            <w:r>
              <w:rPr>
                <w:rFonts w:ascii="Arial" w:cs="Arial" w:eastAsia="Arial" w:hAnsi="Arial"/>
                <w:sz w:val="16"/>
                <w:szCs w:val="16"/>
                <w:color w:val="auto"/>
              </w:rPr>
              <w:t>Other comprehensive (loss) income, net of tax</w:t>
            </w:r>
          </w:p>
        </w:tc>
        <w:tc>
          <w:tcPr>
            <w:tcW w:w="98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ind w:right="679"/>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1280" w:type="dxa"/>
            <w:vAlign w:val="bottom"/>
          </w:tcPr>
          <w:p>
            <w:pPr>
              <w:jc w:val="right"/>
              <w:ind w:right="679"/>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provision for income taxes is determined by applying the estimated annual effective tax rate to income or loss from recurring operations and adjusting for the effects of any discrete income tax items specific to the period.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updates its estimate of the annual effective tax rate each quarter and makes cumulative adjustments if its estimated annual tax rate is expected to change. The Company’s effective tax rate may be subject to fluctuation during the year as new information is obtained, which may affect the assumptions used to estimate the annual effective tax rate, including factors such as the mix of forecasted pre-tax earnings in the various jurisdictions in which the Company operates, any valuation allowance against deferred tax assets, the recognition and derecognition of tax benefits related to uncertain tax positions and changes in or the interpretation of tax laws in jurisdictions where the Company conducts business.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a provision for income taxes of $37 million in the three months ended September 30, 2026, as a result of earnings in various jurisdictions, largely offset by the release of valuation allowance against a portion of its U.S. federal and state deferred income tax assets and unrealized loss on equity and other investments.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a provision for income taxes of $257 million in the nine months ended September 30, 2026, as a result of earnings in various jurisdictions, partially offset by the release of valuation allowance against a portion of its U.S. federal and state deferred income tax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each reporting date, the Company assesses whether its deferred tax assets are more likely than not to be realized, weighing all available positive and negative evidence. During the three months ended September 30, 2026, the Company concluded that a portion of its U.S. federal and state deferred tax assets is now more likely than not to be realized. The main positive evidence was sustained profits of its U.S. operations and projections of future taxable income. As a result, the Company released $63 million of valuation allowance as a discrete tax benefit in the period.</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continues to maintain a valuation allowance against the net deferred tax assets in the United States that are capital in nature, due to lack of positive evidence to meet the more-likely-than-not standard for recognition.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had a provision for income taxes of $44 million and $129 million in the three and nine months ended September 30, 2025, respectively, as a result of earnings in various jurisdictions, partially offset by unrealized loss on equity and other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examinations and uncertain tax positions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continues to be subject to review and audit by tax authorities around the world, which may lead to adjustments to our tax liabilities. In 2025, we received a proposed assessment from the Canada Revenue Agency ("CRA") related to the Company’s transfer pricing for the year ending December 31, 2020. During the three months ended September 30, 2026, the CRA notified us that they intend to reassess us for additional income taxes of $24 million, plus interest for the year ending December 31, 2020 based on the proposed assessment received in 2025. The Company's 2021 to 2026 tax years remain open to examination. If the CRA reassesses us under the same basis for those years, the Company could be subject to additional income taxes that may be material. We disagree with the proposed assessment and intend to defend our position vigorously.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this matter under its accounting policy for uncertain tax positions and has not recorded a liability as it believes it is more likely that the Company's position will be sustained. While we believe that our tax position is appropriate, the final determination and timing of resolution of the above matter, and any other tax audits or litigation cannot be predicted with certainty. We continue to monitor the progress of tax audits with tax authorities each reporting period. Changes in recognition or measurement are recorded in the period in which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Share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applies the two-class method to calculate its basic and diluted net income per share as Class A subordinate voting shares and Class B restricted voting shares are participating securities with equal participation rights and are entitled to receive dividends on a share for share basis. The Company uses the treasury stock method for calculating the effect of dilutive potential common stock from employee stock options and employee RSUs.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reconciliation of the basic weighted average number of shares outstanding and the diluted weighted average number of shares outstanding: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96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6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0" w:type="dxa"/>
            <w:vAlign w:val="bottom"/>
            <w:gridSpan w:val="7"/>
          </w:tcPr>
          <w:p>
            <w:pPr>
              <w:jc w:val="right"/>
              <w:ind w:right="39"/>
              <w:spacing w:after="0"/>
              <w:rPr>
                <w:sz w:val="20"/>
                <w:szCs w:val="20"/>
                <w:color w:val="auto"/>
              </w:rPr>
            </w:pPr>
            <w:r>
              <w:rPr>
                <w:rFonts w:ascii="Arial" w:cs="Arial" w:eastAsia="Arial" w:hAnsi="Arial"/>
                <w:sz w:val="16"/>
                <w:szCs w:val="16"/>
                <w:color w:val="auto"/>
              </w:rPr>
              <w:t>(in US $ millions, except share and per share amounts)</w:t>
            </w:r>
          </w:p>
        </w:tc>
        <w:tc>
          <w:tcPr>
            <w:tcW w:w="1180" w:type="dxa"/>
            <w:vAlign w:val="bottom"/>
          </w:tcPr>
          <w:p>
            <w:pPr>
              <w:spacing w:after="0"/>
              <w:rPr>
                <w:sz w:val="19"/>
                <w:szCs w:val="19"/>
                <w:color w:val="auto"/>
              </w:rPr>
            </w:pPr>
          </w:p>
        </w:tc>
      </w:tr>
      <w:tr>
        <w:trPr>
          <w:trHeight w:val="231"/>
        </w:trPr>
        <w:tc>
          <w:tcPr>
            <w:tcW w:w="468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Numerator:</w:t>
            </w:r>
          </w:p>
        </w:tc>
        <w:tc>
          <w:tcPr>
            <w:tcW w:w="180" w:type="dxa"/>
            <w:vAlign w:val="bottom"/>
            <w:shd w:val="clear" w:color="auto" w:fill="F7F7F7"/>
          </w:tcPr>
          <w:p>
            <w:pPr>
              <w:spacing w:after="0"/>
              <w:rPr>
                <w:sz w:val="20"/>
                <w:szCs w:val="20"/>
                <w:color w:val="auto"/>
              </w:rPr>
            </w:pPr>
          </w:p>
        </w:tc>
        <w:tc>
          <w:tcPr>
            <w:tcW w:w="1420" w:type="dxa"/>
            <w:vAlign w:val="bottom"/>
            <w:shd w:val="clear" w:color="auto" w:fill="F7F7F7"/>
          </w:tcPr>
          <w:p>
            <w:pPr>
              <w:spacing w:after="0"/>
              <w:rPr>
                <w:sz w:val="20"/>
                <w:szCs w:val="20"/>
                <w:color w:val="auto"/>
              </w:rPr>
            </w:pPr>
          </w:p>
        </w:tc>
        <w:tc>
          <w:tcPr>
            <w:tcW w:w="380" w:type="dxa"/>
            <w:vAlign w:val="bottom"/>
            <w:shd w:val="clear" w:color="auto" w:fill="F7F7F7"/>
          </w:tcPr>
          <w:p>
            <w:pPr>
              <w:spacing w:after="0"/>
              <w:rPr>
                <w:sz w:val="20"/>
                <w:szCs w:val="20"/>
                <w:color w:val="auto"/>
              </w:rPr>
            </w:pPr>
          </w:p>
        </w:tc>
        <w:tc>
          <w:tcPr>
            <w:tcW w:w="124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80" w:type="dxa"/>
            <w:vAlign w:val="bottom"/>
            <w:shd w:val="clear" w:color="auto" w:fill="F7F7F7"/>
          </w:tcPr>
          <w:p>
            <w:pPr>
              <w:spacing w:after="0"/>
              <w:rPr>
                <w:sz w:val="20"/>
                <w:szCs w:val="20"/>
                <w:color w:val="auto"/>
              </w:rPr>
            </w:pPr>
          </w:p>
        </w:tc>
        <w:tc>
          <w:tcPr>
            <w:tcW w:w="1380" w:type="dxa"/>
            <w:vAlign w:val="bottom"/>
            <w:shd w:val="clear" w:color="auto" w:fill="F7F7F7"/>
          </w:tcPr>
          <w:p>
            <w:pPr>
              <w:spacing w:after="0"/>
              <w:rPr>
                <w:sz w:val="20"/>
                <w:szCs w:val="20"/>
                <w:color w:val="auto"/>
              </w:rPr>
            </w:pPr>
          </w:p>
        </w:tc>
        <w:tc>
          <w:tcPr>
            <w:tcW w:w="400" w:type="dxa"/>
            <w:vAlign w:val="bottom"/>
            <w:shd w:val="clear" w:color="auto" w:fill="F7F7F7"/>
          </w:tcPr>
          <w:p>
            <w:pPr>
              <w:spacing w:after="0"/>
              <w:rPr>
                <w:sz w:val="20"/>
                <w:szCs w:val="20"/>
                <w:color w:val="auto"/>
              </w:rPr>
            </w:pPr>
          </w:p>
        </w:tc>
        <w:tc>
          <w:tcPr>
            <w:tcW w:w="1180" w:type="dxa"/>
            <w:vAlign w:val="bottom"/>
            <w:shd w:val="clear" w:color="auto" w:fill="F7F7F7"/>
          </w:tcPr>
          <w:p>
            <w:pPr>
              <w:spacing w:after="0"/>
              <w:rPr>
                <w:sz w:val="20"/>
                <w:szCs w:val="20"/>
                <w:color w:val="auto"/>
              </w:rPr>
            </w:pPr>
          </w:p>
        </w:tc>
      </w:tr>
      <w:tr>
        <w:trPr>
          <w:trHeight w:val="228"/>
        </w:trPr>
        <w:tc>
          <w:tcPr>
            <w:tcW w:w="4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462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1,383</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71"/>
        </w:trPr>
        <w:tc>
          <w:tcPr>
            <w:tcW w:w="4680" w:type="dxa"/>
            <w:vAlign w:val="bottom"/>
            <w:shd w:val="clear" w:color="auto" w:fill="F7F7F7"/>
          </w:tcPr>
          <w:p>
            <w:pPr>
              <w:spacing w:after="0"/>
              <w:rPr>
                <w:sz w:val="23"/>
                <w:szCs w:val="23"/>
                <w:color w:val="auto"/>
              </w:rPr>
            </w:pPr>
          </w:p>
        </w:tc>
        <w:tc>
          <w:tcPr>
            <w:tcW w:w="180" w:type="dxa"/>
            <w:vAlign w:val="bottom"/>
            <w:shd w:val="clear" w:color="auto" w:fill="F7F7F7"/>
          </w:tcPr>
          <w:p>
            <w:pPr>
              <w:spacing w:after="0"/>
              <w:rPr>
                <w:sz w:val="23"/>
                <w:szCs w:val="23"/>
                <w:color w:val="auto"/>
              </w:rPr>
            </w:pPr>
          </w:p>
        </w:tc>
        <w:tc>
          <w:tcPr>
            <w:tcW w:w="1420" w:type="dxa"/>
            <w:vAlign w:val="bottom"/>
            <w:shd w:val="clear" w:color="auto" w:fill="F7F7F7"/>
          </w:tcPr>
          <w:p>
            <w:pPr>
              <w:spacing w:after="0"/>
              <w:rPr>
                <w:sz w:val="23"/>
                <w:szCs w:val="23"/>
                <w:color w:val="auto"/>
              </w:rPr>
            </w:pPr>
          </w:p>
        </w:tc>
        <w:tc>
          <w:tcPr>
            <w:tcW w:w="380" w:type="dxa"/>
            <w:vAlign w:val="bottom"/>
            <w:shd w:val="clear" w:color="auto" w:fill="F7F7F7"/>
          </w:tcPr>
          <w:p>
            <w:pPr>
              <w:spacing w:after="0"/>
              <w:rPr>
                <w:sz w:val="23"/>
                <w:szCs w:val="23"/>
                <w:color w:val="auto"/>
              </w:rPr>
            </w:pPr>
          </w:p>
        </w:tc>
        <w:tc>
          <w:tcPr>
            <w:tcW w:w="12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180" w:type="dxa"/>
            <w:vAlign w:val="bottom"/>
            <w:shd w:val="clear" w:color="auto" w:fill="F7F7F7"/>
          </w:tcPr>
          <w:p>
            <w:pPr>
              <w:spacing w:after="0"/>
              <w:rPr>
                <w:sz w:val="23"/>
                <w:szCs w:val="23"/>
                <w:color w:val="auto"/>
              </w:rPr>
            </w:pPr>
          </w:p>
        </w:tc>
        <w:tc>
          <w:tcPr>
            <w:tcW w:w="1380" w:type="dxa"/>
            <w:vAlign w:val="bottom"/>
            <w:shd w:val="clear" w:color="auto" w:fill="F7F7F7"/>
          </w:tcPr>
          <w:p>
            <w:pPr>
              <w:spacing w:after="0"/>
              <w:rPr>
                <w:sz w:val="23"/>
                <w:szCs w:val="23"/>
                <w:color w:val="auto"/>
              </w:rPr>
            </w:pPr>
          </w:p>
        </w:tc>
        <w:tc>
          <w:tcPr>
            <w:tcW w:w="400" w:type="dxa"/>
            <w:vAlign w:val="bottom"/>
            <w:shd w:val="clear" w:color="auto" w:fill="F7F7F7"/>
          </w:tcPr>
          <w:p>
            <w:pPr>
              <w:spacing w:after="0"/>
              <w:rPr>
                <w:sz w:val="23"/>
                <w:szCs w:val="23"/>
                <w:color w:val="auto"/>
              </w:rPr>
            </w:pPr>
          </w:p>
        </w:tc>
        <w:tc>
          <w:tcPr>
            <w:tcW w:w="1180" w:type="dxa"/>
            <w:vAlign w:val="bottom"/>
            <w:shd w:val="clear" w:color="auto" w:fill="F7F7F7"/>
          </w:tcPr>
          <w:p>
            <w:pPr>
              <w:spacing w:after="0"/>
              <w:rPr>
                <w:sz w:val="23"/>
                <w:szCs w:val="23"/>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680" w:type="dxa"/>
            <w:vAlign w:val="bottom"/>
            <w:shd w:val="clear" w:color="auto" w:fill="F7F7F7"/>
          </w:tcPr>
          <w:p>
            <w:pPr>
              <w:ind w:left="26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shd w:val="clear" w:color="auto" w:fill="F7F7F7"/>
          </w:tcPr>
          <w:p>
            <w:pPr>
              <w:spacing w:after="0"/>
              <w:rPr>
                <w:sz w:val="19"/>
                <w:szCs w:val="19"/>
                <w:color w:val="auto"/>
              </w:rPr>
            </w:pPr>
          </w:p>
        </w:tc>
        <w:tc>
          <w:tcPr>
            <w:tcW w:w="14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1,286,866,079</w:t>
            </w:r>
          </w:p>
        </w:tc>
        <w:tc>
          <w:tcPr>
            <w:tcW w:w="380" w:type="dxa"/>
            <w:vAlign w:val="bottom"/>
            <w:shd w:val="clear" w:color="auto" w:fill="F7F7F7"/>
          </w:tcPr>
          <w:p>
            <w:pPr>
              <w:spacing w:after="0"/>
              <w:rPr>
                <w:sz w:val="19"/>
                <w:szCs w:val="19"/>
                <w:color w:val="auto"/>
              </w:rPr>
            </w:pPr>
          </w:p>
        </w:tc>
        <w:tc>
          <w:tcPr>
            <w:tcW w:w="12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1,300,069,685</w:t>
            </w:r>
          </w:p>
        </w:tc>
        <w:tc>
          <w:tcPr>
            <w:tcW w:w="20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1,295,087,677</w:t>
            </w:r>
          </w:p>
        </w:tc>
        <w:tc>
          <w:tcPr>
            <w:tcW w:w="400" w:type="dxa"/>
            <w:vAlign w:val="bottom"/>
            <w:shd w:val="clear" w:color="auto" w:fill="F7F7F7"/>
          </w:tcPr>
          <w:p>
            <w:pPr>
              <w:spacing w:after="0"/>
              <w:rPr>
                <w:sz w:val="19"/>
                <w:szCs w:val="19"/>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1,297,764,857</w:t>
            </w:r>
          </w:p>
        </w:tc>
      </w:tr>
      <w:tr>
        <w:trPr>
          <w:trHeight w:val="228"/>
        </w:trPr>
        <w:tc>
          <w:tcPr>
            <w:tcW w:w="4680" w:type="dxa"/>
            <w:vAlign w:val="bottom"/>
          </w:tcPr>
          <w:p>
            <w:pPr>
              <w:ind w:left="260"/>
              <w:spacing w:after="0"/>
              <w:rPr>
                <w:sz w:val="20"/>
                <w:szCs w:val="20"/>
                <w:color w:val="auto"/>
              </w:rPr>
            </w:pPr>
            <w:r>
              <w:rPr>
                <w:rFonts w:ascii="Arial" w:cs="Arial" w:eastAsia="Arial" w:hAnsi="Arial"/>
                <w:sz w:val="16"/>
                <w:szCs w:val="16"/>
                <w:color w:val="auto"/>
              </w:rPr>
              <w:t>Weighted average effect of dilutive securities: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4680" w:type="dxa"/>
            <w:vAlign w:val="bottom"/>
            <w:shd w:val="clear" w:color="auto" w:fill="F7F7F7"/>
          </w:tcPr>
          <w:p>
            <w:pPr>
              <w:ind w:left="48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F7F7F7"/>
          </w:tcPr>
          <w:p>
            <w:pPr>
              <w:spacing w:after="0"/>
              <w:rPr>
                <w:sz w:val="20"/>
                <w:szCs w:val="20"/>
                <w:color w:val="auto"/>
              </w:rPr>
            </w:pPr>
          </w:p>
        </w:tc>
        <w:tc>
          <w:tcPr>
            <w:tcW w:w="14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1,133,553</w:t>
            </w:r>
          </w:p>
        </w:tc>
        <w:tc>
          <w:tcPr>
            <w:tcW w:w="380" w:type="dxa"/>
            <w:vAlign w:val="bottom"/>
            <w:shd w:val="clear" w:color="auto" w:fill="F7F7F7"/>
          </w:tcPr>
          <w:p>
            <w:pPr>
              <w:spacing w:after="0"/>
              <w:rPr>
                <w:sz w:val="20"/>
                <w:szCs w:val="20"/>
                <w:color w:val="auto"/>
              </w:rPr>
            </w:pPr>
          </w:p>
        </w:tc>
        <w:tc>
          <w:tcPr>
            <w:tcW w:w="12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4,369,596</w:t>
            </w:r>
          </w:p>
        </w:tc>
        <w:tc>
          <w:tcPr>
            <w:tcW w:w="200" w:type="dxa"/>
            <w:vAlign w:val="bottom"/>
            <w:shd w:val="clear" w:color="auto" w:fill="F7F7F7"/>
          </w:tcPr>
          <w:p>
            <w:pPr>
              <w:spacing w:after="0"/>
              <w:rPr>
                <w:sz w:val="20"/>
                <w:szCs w:val="20"/>
                <w:color w:val="auto"/>
              </w:rPr>
            </w:pPr>
          </w:p>
        </w:tc>
        <w:tc>
          <w:tcPr>
            <w:tcW w:w="180" w:type="dxa"/>
            <w:vAlign w:val="bottom"/>
            <w:shd w:val="clear" w:color="auto" w:fill="F7F7F7"/>
          </w:tcPr>
          <w:p>
            <w:pPr>
              <w:spacing w:after="0"/>
              <w:rPr>
                <w:sz w:val="20"/>
                <w:szCs w:val="20"/>
                <w:color w:val="auto"/>
              </w:rPr>
            </w:pP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2,599,106</w:t>
            </w:r>
          </w:p>
        </w:tc>
        <w:tc>
          <w:tcPr>
            <w:tcW w:w="4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3,972,952</w:t>
            </w:r>
          </w:p>
        </w:tc>
      </w:tr>
      <w:tr>
        <w:trPr>
          <w:trHeight w:val="229"/>
        </w:trPr>
        <w:tc>
          <w:tcPr>
            <w:tcW w:w="4680" w:type="dxa"/>
            <w:vAlign w:val="bottom"/>
          </w:tcPr>
          <w:p>
            <w:pPr>
              <w:ind w:left="480"/>
              <w:spacing w:after="0"/>
              <w:rPr>
                <w:sz w:val="20"/>
                <w:szCs w:val="20"/>
                <w:color w:val="auto"/>
              </w:rPr>
            </w:pPr>
            <w:r>
              <w:rPr>
                <w:rFonts w:ascii="Arial" w:cs="Arial" w:eastAsia="Arial" w:hAnsi="Arial"/>
                <w:sz w:val="16"/>
                <w:szCs w:val="16"/>
                <w:color w:val="auto"/>
              </w:rPr>
              <w:t>Restricted share units</w:t>
            </w: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2,725,124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2,043,057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929,289</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1,893,677</w:t>
            </w:r>
          </w:p>
        </w:tc>
      </w:tr>
      <w:tr>
        <w:trPr>
          <w:trHeight w:val="230"/>
        </w:trPr>
        <w:tc>
          <w:tcPr>
            <w:tcW w:w="4680" w:type="dxa"/>
            <w:vAlign w:val="bottom"/>
            <w:shd w:val="clear" w:color="auto" w:fill="F7F7F7"/>
          </w:tcPr>
          <w:p>
            <w:pPr>
              <w:ind w:left="480"/>
              <w:spacing w:after="0"/>
              <w:rPr>
                <w:sz w:val="20"/>
                <w:szCs w:val="20"/>
                <w:color w:val="auto"/>
              </w:rPr>
            </w:pPr>
            <w:r>
              <w:rPr>
                <w:rFonts w:ascii="Arial" w:cs="Arial" w:eastAsia="Arial" w:hAnsi="Arial"/>
                <w:sz w:val="16"/>
                <w:szCs w:val="16"/>
                <w:color w:val="auto"/>
              </w:rPr>
              <w:t>Convertible senior notes</w:t>
            </w:r>
          </w:p>
        </w:tc>
        <w:tc>
          <w:tcPr>
            <w:tcW w:w="180" w:type="dxa"/>
            <w:vAlign w:val="bottom"/>
            <w:shd w:val="clear" w:color="auto" w:fill="F7F7F7"/>
          </w:tcPr>
          <w:p>
            <w:pPr>
              <w:spacing w:after="0"/>
              <w:rPr>
                <w:sz w:val="20"/>
                <w:szCs w:val="20"/>
                <w:color w:val="auto"/>
              </w:rPr>
            </w:pPr>
          </w:p>
        </w:tc>
        <w:tc>
          <w:tcPr>
            <w:tcW w:w="142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F7F7F7"/>
          </w:tcPr>
          <w:p>
            <w:pPr>
              <w:spacing w:after="0"/>
              <w:rPr>
                <w:sz w:val="20"/>
                <w:szCs w:val="20"/>
                <w:color w:val="auto"/>
              </w:rPr>
            </w:pPr>
          </w:p>
        </w:tc>
        <w:tc>
          <w:tcPr>
            <w:tcW w:w="12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6,388,480</w:t>
            </w:r>
          </w:p>
        </w:tc>
        <w:tc>
          <w:tcPr>
            <w:tcW w:w="200" w:type="dxa"/>
            <w:vAlign w:val="bottom"/>
            <w:shd w:val="clear" w:color="auto" w:fill="F7F7F7"/>
          </w:tcPr>
          <w:p>
            <w:pPr>
              <w:spacing w:after="0"/>
              <w:rPr>
                <w:sz w:val="20"/>
                <w:szCs w:val="20"/>
                <w:color w:val="auto"/>
              </w:rPr>
            </w:pPr>
          </w:p>
        </w:tc>
        <w:tc>
          <w:tcPr>
            <w:tcW w:w="180" w:type="dxa"/>
            <w:vAlign w:val="bottom"/>
            <w:shd w:val="clear" w:color="auto" w:fill="F7F7F7"/>
          </w:tcPr>
          <w:p>
            <w:pPr>
              <w:spacing w:after="0"/>
              <w:rPr>
                <w:sz w:val="20"/>
                <w:szCs w:val="20"/>
                <w:color w:val="auto"/>
              </w:rPr>
            </w:pP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6,388,480</w:t>
            </w:r>
          </w:p>
        </w:tc>
      </w:tr>
      <w:tr>
        <w:trPr>
          <w:trHeight w:val="228"/>
        </w:trPr>
        <w:tc>
          <w:tcPr>
            <w:tcW w:w="4680" w:type="dxa"/>
            <w:vAlign w:val="bottom"/>
            <w:tcBorders>
              <w:bottom w:val="single" w:sz="8" w:color="F7F7F7"/>
            </w:tcBorders>
          </w:tcPr>
          <w:p>
            <w:pPr>
              <w:ind w:left="480"/>
              <w:spacing w:after="0"/>
              <w:rPr>
                <w:sz w:val="20"/>
                <w:szCs w:val="20"/>
                <w:color w:val="auto"/>
              </w:rPr>
            </w:pPr>
            <w:r>
              <w:rPr>
                <w:rFonts w:ascii="Arial" w:cs="Arial" w:eastAsia="Arial" w:hAnsi="Arial"/>
                <w:sz w:val="16"/>
                <w:szCs w:val="16"/>
                <w:color w:val="auto"/>
              </w:rPr>
              <w:t>Deferred share units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1,986</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200" w:type="dxa"/>
            <w:vAlign w:val="bottom"/>
            <w:tcBorders>
              <w:bottom w:val="single" w:sz="8" w:color="F7F7F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8,941</w:t>
            </w:r>
          </w:p>
        </w:tc>
      </w:tr>
      <w:tr>
        <w:trPr>
          <w:trHeight w:val="223"/>
        </w:trPr>
        <w:tc>
          <w:tcPr>
            <w:tcW w:w="468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16"/>
                <w:szCs w:val="16"/>
                <w:color w:val="auto"/>
              </w:rPr>
              <w:t>Diluted weighted average number of shares</w:t>
            </w:r>
          </w:p>
        </w:tc>
        <w:tc>
          <w:tcPr>
            <w:tcW w:w="18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1,290,726,742</w:t>
            </w:r>
          </w:p>
        </w:tc>
        <w:tc>
          <w:tcPr>
            <w:tcW w:w="380" w:type="dxa"/>
            <w:vAlign w:val="bottom"/>
            <w:tcBorders>
              <w:bottom w:val="single" w:sz="8" w:color="auto"/>
            </w:tcBorders>
            <w:shd w:val="clear" w:color="auto" w:fill="F7F7F7"/>
          </w:tcPr>
          <w:p>
            <w:pPr>
              <w:spacing w:after="0"/>
              <w:rPr>
                <w:sz w:val="19"/>
                <w:szCs w:val="19"/>
                <w:color w:val="auto"/>
              </w:rPr>
            </w:pPr>
          </w:p>
        </w:tc>
        <w:tc>
          <w:tcPr>
            <w:tcW w:w="12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1,312,872,709</w:t>
            </w:r>
          </w:p>
        </w:tc>
        <w:tc>
          <w:tcPr>
            <w:tcW w:w="200" w:type="dxa"/>
            <w:vAlign w:val="bottom"/>
            <w:tcBorders>
              <w:bottom w:val="single" w:sz="8" w:color="auto"/>
            </w:tcBorders>
            <w:shd w:val="clear" w:color="auto" w:fill="F7F7F7"/>
          </w:tcPr>
          <w:p>
            <w:pPr>
              <w:spacing w:after="0"/>
              <w:rPr>
                <w:sz w:val="19"/>
                <w:szCs w:val="19"/>
                <w:color w:val="auto"/>
              </w:rPr>
            </w:pPr>
          </w:p>
        </w:tc>
        <w:tc>
          <w:tcPr>
            <w:tcW w:w="180" w:type="dxa"/>
            <w:vAlign w:val="bottom"/>
            <w:tcBorders>
              <w:bottom w:val="single" w:sz="8" w:color="auto"/>
            </w:tcBorders>
            <w:shd w:val="clear" w:color="auto" w:fill="F7F7F7"/>
          </w:tcPr>
          <w:p>
            <w:pPr>
              <w:spacing w:after="0"/>
              <w:rPr>
                <w:sz w:val="19"/>
                <w:szCs w:val="19"/>
                <w:color w:val="auto"/>
              </w:rPr>
            </w:pPr>
          </w:p>
        </w:tc>
        <w:tc>
          <w:tcPr>
            <w:tcW w:w="13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1,298,617,944</w:t>
            </w:r>
          </w:p>
        </w:tc>
        <w:tc>
          <w:tcPr>
            <w:tcW w:w="400" w:type="dxa"/>
            <w:vAlign w:val="bottom"/>
            <w:tcBorders>
              <w:bottom w:val="single" w:sz="8" w:color="auto"/>
            </w:tcBorders>
            <w:shd w:val="clear" w:color="auto" w:fill="F7F7F7"/>
          </w:tcPr>
          <w:p>
            <w:pPr>
              <w:spacing w:after="0"/>
              <w:rPr>
                <w:sz w:val="19"/>
                <w:szCs w:val="19"/>
                <w:color w:val="auto"/>
              </w:rPr>
            </w:pP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1,310,028,907</w:t>
            </w:r>
          </w:p>
        </w:tc>
      </w:tr>
      <w:tr>
        <w:trPr>
          <w:trHeight w:val="251"/>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468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180" w:type="dxa"/>
            <w:vAlign w:val="bottom"/>
            <w:shd w:val="clear" w:color="auto" w:fill="F7F7F7"/>
          </w:tcPr>
          <w:p>
            <w:pPr>
              <w:spacing w:after="0"/>
              <w:rPr>
                <w:sz w:val="19"/>
                <w:szCs w:val="19"/>
                <w:color w:val="auto"/>
              </w:rPr>
            </w:pPr>
          </w:p>
        </w:tc>
        <w:tc>
          <w:tcPr>
            <w:tcW w:w="1420" w:type="dxa"/>
            <w:vAlign w:val="bottom"/>
            <w:shd w:val="clear" w:color="auto" w:fill="F7F7F7"/>
          </w:tcPr>
          <w:p>
            <w:pPr>
              <w:spacing w:after="0"/>
              <w:rPr>
                <w:sz w:val="19"/>
                <w:szCs w:val="19"/>
                <w:color w:val="auto"/>
              </w:rPr>
            </w:pPr>
          </w:p>
        </w:tc>
        <w:tc>
          <w:tcPr>
            <w:tcW w:w="380" w:type="dxa"/>
            <w:vAlign w:val="bottom"/>
            <w:shd w:val="clear" w:color="auto" w:fill="F7F7F7"/>
          </w:tcPr>
          <w:p>
            <w:pPr>
              <w:spacing w:after="0"/>
              <w:rPr>
                <w:sz w:val="19"/>
                <w:szCs w:val="19"/>
                <w:color w:val="auto"/>
              </w:rPr>
            </w:pPr>
          </w:p>
        </w:tc>
        <w:tc>
          <w:tcPr>
            <w:tcW w:w="124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1380" w:type="dxa"/>
            <w:vAlign w:val="bottom"/>
            <w:shd w:val="clear" w:color="auto" w:fill="F7F7F7"/>
          </w:tcPr>
          <w:p>
            <w:pPr>
              <w:spacing w:after="0"/>
              <w:rPr>
                <w:sz w:val="19"/>
                <w:szCs w:val="19"/>
                <w:color w:val="auto"/>
              </w:rPr>
            </w:pPr>
          </w:p>
        </w:tc>
        <w:tc>
          <w:tcPr>
            <w:tcW w:w="400" w:type="dxa"/>
            <w:vAlign w:val="bottom"/>
            <w:shd w:val="clear" w:color="auto" w:fill="F7F7F7"/>
          </w:tcPr>
          <w:p>
            <w:pPr>
              <w:spacing w:after="0"/>
              <w:rPr>
                <w:sz w:val="19"/>
                <w:szCs w:val="19"/>
                <w:color w:val="auto"/>
              </w:rPr>
            </w:pPr>
          </w:p>
        </w:tc>
        <w:tc>
          <w:tcPr>
            <w:tcW w:w="1180" w:type="dxa"/>
            <w:vAlign w:val="bottom"/>
            <w:shd w:val="clear" w:color="auto" w:fill="F7F7F7"/>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29"/>
        </w:trPr>
        <w:tc>
          <w:tcPr>
            <w:tcW w:w="468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0.36</w:t>
            </w:r>
          </w:p>
        </w:tc>
        <w:tc>
          <w:tcPr>
            <w:tcW w:w="380" w:type="dxa"/>
            <w:vAlign w:val="bottom"/>
            <w:tcBorders>
              <w:bottom w:val="single" w:sz="8" w:color="auto"/>
            </w:tcBorders>
            <w:shd w:val="clear" w:color="auto" w:fill="F7F7F7"/>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Borders>
              <w:bottom w:val="single" w:sz="8" w:color="auto"/>
            </w:tcBorders>
            <w:shd w:val="clear" w:color="auto" w:fill="F7F7F7"/>
          </w:tcPr>
          <w:p>
            <w:pPr>
              <w:spacing w:after="0"/>
              <w:rPr>
                <w:sz w:val="19"/>
                <w:szCs w:val="19"/>
                <w:color w:val="auto"/>
              </w:rPr>
            </w:pPr>
          </w:p>
        </w:tc>
        <w:tc>
          <w:tcPr>
            <w:tcW w:w="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1.06</w:t>
            </w:r>
          </w:p>
        </w:tc>
        <w:tc>
          <w:tcPr>
            <w:tcW w:w="40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0.37</w:t>
            </w:r>
          </w:p>
        </w:tc>
      </w:tr>
      <w:tr>
        <w:trPr>
          <w:trHeight w:val="251"/>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76"/>
        </w:trPr>
        <w:tc>
          <w:tcPr>
            <w:tcW w:w="4680" w:type="dxa"/>
            <w:vAlign w:val="bottom"/>
            <w:shd w:val="clear" w:color="auto" w:fill="F7F7F7"/>
          </w:tcPr>
          <w:p>
            <w:pPr>
              <w:ind w:left="40"/>
              <w:spacing w:after="0" w:line="175" w:lineRule="exact"/>
              <w:rPr>
                <w:sz w:val="20"/>
                <w:szCs w:val="20"/>
                <w:color w:val="auto"/>
              </w:rPr>
            </w:pPr>
            <w:r>
              <w:rPr>
                <w:rFonts w:ascii="Arial" w:cs="Arial" w:eastAsia="Arial" w:hAnsi="Arial"/>
                <w:sz w:val="16"/>
                <w:szCs w:val="16"/>
                <w:b w:val="1"/>
                <w:bCs w:val="1"/>
                <w:color w:val="auto"/>
              </w:rPr>
              <w:t>Common stock equivalents excluded from net income per</w:t>
            </w:r>
          </w:p>
        </w:tc>
        <w:tc>
          <w:tcPr>
            <w:tcW w:w="180" w:type="dxa"/>
            <w:vAlign w:val="bottom"/>
            <w:shd w:val="clear" w:color="auto" w:fill="F7F7F7"/>
          </w:tcPr>
          <w:p>
            <w:pPr>
              <w:spacing w:after="0"/>
              <w:rPr>
                <w:sz w:val="15"/>
                <w:szCs w:val="15"/>
                <w:color w:val="auto"/>
              </w:rPr>
            </w:pPr>
          </w:p>
        </w:tc>
        <w:tc>
          <w:tcPr>
            <w:tcW w:w="1420" w:type="dxa"/>
            <w:vAlign w:val="bottom"/>
            <w:shd w:val="clear" w:color="auto" w:fill="F7F7F7"/>
          </w:tcPr>
          <w:p>
            <w:pPr>
              <w:spacing w:after="0"/>
              <w:rPr>
                <w:sz w:val="15"/>
                <w:szCs w:val="15"/>
                <w:color w:val="auto"/>
              </w:rPr>
            </w:pPr>
          </w:p>
        </w:tc>
        <w:tc>
          <w:tcPr>
            <w:tcW w:w="380" w:type="dxa"/>
            <w:vAlign w:val="bottom"/>
            <w:shd w:val="clear" w:color="auto" w:fill="F7F7F7"/>
          </w:tcPr>
          <w:p>
            <w:pPr>
              <w:spacing w:after="0"/>
              <w:rPr>
                <w:sz w:val="15"/>
                <w:szCs w:val="15"/>
                <w:color w:val="auto"/>
              </w:rPr>
            </w:pPr>
          </w:p>
        </w:tc>
        <w:tc>
          <w:tcPr>
            <w:tcW w:w="1240" w:type="dxa"/>
            <w:vAlign w:val="bottom"/>
            <w:shd w:val="clear" w:color="auto" w:fill="F7F7F7"/>
          </w:tcPr>
          <w:p>
            <w:pPr>
              <w:spacing w:after="0"/>
              <w:rPr>
                <w:sz w:val="15"/>
                <w:szCs w:val="15"/>
                <w:color w:val="auto"/>
              </w:rPr>
            </w:pPr>
          </w:p>
        </w:tc>
        <w:tc>
          <w:tcPr>
            <w:tcW w:w="20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1380" w:type="dxa"/>
            <w:vAlign w:val="bottom"/>
            <w:shd w:val="clear" w:color="auto" w:fill="F7F7F7"/>
          </w:tcPr>
          <w:p>
            <w:pPr>
              <w:spacing w:after="0"/>
              <w:rPr>
                <w:sz w:val="15"/>
                <w:szCs w:val="15"/>
                <w:color w:val="auto"/>
              </w:rPr>
            </w:pPr>
          </w:p>
        </w:tc>
        <w:tc>
          <w:tcPr>
            <w:tcW w:w="400" w:type="dxa"/>
            <w:vAlign w:val="bottom"/>
            <w:shd w:val="clear" w:color="auto" w:fill="F7F7F7"/>
          </w:tcPr>
          <w:p>
            <w:pPr>
              <w:spacing w:after="0"/>
              <w:rPr>
                <w:sz w:val="15"/>
                <w:szCs w:val="15"/>
                <w:color w:val="auto"/>
              </w:rPr>
            </w:pPr>
          </w:p>
        </w:tc>
        <w:tc>
          <w:tcPr>
            <w:tcW w:w="1180" w:type="dxa"/>
            <w:vAlign w:val="bottom"/>
            <w:shd w:val="clear" w:color="auto" w:fill="F7F7F7"/>
          </w:tcPr>
          <w:p>
            <w:pPr>
              <w:spacing w:after="0"/>
              <w:rPr>
                <w:sz w:val="15"/>
                <w:szCs w:val="15"/>
                <w:color w:val="auto"/>
              </w:rPr>
            </w:pPr>
          </w:p>
        </w:tc>
      </w:tr>
      <w:tr>
        <w:trPr>
          <w:trHeight w:val="216"/>
        </w:trPr>
        <w:tc>
          <w:tcPr>
            <w:tcW w:w="4680" w:type="dxa"/>
            <w:vAlign w:val="bottom"/>
            <w:shd w:val="clear" w:color="auto" w:fill="F7F7F7"/>
          </w:tcPr>
          <w:p>
            <w:pPr>
              <w:ind w:left="40"/>
              <w:spacing w:after="0"/>
              <w:rPr>
                <w:sz w:val="20"/>
                <w:szCs w:val="20"/>
                <w:color w:val="auto"/>
              </w:rPr>
            </w:pPr>
            <w:r>
              <w:rPr>
                <w:rFonts w:ascii="Arial" w:cs="Arial" w:eastAsia="Arial" w:hAnsi="Arial"/>
                <w:sz w:val="16"/>
                <w:szCs w:val="16"/>
                <w:b w:val="1"/>
                <w:bCs w:val="1"/>
                <w:color w:val="auto"/>
              </w:rPr>
              <w:t>diluted share because they are anti-dilutive:</w:t>
            </w:r>
          </w:p>
        </w:tc>
        <w:tc>
          <w:tcPr>
            <w:tcW w:w="180" w:type="dxa"/>
            <w:vAlign w:val="bottom"/>
            <w:shd w:val="clear" w:color="auto" w:fill="F7F7F7"/>
          </w:tcPr>
          <w:p>
            <w:pPr>
              <w:spacing w:after="0"/>
              <w:rPr>
                <w:sz w:val="18"/>
                <w:szCs w:val="18"/>
                <w:color w:val="auto"/>
              </w:rPr>
            </w:pPr>
          </w:p>
        </w:tc>
        <w:tc>
          <w:tcPr>
            <w:tcW w:w="1420" w:type="dxa"/>
            <w:vAlign w:val="bottom"/>
            <w:shd w:val="clear" w:color="auto" w:fill="F7F7F7"/>
          </w:tcPr>
          <w:p>
            <w:pPr>
              <w:spacing w:after="0"/>
              <w:rPr>
                <w:sz w:val="18"/>
                <w:szCs w:val="18"/>
                <w:color w:val="auto"/>
              </w:rPr>
            </w:pPr>
          </w:p>
        </w:tc>
        <w:tc>
          <w:tcPr>
            <w:tcW w:w="380" w:type="dxa"/>
            <w:vAlign w:val="bottom"/>
            <w:shd w:val="clear" w:color="auto" w:fill="F7F7F7"/>
          </w:tcPr>
          <w:p>
            <w:pPr>
              <w:spacing w:after="0"/>
              <w:rPr>
                <w:sz w:val="18"/>
                <w:szCs w:val="18"/>
                <w:color w:val="auto"/>
              </w:rPr>
            </w:pPr>
          </w:p>
        </w:tc>
        <w:tc>
          <w:tcPr>
            <w:tcW w:w="124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1380" w:type="dxa"/>
            <w:vAlign w:val="bottom"/>
            <w:shd w:val="clear" w:color="auto" w:fill="F7F7F7"/>
          </w:tcPr>
          <w:p>
            <w:pPr>
              <w:spacing w:after="0"/>
              <w:rPr>
                <w:sz w:val="18"/>
                <w:szCs w:val="18"/>
                <w:color w:val="auto"/>
              </w:rPr>
            </w:pPr>
          </w:p>
        </w:tc>
        <w:tc>
          <w:tcPr>
            <w:tcW w:w="400" w:type="dxa"/>
            <w:vAlign w:val="bottom"/>
            <w:shd w:val="clear" w:color="auto" w:fill="F7F7F7"/>
          </w:tcPr>
          <w:p>
            <w:pPr>
              <w:spacing w:after="0"/>
              <w:rPr>
                <w:sz w:val="18"/>
                <w:szCs w:val="18"/>
                <w:color w:val="auto"/>
              </w:rPr>
            </w:pPr>
          </w:p>
        </w:tc>
        <w:tc>
          <w:tcPr>
            <w:tcW w:w="1180" w:type="dxa"/>
            <w:vAlign w:val="bottom"/>
            <w:shd w:val="clear" w:color="auto" w:fill="F7F7F7"/>
          </w:tcPr>
          <w:p>
            <w:pPr>
              <w:spacing w:after="0"/>
              <w:rPr>
                <w:sz w:val="18"/>
                <w:szCs w:val="18"/>
                <w:color w:val="auto"/>
              </w:rPr>
            </w:pPr>
          </w:p>
        </w:tc>
      </w:tr>
      <w:tr>
        <w:trPr>
          <w:trHeight w:val="228"/>
        </w:trPr>
        <w:tc>
          <w:tcPr>
            <w:tcW w:w="468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180" w:type="dxa"/>
            <w:vAlign w:val="bottom"/>
          </w:tcPr>
          <w:p>
            <w:pPr>
              <w:spacing w:after="0"/>
              <w:rPr>
                <w:sz w:val="19"/>
                <w:szCs w:val="19"/>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1,005,445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512,241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1,054,385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125,584</w:t>
            </w:r>
          </w:p>
        </w:tc>
      </w:tr>
      <w:tr>
        <w:trPr>
          <w:trHeight w:val="230"/>
        </w:trPr>
        <w:tc>
          <w:tcPr>
            <w:tcW w:w="4680" w:type="dxa"/>
            <w:vAlign w:val="bottom"/>
            <w:shd w:val="clear" w:color="auto" w:fill="F7F7F7"/>
          </w:tcPr>
          <w:p>
            <w:pPr>
              <w:ind w:left="260"/>
              <w:spacing w:after="0"/>
              <w:rPr>
                <w:sz w:val="20"/>
                <w:szCs w:val="20"/>
                <w:color w:val="auto"/>
              </w:rPr>
            </w:pPr>
            <w:r>
              <w:rPr>
                <w:rFonts w:ascii="Arial" w:cs="Arial" w:eastAsia="Arial" w:hAnsi="Arial"/>
                <w:sz w:val="16"/>
                <w:szCs w:val="16"/>
                <w:color w:val="auto"/>
              </w:rPr>
              <w:t>Restricted share units</w:t>
            </w:r>
          </w:p>
        </w:tc>
        <w:tc>
          <w:tcPr>
            <w:tcW w:w="180" w:type="dxa"/>
            <w:vAlign w:val="bottom"/>
            <w:shd w:val="clear" w:color="auto" w:fill="F7F7F7"/>
          </w:tcPr>
          <w:p>
            <w:pPr>
              <w:spacing w:after="0"/>
              <w:rPr>
                <w:sz w:val="20"/>
                <w:szCs w:val="20"/>
                <w:color w:val="auto"/>
              </w:rPr>
            </w:pPr>
          </w:p>
        </w:tc>
        <w:tc>
          <w:tcPr>
            <w:tcW w:w="142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71,640</w:t>
            </w:r>
          </w:p>
        </w:tc>
        <w:tc>
          <w:tcPr>
            <w:tcW w:w="380" w:type="dxa"/>
            <w:vAlign w:val="bottom"/>
            <w:shd w:val="clear" w:color="auto" w:fill="F7F7F7"/>
          </w:tcPr>
          <w:p>
            <w:pPr>
              <w:spacing w:after="0"/>
              <w:rPr>
                <w:sz w:val="20"/>
                <w:szCs w:val="20"/>
                <w:color w:val="auto"/>
              </w:rPr>
            </w:pPr>
          </w:p>
        </w:tc>
        <w:tc>
          <w:tcPr>
            <w:tcW w:w="12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15,859</w:t>
            </w:r>
          </w:p>
        </w:tc>
        <w:tc>
          <w:tcPr>
            <w:tcW w:w="200" w:type="dxa"/>
            <w:vAlign w:val="bottom"/>
            <w:shd w:val="clear" w:color="auto" w:fill="F7F7F7"/>
          </w:tcPr>
          <w:p>
            <w:pPr>
              <w:spacing w:after="0"/>
              <w:rPr>
                <w:sz w:val="20"/>
                <w:szCs w:val="20"/>
                <w:color w:val="auto"/>
              </w:rPr>
            </w:pPr>
          </w:p>
        </w:tc>
        <w:tc>
          <w:tcPr>
            <w:tcW w:w="180" w:type="dxa"/>
            <w:vAlign w:val="bottom"/>
            <w:shd w:val="clear" w:color="auto" w:fill="F7F7F7"/>
          </w:tcPr>
          <w:p>
            <w:pPr>
              <w:spacing w:after="0"/>
              <w:rPr>
                <w:sz w:val="20"/>
                <w:szCs w:val="20"/>
                <w:color w:val="auto"/>
              </w:rPr>
            </w:pPr>
          </w:p>
        </w:tc>
        <w:tc>
          <w:tcPr>
            <w:tcW w:w="13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346,921</w:t>
            </w:r>
          </w:p>
        </w:tc>
        <w:tc>
          <w:tcPr>
            <w:tcW w:w="400" w:type="dxa"/>
            <w:vAlign w:val="bottom"/>
            <w:shd w:val="clear" w:color="auto" w:fill="F7F7F7"/>
          </w:tcPr>
          <w:p>
            <w:pPr>
              <w:spacing w:after="0"/>
              <w:rPr>
                <w:sz w:val="20"/>
                <w:szCs w:val="20"/>
                <w:color w:val="auto"/>
              </w:rPr>
            </w:pPr>
          </w:p>
        </w:tc>
        <w:tc>
          <w:tcPr>
            <w:tcW w:w="1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210,797</w:t>
            </w:r>
          </w:p>
        </w:tc>
      </w:tr>
      <w:tr>
        <w:trPr>
          <w:trHeight w:val="229"/>
        </w:trPr>
        <w:tc>
          <w:tcPr>
            <w:tcW w:w="4680" w:type="dxa"/>
            <w:vAlign w:val="bottom"/>
          </w:tcPr>
          <w:p>
            <w:pPr>
              <w:ind w:left="260"/>
              <w:spacing w:after="0"/>
              <w:rPr>
                <w:sz w:val="20"/>
                <w:szCs w:val="20"/>
                <w:color w:val="auto"/>
              </w:rPr>
            </w:pPr>
            <w:r>
              <w:rPr>
                <w:rFonts w:ascii="Arial" w:cs="Arial" w:eastAsia="Arial" w:hAnsi="Arial"/>
                <w:sz w:val="16"/>
                <w:szCs w:val="16"/>
                <w:color w:val="auto"/>
              </w:rPr>
              <w:t>Deferred share units</w:t>
            </w:r>
          </w:p>
        </w:tc>
        <w:tc>
          <w:tcPr>
            <w:tcW w:w="180" w:type="dxa"/>
            <w:vAlign w:val="bottom"/>
          </w:tcPr>
          <w:p>
            <w:pPr>
              <w:spacing w:after="0"/>
              <w:rPr>
                <w:sz w:val="19"/>
                <w:szCs w:val="19"/>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449</w:t>
            </w:r>
          </w:p>
        </w:tc>
        <w:tc>
          <w:tcPr>
            <w:tcW w:w="3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24"/>
        </w:trPr>
        <w:tc>
          <w:tcPr>
            <w:tcW w:w="4680" w:type="dxa"/>
            <w:vAlign w:val="bottom"/>
            <w:tcBorders>
              <w:top w:val="single" w:sz="8" w:color="F7F7F7"/>
            </w:tcBorders>
            <w:shd w:val="clear" w:color="auto" w:fill="F7F7F7"/>
          </w:tcPr>
          <w:p>
            <w:pPr>
              <w:spacing w:after="0"/>
              <w:rPr>
                <w:sz w:val="19"/>
                <w:szCs w:val="19"/>
                <w:color w:val="auto"/>
              </w:rPr>
            </w:pPr>
          </w:p>
        </w:tc>
        <w:tc>
          <w:tcPr>
            <w:tcW w:w="180" w:type="dxa"/>
            <w:vAlign w:val="bottom"/>
            <w:tcBorders>
              <w:top w:val="single" w:sz="8" w:color="auto"/>
            </w:tcBorders>
            <w:shd w:val="clear" w:color="auto" w:fill="F7F7F7"/>
          </w:tcPr>
          <w:p>
            <w:pPr>
              <w:spacing w:after="0"/>
              <w:rPr>
                <w:sz w:val="19"/>
                <w:szCs w:val="19"/>
                <w:color w:val="auto"/>
              </w:rPr>
            </w:pPr>
          </w:p>
        </w:tc>
        <w:tc>
          <w:tcPr>
            <w:tcW w:w="1420" w:type="dxa"/>
            <w:vAlign w:val="bottom"/>
            <w:tcBorders>
              <w:top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1,077,534</w:t>
            </w:r>
          </w:p>
        </w:tc>
        <w:tc>
          <w:tcPr>
            <w:tcW w:w="380" w:type="dxa"/>
            <w:vAlign w:val="bottom"/>
            <w:tcBorders>
              <w:top w:val="single" w:sz="8" w:color="auto"/>
            </w:tcBorders>
            <w:shd w:val="clear" w:color="auto" w:fill="F7F7F7"/>
          </w:tcPr>
          <w:p>
            <w:pPr>
              <w:spacing w:after="0"/>
              <w:rPr>
                <w:sz w:val="19"/>
                <w:szCs w:val="19"/>
                <w:color w:val="auto"/>
              </w:rPr>
            </w:pPr>
          </w:p>
        </w:tc>
        <w:tc>
          <w:tcPr>
            <w:tcW w:w="124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528,100</w:t>
            </w:r>
          </w:p>
        </w:tc>
        <w:tc>
          <w:tcPr>
            <w:tcW w:w="200" w:type="dxa"/>
            <w:vAlign w:val="bottom"/>
            <w:tcBorders>
              <w:top w:val="single" w:sz="8" w:color="F7F7F7"/>
            </w:tcBorders>
            <w:shd w:val="clear" w:color="auto" w:fill="F7F7F7"/>
          </w:tcPr>
          <w:p>
            <w:pPr>
              <w:spacing w:after="0"/>
              <w:rPr>
                <w:sz w:val="19"/>
                <w:szCs w:val="19"/>
                <w:color w:val="auto"/>
              </w:rPr>
            </w:pPr>
          </w:p>
        </w:tc>
        <w:tc>
          <w:tcPr>
            <w:tcW w:w="180" w:type="dxa"/>
            <w:vAlign w:val="bottom"/>
            <w:tcBorders>
              <w:top w:val="single" w:sz="8" w:color="auto"/>
            </w:tcBorders>
            <w:shd w:val="clear" w:color="auto" w:fill="F7F7F7"/>
          </w:tcPr>
          <w:p>
            <w:pPr>
              <w:spacing w:after="0"/>
              <w:rPr>
                <w:sz w:val="19"/>
                <w:szCs w:val="19"/>
                <w:color w:val="auto"/>
              </w:rPr>
            </w:pPr>
          </w:p>
        </w:tc>
        <w:tc>
          <w:tcPr>
            <w:tcW w:w="1380" w:type="dxa"/>
            <w:vAlign w:val="bottom"/>
            <w:tcBorders>
              <w:top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1,401,930</w:t>
            </w:r>
          </w:p>
        </w:tc>
        <w:tc>
          <w:tcPr>
            <w:tcW w:w="400" w:type="dxa"/>
            <w:vAlign w:val="bottom"/>
            <w:tcBorders>
              <w:top w:val="single" w:sz="8" w:color="auto"/>
            </w:tcBorders>
            <w:shd w:val="clear" w:color="auto" w:fill="F7F7F7"/>
          </w:tcPr>
          <w:p>
            <w:pPr>
              <w:spacing w:after="0"/>
              <w:rPr>
                <w:sz w:val="19"/>
                <w:szCs w:val="19"/>
                <w:color w:val="auto"/>
              </w:rPr>
            </w:pPr>
          </w:p>
        </w:tc>
        <w:tc>
          <w:tcPr>
            <w:tcW w:w="11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336,746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Geographical Information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CODM has determined that the Company operates in one single operating and reportable segment and manages segment performance and resource allocation based upon consolidated net income. The CODM uses consolidated net income in deciding whether to reinvest profits into opportunities for the business, invest in business combinations or equity investments or return a portion of such profits to shareholders. The measure of segment assets is reported on the condensed consolidated balance sheets as total consolidated assets. Significant expenses reviewed by the CODM include those that are presented in the condensed consolidated statements of operations and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external revenues by geographic location, based on the location of the Company’s merchants: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spacing w:after="0"/>
              <w:rPr>
                <w:sz w:val="18"/>
                <w:szCs w:val="18"/>
                <w:color w:val="auto"/>
              </w:rPr>
            </w:pPr>
          </w:p>
        </w:tc>
        <w:tc>
          <w:tcPr>
            <w:tcW w:w="39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720" w:type="dxa"/>
            <w:vAlign w:val="bottom"/>
            <w:tcBorders>
              <w:bottom w:val="single" w:sz="8" w:color="auto"/>
            </w:tcBorders>
          </w:tcPr>
          <w:p>
            <w:pPr>
              <w:spacing w:after="0"/>
              <w:rPr>
                <w:sz w:val="18"/>
                <w:szCs w:val="18"/>
                <w:color w:val="auto"/>
              </w:rPr>
            </w:pPr>
          </w:p>
        </w:tc>
      </w:tr>
      <w:tr>
        <w:trPr>
          <w:trHeight w:val="223"/>
        </w:trPr>
        <w:tc>
          <w:tcPr>
            <w:tcW w:w="1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0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9"/>
                <w:szCs w:val="19"/>
                <w:color w:val="auto"/>
              </w:rPr>
            </w:pPr>
          </w:p>
        </w:tc>
      </w:tr>
      <w:tr>
        <w:trPr>
          <w:trHeight w:val="222"/>
        </w:trPr>
        <w:tc>
          <w:tcPr>
            <w:tcW w:w="1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760" w:type="dxa"/>
            <w:vAlign w:val="bottom"/>
            <w:gridSpan w:val="4"/>
          </w:tcPr>
          <w:p>
            <w:pPr>
              <w:jc w:val="right"/>
              <w:ind w:right="139"/>
              <w:spacing w:after="0"/>
              <w:rPr>
                <w:sz w:val="20"/>
                <w:szCs w:val="20"/>
                <w:color w:val="auto"/>
              </w:rPr>
            </w:pPr>
            <w:r>
              <w:rPr>
                <w:rFonts w:ascii="Arial" w:cs="Arial" w:eastAsia="Arial" w:hAnsi="Arial"/>
                <w:sz w:val="16"/>
                <w:szCs w:val="16"/>
                <w:color w:val="auto"/>
              </w:rPr>
              <w:t>(in US $ millions, except percentages)</w:t>
            </w: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1"/>
        </w:trPr>
        <w:tc>
          <w:tcPr>
            <w:tcW w:w="1740" w:type="dxa"/>
            <w:vAlign w:val="bottom"/>
            <w:shd w:val="clear" w:color="auto" w:fill="F7F7F7"/>
          </w:tcPr>
          <w:p>
            <w:pPr>
              <w:ind w:left="140"/>
              <w:spacing w:after="0"/>
              <w:rPr>
                <w:sz w:val="20"/>
                <w:szCs w:val="20"/>
                <w:color w:val="auto"/>
              </w:rPr>
            </w:pPr>
            <w:r>
              <w:rPr>
                <w:rFonts w:ascii="Arial" w:cs="Arial" w:eastAsia="Arial" w:hAnsi="Arial"/>
                <w:sz w:val="16"/>
                <w:szCs w:val="16"/>
                <w:color w:val="auto"/>
              </w:rPr>
              <w:t>North America</w:t>
            </w:r>
          </w:p>
        </w:tc>
        <w:tc>
          <w:tcPr>
            <w:tcW w:w="1520" w:type="dxa"/>
            <w:vAlign w:val="bottom"/>
            <w:shd w:val="clear" w:color="auto" w:fill="F7F7F7"/>
          </w:tcPr>
          <w:p>
            <w:pPr>
              <w:spacing w:after="0"/>
              <w:rPr>
                <w:sz w:val="20"/>
                <w:szCs w:val="20"/>
                <w:color w:val="auto"/>
              </w:rPr>
            </w:pPr>
          </w:p>
        </w:tc>
        <w:tc>
          <w:tcPr>
            <w:tcW w:w="1020" w:type="dxa"/>
            <w:vAlign w:val="bottom"/>
            <w:shd w:val="clear" w:color="auto" w:fill="F7F7F7"/>
          </w:tcPr>
          <w:p>
            <w:pPr>
              <w:spacing w:after="0"/>
              <w:rPr>
                <w:sz w:val="20"/>
                <w:szCs w:val="20"/>
                <w:color w:val="auto"/>
              </w:rPr>
            </w:pPr>
          </w:p>
        </w:tc>
        <w:tc>
          <w:tcPr>
            <w:tcW w:w="1360" w:type="dxa"/>
            <w:vAlign w:val="bottom"/>
            <w:shd w:val="clear" w:color="auto" w:fill="F7F7F7"/>
          </w:tcPr>
          <w:p>
            <w:pPr>
              <w:spacing w:after="0"/>
              <w:rPr>
                <w:sz w:val="20"/>
                <w:szCs w:val="20"/>
                <w:color w:val="auto"/>
              </w:rPr>
            </w:pPr>
          </w:p>
        </w:tc>
        <w:tc>
          <w:tcPr>
            <w:tcW w:w="700" w:type="dxa"/>
            <w:vAlign w:val="bottom"/>
            <w:shd w:val="clear" w:color="auto" w:fill="F7F7F7"/>
          </w:tcPr>
          <w:p>
            <w:pPr>
              <w:spacing w:after="0"/>
              <w:rPr>
                <w:sz w:val="20"/>
                <w:szCs w:val="20"/>
                <w:color w:val="auto"/>
              </w:rPr>
            </w:pPr>
          </w:p>
        </w:tc>
        <w:tc>
          <w:tcPr>
            <w:tcW w:w="160" w:type="dxa"/>
            <w:vAlign w:val="bottom"/>
            <w:shd w:val="clear" w:color="auto" w:fill="F7F7F7"/>
          </w:tcPr>
          <w:p>
            <w:pPr>
              <w:spacing w:after="0"/>
              <w:rPr>
                <w:sz w:val="20"/>
                <w:szCs w:val="20"/>
                <w:color w:val="auto"/>
              </w:rPr>
            </w:pPr>
          </w:p>
        </w:tc>
        <w:tc>
          <w:tcPr>
            <w:tcW w:w="1540" w:type="dxa"/>
            <w:vAlign w:val="bottom"/>
            <w:shd w:val="clear" w:color="auto" w:fill="F7F7F7"/>
          </w:tcPr>
          <w:p>
            <w:pPr>
              <w:spacing w:after="0"/>
              <w:rPr>
                <w:sz w:val="20"/>
                <w:szCs w:val="20"/>
                <w:color w:val="auto"/>
              </w:rPr>
            </w:pPr>
          </w:p>
        </w:tc>
        <w:tc>
          <w:tcPr>
            <w:tcW w:w="1060" w:type="dxa"/>
            <w:vAlign w:val="bottom"/>
            <w:shd w:val="clear" w:color="auto" w:fill="F7F7F7"/>
          </w:tcPr>
          <w:p>
            <w:pPr>
              <w:spacing w:after="0"/>
              <w:rPr>
                <w:sz w:val="20"/>
                <w:szCs w:val="20"/>
                <w:color w:val="auto"/>
              </w:rPr>
            </w:pPr>
          </w:p>
        </w:tc>
        <w:tc>
          <w:tcPr>
            <w:tcW w:w="1360" w:type="dxa"/>
            <w:vAlign w:val="bottom"/>
            <w:shd w:val="clear" w:color="auto" w:fill="F7F7F7"/>
          </w:tcPr>
          <w:p>
            <w:pPr>
              <w:spacing w:after="0"/>
              <w:rPr>
                <w:sz w:val="20"/>
                <w:szCs w:val="20"/>
                <w:color w:val="auto"/>
              </w:rPr>
            </w:pPr>
          </w:p>
        </w:tc>
        <w:tc>
          <w:tcPr>
            <w:tcW w:w="720" w:type="dxa"/>
            <w:vAlign w:val="bottom"/>
            <w:shd w:val="clear" w:color="auto" w:fill="F7F7F7"/>
          </w:tcPr>
          <w:p>
            <w:pPr>
              <w:spacing w:after="0"/>
              <w:rPr>
                <w:sz w:val="20"/>
                <w:szCs w:val="20"/>
                <w:color w:val="auto"/>
              </w:rPr>
            </w:pPr>
          </w:p>
        </w:tc>
      </w:tr>
      <w:tr>
        <w:trPr>
          <w:trHeight w:val="228"/>
        </w:trPr>
        <w:tc>
          <w:tcPr>
            <w:tcW w:w="174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520" w:type="dxa"/>
            <w:vAlign w:val="bottom"/>
          </w:tcPr>
          <w:p>
            <w:pPr>
              <w:jc w:val="right"/>
              <w:ind w:right="519"/>
              <w:spacing w:after="0"/>
              <w:rPr>
                <w:sz w:val="20"/>
                <w:szCs w:val="20"/>
                <w:color w:val="auto"/>
              </w:rPr>
            </w:pPr>
            <w:r>
              <w:rPr>
                <w:rFonts w:ascii="Arial" w:cs="Arial" w:eastAsia="Arial" w:hAnsi="Arial"/>
                <w:sz w:val="16"/>
                <w:szCs w:val="16"/>
                <w:color w:val="auto"/>
              </w:rPr>
              <w:t>2,373</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63 %</w:t>
            </w:r>
          </w:p>
        </w:tc>
        <w:tc>
          <w:tcPr>
            <w:tcW w:w="1360" w:type="dxa"/>
            <w:vAlign w:val="bottom"/>
          </w:tcPr>
          <w:p>
            <w:pPr>
              <w:jc w:val="right"/>
              <w:ind w:right="499"/>
              <w:spacing w:after="0"/>
              <w:rPr>
                <w:sz w:val="20"/>
                <w:szCs w:val="20"/>
                <w:color w:val="auto"/>
              </w:rPr>
            </w:pPr>
            <w:r>
              <w:rPr>
                <w:rFonts w:ascii="Arial" w:cs="Arial" w:eastAsia="Arial" w:hAnsi="Arial"/>
                <w:sz w:val="16"/>
                <w:szCs w:val="16"/>
                <w:color w:val="auto"/>
              </w:rPr>
              <w:t>1,783</w:t>
            </w:r>
          </w:p>
        </w:tc>
        <w:tc>
          <w:tcPr>
            <w:tcW w:w="700" w:type="dxa"/>
            <w:vAlign w:val="bottom"/>
          </w:tcPr>
          <w:p>
            <w:pPr>
              <w:jc w:val="right"/>
              <w:spacing w:after="0"/>
              <w:rPr>
                <w:sz w:val="20"/>
                <w:szCs w:val="20"/>
                <w:color w:val="auto"/>
              </w:rPr>
            </w:pPr>
            <w:r>
              <w:rPr>
                <w:rFonts w:ascii="Arial" w:cs="Arial" w:eastAsia="Arial" w:hAnsi="Arial"/>
                <w:sz w:val="16"/>
                <w:szCs w:val="16"/>
                <w:color w:val="auto"/>
              </w:rPr>
              <w:t>63 %</w:t>
            </w:r>
          </w:p>
        </w:tc>
        <w:tc>
          <w:tcPr>
            <w:tcW w:w="16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6,657</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63 %</w:t>
            </w:r>
          </w:p>
        </w:tc>
        <w:tc>
          <w:tcPr>
            <w:tcW w:w="1360" w:type="dxa"/>
            <w:vAlign w:val="bottom"/>
          </w:tcPr>
          <w:p>
            <w:pPr>
              <w:jc w:val="right"/>
              <w:ind w:right="499"/>
              <w:spacing w:after="0"/>
              <w:rPr>
                <w:sz w:val="20"/>
                <w:szCs w:val="20"/>
                <w:color w:val="auto"/>
              </w:rPr>
            </w:pPr>
            <w:r>
              <w:rPr>
                <w:rFonts w:ascii="Arial" w:cs="Arial" w:eastAsia="Arial" w:hAnsi="Arial"/>
                <w:sz w:val="16"/>
                <w:szCs w:val="16"/>
                <w:color w:val="auto"/>
              </w:rPr>
              <w:t>4,986</w:t>
            </w:r>
          </w:p>
        </w:tc>
        <w:tc>
          <w:tcPr>
            <w:tcW w:w="72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31"/>
        </w:trPr>
        <w:tc>
          <w:tcPr>
            <w:tcW w:w="1740" w:type="dxa"/>
            <w:vAlign w:val="bottom"/>
            <w:shd w:val="clear" w:color="auto" w:fill="F7F7F7"/>
          </w:tcPr>
          <w:p>
            <w:pPr>
              <w:ind w:left="240"/>
              <w:spacing w:after="0"/>
              <w:rPr>
                <w:sz w:val="20"/>
                <w:szCs w:val="20"/>
                <w:color w:val="auto"/>
              </w:rPr>
            </w:pPr>
            <w:r>
              <w:rPr>
                <w:rFonts w:ascii="Arial" w:cs="Arial" w:eastAsia="Arial" w:hAnsi="Arial"/>
                <w:sz w:val="16"/>
                <w:szCs w:val="16"/>
                <w:color w:val="auto"/>
              </w:rPr>
              <w:t>Canada</w:t>
            </w:r>
          </w:p>
        </w:tc>
        <w:tc>
          <w:tcPr>
            <w:tcW w:w="152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172</w:t>
            </w:r>
          </w:p>
        </w:tc>
        <w:tc>
          <w:tcPr>
            <w:tcW w:w="102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5 %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138</w:t>
            </w:r>
          </w:p>
        </w:tc>
        <w:tc>
          <w:tcPr>
            <w:tcW w:w="7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5 %</w:t>
            </w:r>
          </w:p>
        </w:tc>
        <w:tc>
          <w:tcPr>
            <w:tcW w:w="160" w:type="dxa"/>
            <w:vAlign w:val="bottom"/>
            <w:shd w:val="clear" w:color="auto" w:fill="F7F7F7"/>
          </w:tcPr>
          <w:p>
            <w:pPr>
              <w:spacing w:after="0"/>
              <w:rPr>
                <w:sz w:val="20"/>
                <w:szCs w:val="20"/>
                <w:color w:val="auto"/>
              </w:rPr>
            </w:pPr>
          </w:p>
        </w:tc>
        <w:tc>
          <w:tcPr>
            <w:tcW w:w="154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490</w:t>
            </w:r>
          </w:p>
        </w:tc>
        <w:tc>
          <w:tcPr>
            <w:tcW w:w="106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5 %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390</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5 %</w:t>
            </w: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Europe</w:t>
            </w:r>
          </w:p>
        </w:tc>
        <w:tc>
          <w:tcPr>
            <w:tcW w:w="1520" w:type="dxa"/>
            <w:vAlign w:val="bottom"/>
          </w:tcPr>
          <w:p>
            <w:pPr>
              <w:jc w:val="right"/>
              <w:ind w:right="519"/>
              <w:spacing w:after="0"/>
              <w:rPr>
                <w:sz w:val="20"/>
                <w:szCs w:val="20"/>
                <w:color w:val="auto"/>
              </w:rPr>
            </w:pPr>
            <w:r>
              <w:rPr>
                <w:rFonts w:ascii="Arial" w:cs="Arial" w:eastAsia="Arial" w:hAnsi="Arial"/>
                <w:sz w:val="16"/>
                <w:szCs w:val="16"/>
                <w:color w:val="auto"/>
              </w:rPr>
              <w:t>766</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20 %</w:t>
            </w:r>
          </w:p>
        </w:tc>
        <w:tc>
          <w:tcPr>
            <w:tcW w:w="1360" w:type="dxa"/>
            <w:vAlign w:val="bottom"/>
          </w:tcPr>
          <w:p>
            <w:pPr>
              <w:jc w:val="right"/>
              <w:ind w:right="499"/>
              <w:spacing w:after="0"/>
              <w:rPr>
                <w:sz w:val="20"/>
                <w:szCs w:val="20"/>
                <w:color w:val="auto"/>
              </w:rPr>
            </w:pPr>
            <w:r>
              <w:rPr>
                <w:rFonts w:ascii="Arial" w:cs="Arial" w:eastAsia="Arial" w:hAnsi="Arial"/>
                <w:sz w:val="16"/>
                <w:szCs w:val="16"/>
                <w:color w:val="auto"/>
              </w:rPr>
              <w:t>592</w:t>
            </w:r>
          </w:p>
        </w:tc>
        <w:tc>
          <w:tcPr>
            <w:tcW w:w="700" w:type="dxa"/>
            <w:vAlign w:val="bottom"/>
          </w:tcPr>
          <w:p>
            <w:pPr>
              <w:jc w:val="right"/>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2,140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20 %</w:t>
            </w:r>
          </w:p>
        </w:tc>
        <w:tc>
          <w:tcPr>
            <w:tcW w:w="1360" w:type="dxa"/>
            <w:vAlign w:val="bottom"/>
          </w:tcPr>
          <w:p>
            <w:pPr>
              <w:jc w:val="right"/>
              <w:ind w:right="499"/>
              <w:spacing w:after="0"/>
              <w:rPr>
                <w:sz w:val="20"/>
                <w:szCs w:val="20"/>
                <w:color w:val="auto"/>
              </w:rPr>
            </w:pPr>
            <w:r>
              <w:rPr>
                <w:rFonts w:ascii="Arial" w:cs="Arial" w:eastAsia="Arial" w:hAnsi="Arial"/>
                <w:sz w:val="16"/>
                <w:szCs w:val="16"/>
                <w:color w:val="auto"/>
              </w:rPr>
              <w:t>1,585</w:t>
            </w:r>
          </w:p>
        </w:tc>
        <w:tc>
          <w:tcPr>
            <w:tcW w:w="7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31"/>
        </w:trPr>
        <w:tc>
          <w:tcPr>
            <w:tcW w:w="1740" w:type="dxa"/>
            <w:vAlign w:val="bottom"/>
            <w:shd w:val="clear" w:color="auto" w:fill="F7F7F7"/>
          </w:tcPr>
          <w:p>
            <w:pPr>
              <w:ind w:left="140"/>
              <w:spacing w:after="0"/>
              <w:rPr>
                <w:sz w:val="20"/>
                <w:szCs w:val="20"/>
                <w:color w:val="auto"/>
              </w:rPr>
            </w:pPr>
            <w:r>
              <w:rPr>
                <w:rFonts w:ascii="Arial" w:cs="Arial" w:eastAsia="Arial" w:hAnsi="Arial"/>
                <w:sz w:val="16"/>
                <w:szCs w:val="16"/>
                <w:color w:val="auto"/>
              </w:rPr>
              <w:t>APAC</w:t>
            </w:r>
          </w:p>
        </w:tc>
        <w:tc>
          <w:tcPr>
            <w:tcW w:w="152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362</w:t>
            </w:r>
          </w:p>
        </w:tc>
        <w:tc>
          <w:tcPr>
            <w:tcW w:w="102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10 %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282</w:t>
            </w:r>
          </w:p>
        </w:tc>
        <w:tc>
          <w:tcPr>
            <w:tcW w:w="7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10 %</w:t>
            </w:r>
          </w:p>
        </w:tc>
        <w:tc>
          <w:tcPr>
            <w:tcW w:w="160" w:type="dxa"/>
            <w:vAlign w:val="bottom"/>
            <w:shd w:val="clear" w:color="auto" w:fill="F7F7F7"/>
          </w:tcPr>
          <w:p>
            <w:pPr>
              <w:spacing w:after="0"/>
              <w:rPr>
                <w:sz w:val="20"/>
                <w:szCs w:val="20"/>
                <w:color w:val="auto"/>
              </w:rPr>
            </w:pPr>
          </w:p>
        </w:tc>
        <w:tc>
          <w:tcPr>
            <w:tcW w:w="154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1,020</w:t>
            </w:r>
          </w:p>
        </w:tc>
        <w:tc>
          <w:tcPr>
            <w:tcW w:w="106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10 %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787</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10 %</w:t>
            </w:r>
          </w:p>
        </w:tc>
      </w:tr>
      <w:tr>
        <w:trPr>
          <w:trHeight w:val="229"/>
        </w:trPr>
        <w:tc>
          <w:tcPr>
            <w:tcW w:w="174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Rest of World</w:t>
            </w:r>
          </w:p>
        </w:tc>
        <w:tc>
          <w:tcPr>
            <w:tcW w:w="15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69</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2 %</w:t>
            </w: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60" w:type="dxa"/>
            <w:vAlign w:val="bottom"/>
            <w:tcBorders>
              <w:bottom w:val="single" w:sz="8" w:color="F7F7F7"/>
            </w:tcBorders>
          </w:tcPr>
          <w:p>
            <w:pPr>
              <w:spacing w:after="0"/>
              <w:rPr>
                <w:sz w:val="19"/>
                <w:szCs w:val="19"/>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188</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2 %</w:t>
            </w: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136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r>
      <w:tr>
        <w:trPr>
          <w:trHeight w:val="224"/>
        </w:trPr>
        <w:tc>
          <w:tcPr>
            <w:tcW w:w="1740" w:type="dxa"/>
            <w:vAlign w:val="bottom"/>
            <w:shd w:val="clear" w:color="auto" w:fill="F7F7F7"/>
          </w:tcPr>
          <w:p>
            <w:pPr>
              <w:ind w:left="20"/>
              <w:spacing w:after="0"/>
              <w:rPr>
                <w:sz w:val="20"/>
                <w:szCs w:val="20"/>
                <w:color w:val="auto"/>
              </w:rPr>
            </w:pPr>
            <w:r>
              <w:rPr>
                <w:rFonts w:ascii="Arial" w:cs="Arial" w:eastAsia="Arial" w:hAnsi="Arial"/>
                <w:sz w:val="16"/>
                <w:szCs w:val="16"/>
                <w:color w:val="auto"/>
              </w:rPr>
              <w:t>Total Revenue</w:t>
            </w:r>
          </w:p>
        </w:tc>
        <w:tc>
          <w:tcPr>
            <w:tcW w:w="152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3,742</w:t>
            </w:r>
          </w:p>
        </w:tc>
        <w:tc>
          <w:tcPr>
            <w:tcW w:w="102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100 %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2,844</w:t>
            </w:r>
          </w:p>
        </w:tc>
        <w:tc>
          <w:tcPr>
            <w:tcW w:w="7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100 %</w:t>
            </w:r>
          </w:p>
        </w:tc>
        <w:tc>
          <w:tcPr>
            <w:tcW w:w="160" w:type="dxa"/>
            <w:vAlign w:val="bottom"/>
            <w:shd w:val="clear" w:color="auto" w:fill="F7F7F7"/>
          </w:tcPr>
          <w:p>
            <w:pPr>
              <w:spacing w:after="0"/>
              <w:rPr>
                <w:sz w:val="19"/>
                <w:szCs w:val="19"/>
                <w:color w:val="auto"/>
              </w:rPr>
            </w:pPr>
          </w:p>
        </w:tc>
        <w:tc>
          <w:tcPr>
            <w:tcW w:w="154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10,495</w:t>
            </w:r>
          </w:p>
        </w:tc>
        <w:tc>
          <w:tcPr>
            <w:tcW w:w="1060" w:type="dxa"/>
            <w:vAlign w:val="bottom"/>
            <w:shd w:val="clear" w:color="auto" w:fill="F7F7F7"/>
          </w:tcPr>
          <w:p>
            <w:pPr>
              <w:jc w:val="right"/>
              <w:ind w:right="299"/>
              <w:spacing w:after="0"/>
              <w:rPr>
                <w:sz w:val="20"/>
                <w:szCs w:val="20"/>
                <w:color w:val="auto"/>
              </w:rPr>
            </w:pPr>
            <w:r>
              <w:rPr>
                <w:rFonts w:ascii="Arial" w:cs="Arial" w:eastAsia="Arial" w:hAnsi="Arial"/>
                <w:sz w:val="16"/>
                <w:szCs w:val="16"/>
                <w:color w:val="auto"/>
              </w:rPr>
              <w:t>100 %</w:t>
            </w:r>
          </w:p>
        </w:tc>
        <w:tc>
          <w:tcPr>
            <w:tcW w:w="1360" w:type="dxa"/>
            <w:vAlign w:val="bottom"/>
            <w:shd w:val="clear" w:color="auto" w:fill="F7F7F7"/>
          </w:tcPr>
          <w:p>
            <w:pPr>
              <w:jc w:val="right"/>
              <w:ind w:right="499"/>
              <w:spacing w:after="0"/>
              <w:rPr>
                <w:sz w:val="20"/>
                <w:szCs w:val="20"/>
                <w:color w:val="auto"/>
              </w:rPr>
            </w:pPr>
            <w:r>
              <w:rPr>
                <w:rFonts w:ascii="Arial" w:cs="Arial" w:eastAsia="Arial" w:hAnsi="Arial"/>
                <w:sz w:val="16"/>
                <w:szCs w:val="16"/>
                <w:color w:val="auto"/>
              </w:rPr>
              <w:t>7,884</w:t>
            </w:r>
          </w:p>
        </w:tc>
        <w:tc>
          <w:tcPr>
            <w:tcW w:w="7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this Management's Discussion and Analysis of Financial Condition and Results of Operations ("MD&amp;A"), "we", "us", "our", "Shopify" and "the Company" refer to Shopify Inc. and its consolidated subsidiaries, unless the context requires otherwise. In this MD&amp;A, we present Shopify's results of operations and cash flows for the three and nine months ended September 30, 2026 and 2025, and our financial position as of September 30, 2026. You should read this MD&amp;A in conjunction with the unaudited condensed consolidated financial statements and the accompanying notes thereto in Part I - Item 1 of this Quarterly Report on Form 10-Q and with our audited consolidated financial statements included in the Company's 2025 Form 10-K.</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Our unaudited condensed consolidated financial statements have been prepared in accordance with accounting principles generally accepted in the United States of America ("U.S. GAAP"). All amounts are in U.S. dollars ("USD") except where otherwise indicated.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Our MD&amp;A is intended to enable readers to gain an understanding of Shopify's results of operations, cash flows and financial position. To do so, we provide information and analysis comparing our results of operations, cash flows and financial position for the most recently completed period with the same period from the preceding fiscal year. We also provide analysis and commentary that we believe will help investors assess our future prospects. In addition, we provide "forward-looking statements" that are not historical facts, but that are based on our current estimates, beliefs and assumptions and which are subject to known and unknown important risks, uncertainties, assumptions and other factors that could cause actual results to differ materially from current expectations, including those discussed under Part II </w:t>
      </w:r>
      <w:r>
        <w:rPr>
          <w:rFonts w:ascii="Arial" w:cs="Arial" w:eastAsia="Arial" w:hAnsi="Arial"/>
          <w:sz w:val="18"/>
          <w:szCs w:val="18"/>
          <w:color w:val="231F20"/>
        </w:rPr>
        <w:t>—</w:t>
      </w:r>
      <w:r>
        <w:rPr>
          <w:rFonts w:ascii="Arial" w:cs="Arial" w:eastAsia="Arial" w:hAnsi="Arial"/>
          <w:sz w:val="18"/>
          <w:szCs w:val="18"/>
          <w:i w:val="1"/>
          <w:iCs w:val="1"/>
          <w:color w:val="auto"/>
        </w:rPr>
        <w:t xml:space="preserve"> Item 1A "Risk Factors" of this Quarterly Report on Form 10-Q and in our 2025 Form 10-K. Forward-looking statements are intended to assist readers in understanding management's expectations as of the date of this Quarterly Report on Form 10-Q, including this MD&amp;A, and may not be suitable for other purposes. See "Forward-looking Statements" in this Quarterly Report on Form 10-Q.</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 this MD&amp;A, references to our "solutions" means the combination of products and services that we offer to merchants, and references to "our merchants" as of a particular date means the total number of unique shops that are paying for a subscription to our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can help merchants of all verticals and sizes, from aspirational entrepreneurs to companies with large-scale, direct-to-consumer or business to business ("B2B") operations, or both, realize their potential at all stages of their business life cycle. In the nine months ended September 30, 2026, our platform facilitated gross merchandise volume ("GMV") of $335.5 billion, representing an increase of 32% from the nine months ended September 30, 2025. A detailed description of this metric is presented below in the section entitled, "Key Performance Indicators".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2026, our total revenue was $10.5 billion, an increase of 33% versus the nine months ended September 30, 2025. Our business model has two revenue components: a recurring subscription component we call subscription solutions and a merchant success-based component we call merchant solutions.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nine months ended September 30, 2026, subscription solutions revenues accounted for 23% of our total revenues (September 30, 2025 - 25%). We offer a range of plans that increase in price depending on additional features and economic considerations. Shopify Plus is offered at a starting rate that is several times that of our standard Shopify plans. Shopify Plus solves for the complexity of merchants as they grow and scale globally, offering additional functionality and support, including features like Shopify Audiences, incremental B2B functionality and Launchpad, for ecommerce automation. Aldo, BarkBox, Carrier, Meta, Vuori, SKIMS and Supreme are a few of our notable merchants seeking a reliable, cost-effective and scalable commerce solution. The flexibility of our pricing plans is designed to help our merchants grow in a cost-effective manner and to provide more advanced features and support as their business needs evolve.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subscription solutions is generated through the sale of subscriptions to our platform, including variable platform fees, as well as through the sale of subscriptions to our POS Pro offering, the sale of apps, the sale of themes and the registration of domain names. Subscription solutions revenues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increased from $2.0 billion in the nine months ended September 30, 2025 to $2.4 billion in the nine months ended September 30, 2026, representing an increase of 21%. Our merchants typically enter into monthly subscription agreements. The revenue from these agreements is recognized over time on a ratable basis over the contractual term and therefore we have deferred revenue on our balance sheet. We do not consider this deferred revenue balance to be a good indicator of future revenue. Instead, we believe Monthly Recurring Revenue ("MRR") is most closely correlated with the long-term value of our merchant relationships. As of September 30, 2026, MRR totaled $230 million, representing an increase of 19% relative to MRR at September 30, 2025. A detailed description of this metric is presented below in the section entitled, "Key Performance Indicators".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variety of merchant solutions that are designed to add value to our merchants by passing on our economies of scale and augmenting our subscription solutions. During the nine months ended September 30, 2026, merchant solutions revenues accounted for 77% of total revenues (September 30, 2025 - 75%). We principally generate merchant solutions revenues from payment processing fees and currency conversion fees from Shopify Payments. Shopify Payments is a fully integrated payment solution. In addition to payment processing fees and currency conversion fees from Shopify Payments, we also generate merchant solutions revenue from our lending services and financial products, referral fees from partners, the sale of shipping labels, the sale of POS hardware, advertising on the Shopify App Store and Shop Campaigns, our buyer acquisition offering. The majority of our merchant solutions revenues are directionally correlated with the level of GMV that our merchants process through our platform. Merchant solutions revenues increased from $5.9 billion in the nine months ended September 30, 2025 to $8.1 billion in the nine months ended September 30, 2026, representing an increase of 37%.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model is driven by our ability to attract new merchants, retain revenue from existing merchants and increase sales to both new and existing merchants. Our merchants represent a wide array of retail verticals, business sizes and geographies, and no single merchant has ever represented more than five percent of our total revenues in a single reporting period. We believe that our future success depends on many factors, including our ability to expand our merchant base; localize features for specific geographies; retain merchants as they grow their businesses on our platform and adopt more features; offer more sales channels that connect merchants with potential customers; develop new solutions to extend our platform’s functionality and catalyze merchants’ sales growth; leverage emerging technologies, including AI; enhance our ecosystem and partner programs; provide a high level of merchant support; hire, retain and motivate qualified personnel; and build with a focus on maximizing long-term value.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focused on rapidly growing our business and plan to continue making investments to drive future growth. We believe that our investments will increase our revenue base, improve the retention of this base and strengthen our ability to increase sales to our merchants. We also maintain a portfolio of investments with varying time horizons in our cash management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key performance indicators, which we do not consider to be non-GAAP measures, that we use to evaluate our business, measure our performance, identify trends affecting our business, formulate financial projections and make strategic decisions are MRR and GMV. Our key performance indicators may be calculated in a manner different than similar key performance indicators used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MRR and GMV for the three and nine months ended September 30, 2026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00" w:type="dxa"/>
            <w:vAlign w:val="bottom"/>
          </w:tcPr>
          <w:p>
            <w:pPr>
              <w:spacing w:after="0"/>
              <w:rPr>
                <w:sz w:val="18"/>
                <w:szCs w:val="18"/>
                <w:color w:val="auto"/>
              </w:rPr>
            </w:pPr>
          </w:p>
        </w:tc>
        <w:tc>
          <w:tcPr>
            <w:tcW w:w="3360" w:type="dxa"/>
            <w:vAlign w:val="bottom"/>
            <w:gridSpan w:val="3"/>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31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700" w:type="dxa"/>
            <w:vAlign w:val="bottom"/>
            <w:tcBorders>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222"/>
        </w:trPr>
        <w:tc>
          <w:tcPr>
            <w:tcW w:w="4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60" w:type="dxa"/>
            <w:vAlign w:val="bottom"/>
            <w:gridSpan w:val="3"/>
          </w:tcPr>
          <w:p>
            <w:pPr>
              <w:jc w:val="right"/>
              <w:ind w:right="1259"/>
              <w:spacing w:after="0"/>
              <w:rPr>
                <w:sz w:val="20"/>
                <w:szCs w:val="20"/>
                <w:color w:val="auto"/>
              </w:rPr>
            </w:pPr>
            <w:r>
              <w:rPr>
                <w:rFonts w:ascii="Arial" w:cs="Arial" w:eastAsia="Arial" w:hAnsi="Arial"/>
                <w:sz w:val="16"/>
                <w:szCs w:val="16"/>
                <w:color w:val="auto"/>
              </w:rPr>
              <w:t>(in US $ millions)</w:t>
            </w:r>
          </w:p>
        </w:tc>
        <w:tc>
          <w:tcPr>
            <w:tcW w:w="1320" w:type="dxa"/>
            <w:vAlign w:val="bottom"/>
          </w:tcPr>
          <w:p>
            <w:pPr>
              <w:spacing w:after="0"/>
              <w:rPr>
                <w:sz w:val="19"/>
                <w:szCs w:val="19"/>
                <w:color w:val="auto"/>
              </w:rPr>
            </w:pPr>
          </w:p>
        </w:tc>
      </w:tr>
      <w:tr>
        <w:trPr>
          <w:trHeight w:val="231"/>
        </w:trPr>
        <w:tc>
          <w:tcPr>
            <w:tcW w:w="4700" w:type="dxa"/>
            <w:vAlign w:val="bottom"/>
            <w:shd w:val="clear" w:color="auto" w:fill="F7F7F7"/>
          </w:tcPr>
          <w:p>
            <w:pPr>
              <w:ind w:left="60"/>
              <w:spacing w:after="0"/>
              <w:rPr>
                <w:sz w:val="20"/>
                <w:szCs w:val="20"/>
                <w:color w:val="auto"/>
              </w:rPr>
            </w:pPr>
            <w:r>
              <w:rPr>
                <w:rFonts w:ascii="Arial" w:cs="Arial" w:eastAsia="Arial" w:hAnsi="Arial"/>
                <w:sz w:val="16"/>
                <w:szCs w:val="16"/>
                <w:color w:val="auto"/>
              </w:rPr>
              <w:t>Monthly Recurring Revenue</w:t>
            </w:r>
          </w:p>
        </w:tc>
        <w:tc>
          <w:tcPr>
            <w:tcW w:w="186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230</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F7F7F7"/>
          </w:tcPr>
          <w:p>
            <w:pPr>
              <w:spacing w:after="0"/>
              <w:rPr>
                <w:sz w:val="20"/>
                <w:szCs w:val="20"/>
                <w:color w:val="auto"/>
              </w:rPr>
            </w:pPr>
          </w:p>
        </w:tc>
        <w:tc>
          <w:tcPr>
            <w:tcW w:w="186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230</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193</w:t>
            </w:r>
          </w:p>
        </w:tc>
      </w:tr>
      <w:tr>
        <w:trPr>
          <w:trHeight w:val="228"/>
        </w:trPr>
        <w:tc>
          <w:tcPr>
            <w:tcW w:w="4700" w:type="dxa"/>
            <w:vAlign w:val="bottom"/>
          </w:tcPr>
          <w:p>
            <w:pPr>
              <w:ind w:left="60"/>
              <w:spacing w:after="0"/>
              <w:rPr>
                <w:sz w:val="20"/>
                <w:szCs w:val="20"/>
                <w:color w:val="auto"/>
              </w:rPr>
            </w:pPr>
            <w:r>
              <w:rPr>
                <w:rFonts w:ascii="Arial" w:cs="Arial" w:eastAsia="Arial" w:hAnsi="Arial"/>
                <w:sz w:val="16"/>
                <w:szCs w:val="16"/>
                <w:color w:val="auto"/>
              </w:rPr>
              <w:t>Gross Merchandise Volume</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119,145</w:t>
            </w:r>
          </w:p>
        </w:tc>
        <w:tc>
          <w:tcPr>
            <w:tcW w:w="1340" w:type="dxa"/>
            <w:vAlign w:val="bottom"/>
          </w:tcPr>
          <w:p>
            <w:pPr>
              <w:jc w:val="right"/>
              <w:spacing w:after="0"/>
              <w:rPr>
                <w:sz w:val="20"/>
                <w:szCs w:val="20"/>
                <w:color w:val="auto"/>
              </w:rPr>
            </w:pPr>
            <w:r>
              <w:rPr>
                <w:rFonts w:ascii="Arial" w:cs="Arial" w:eastAsia="Arial" w:hAnsi="Arial"/>
                <w:sz w:val="16"/>
                <w:szCs w:val="16"/>
                <w:color w:val="auto"/>
              </w:rPr>
              <w:t>92,013</w:t>
            </w:r>
          </w:p>
        </w:tc>
        <w:tc>
          <w:tcPr>
            <w:tcW w:w="160" w:type="dxa"/>
            <w:vAlign w:val="bottom"/>
          </w:tcPr>
          <w:p>
            <w:pPr>
              <w:spacing w:after="0"/>
              <w:rPr>
                <w:sz w:val="19"/>
                <w:szCs w:val="19"/>
                <w:color w:val="auto"/>
              </w:rPr>
            </w:pP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335,455</w:t>
            </w:r>
          </w:p>
        </w:tc>
        <w:tc>
          <w:tcPr>
            <w:tcW w:w="1320" w:type="dxa"/>
            <w:vAlign w:val="bottom"/>
          </w:tcPr>
          <w:p>
            <w:pPr>
              <w:jc w:val="right"/>
              <w:spacing w:after="0"/>
              <w:rPr>
                <w:sz w:val="20"/>
                <w:szCs w:val="20"/>
                <w:color w:val="auto"/>
              </w:rPr>
            </w:pPr>
            <w:r>
              <w:rPr>
                <w:rFonts w:ascii="Arial" w:cs="Arial" w:eastAsia="Arial" w:hAnsi="Arial"/>
                <w:sz w:val="16"/>
                <w:szCs w:val="16"/>
                <w:color w:val="auto"/>
              </w:rPr>
              <w:t>254,600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Recurring Revenue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MRR is the aggregate value of all subscription plans, excluding variable platform fees, in effect on the last day of the period, assuming merchants maintain their subscription the following month. Subscription plans to both our platform and our POS Pro offering are included in this calculation. When applicable, MRR relating to subscription plans billed in a merchant's local currency is converted to USD using the respective currency exchange rate as of the period end date. Prospective merchants that have joined the platform through special new merchant trial incentives, including paid trials, are included in MRR at their trial price while merchants on free trials are excluded from the calculation of MRR through the duration of the free trial. MRR allows us to average our various pricing plans and billing periods into a single, consistent number that we can track over time. We also consider the factors that contribute to MRR, specifically the number of paying merchants using our platform, the number of merchants that are on full-price plans or paid trials, the mix of subscription plan types and overall pricing of our subscription plans. In addition, we use MRR to forecast monthly, quarterly and annual subscription plan revenue, which makes up the majority of our subscription solutions revenue. We had $230 million of MRR as of September 30, 2026 compared to $193 million as of September 30,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2026, the MRR growth rate for the period was consistent with the same period in 2025.</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nine months ended September 30, 2026, the MRR growth rate for the period was higher than the same period in 2025 driven by the prior year impact of extending the length of paid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Merchandise Volume</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GMV is the total dollar value of orders facilitated through our platform including certain apps and channels for which a revenue-sharing arrangement is in place in the period, net of refunds, and inclusive of shipping and handling, duty and value-added taxes. GMV does not represent revenue earned by us. However, the volume of GMV facilitated through our platform is an indicator of the success of our merchants and the strength of our platform. Our merchant solutions revenues are also directionally correlated with the level of GMV facilitated through our platform. For the three and nine months ended September 30, 2026 we facilitated GMV of $119.1 billion and $335.5 billion, respectively, (September 30, 2025 - $92.0 billion and $254.6 billion), representing year-over-year growth of 29% on a quarterly basis and 32% on a year-to-date basis (2025 vs 2024 - 32% and 29%). On a constant currency basis, in which GMV in the three and nine months ended September 30, 2026 is converted using the comparative period's monthly average exchange rates, year-over-year growth was 30% and 30% (2025 vs 2024 - 30% and 28%).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Revenue Mix</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continued growth of Shopify Payments and select other products in merchant solutions, our revenues from merchant solutions in recent periods have grown faster than subscription solutions. Merchant solutions are intended to complement subscription solutions by providing additional value to our merchants and increasing their use of our platform. Gross profit margins on Shopify Payments, the biggest driver of merchant solutions revenue, are typically lower than on subscription solutions due to the associated third-party costs of providing this solution. We view Shopify Payments as beneficial to our operating margins, as it requires significantly less sales and marketing and research and development expenses than Shopify’s subscription business. The lower margins on merchant solutions compared to subscription solutions means that the continued growth of merchant solutions has caused in the past, and may cause in the future, a decline in our overall gross margin percentage.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merchant solutions revenues are directionally correlated with the level of GMV that our merchants facilitated through our platform. Our merchants typically process additional GMV during the fourth quarter holiday season. As a result, we have historically generated higher merchant solutions revenues in our fourth quarter than in other quarters. While we believe that this seasonality has affected and will continue to affect our quarterly results, our continued growth has partially masked seasonal trends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date. As a result of the continued growth of our merchant solutions offerings, we believe that our business may become more seasonal in the future and that historical patterns in our business may not be a reliable indicator of our future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and CAD. A significant proportion of operating expenses are also incurred and expected to be included in the aforementioned foreign currencies. To help mitigate the impacts associated with foreign currency fluctuations on future cash flows from operating expenses, we maintain a portfolio of foreign exchange forward contracts and options designated as hedging instruments. As our operations continue to expand internationally, we may be exposed to additional fluctuations in other foreign currencies. Refer to Part I — Item 3 "Quantitative and Qualitative Disclosures About Market Risk" in this Quarterly Report on Form 10-Q for additional information on the effect on reported results of changes in foreign exchange rates.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Part II — Item 7 "Management's Discussion and Analysis of Financial Condition and Results of Operations" in our 2025 Form 10-K for details on the key components of results of operations. There have been no material changes to our key components of results of operations during the nine months ended September 30, 2026, as compared to those described in our 2025 Form 10-K.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0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6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20" w:type="dxa"/>
            <w:vAlign w:val="bottom"/>
            <w:gridSpan w:val="7"/>
          </w:tcPr>
          <w:p>
            <w:pPr>
              <w:jc w:val="right"/>
              <w:ind w:right="39"/>
              <w:spacing w:after="0"/>
              <w:rPr>
                <w:sz w:val="20"/>
                <w:szCs w:val="20"/>
                <w:color w:val="auto"/>
              </w:rPr>
            </w:pPr>
            <w:r>
              <w:rPr>
                <w:rFonts w:ascii="Arial" w:cs="Arial" w:eastAsia="Arial" w:hAnsi="Arial"/>
                <w:sz w:val="16"/>
                <w:szCs w:val="16"/>
                <w:color w:val="auto"/>
              </w:rPr>
              <w:t>(in US $ millions, except share and per share amounts)</w:t>
            </w:r>
          </w:p>
        </w:tc>
        <w:tc>
          <w:tcPr>
            <w:tcW w:w="1200" w:type="dxa"/>
            <w:vAlign w:val="bottom"/>
          </w:tcPr>
          <w:p>
            <w:pPr>
              <w:spacing w:after="0"/>
              <w:rPr>
                <w:sz w:val="19"/>
                <w:szCs w:val="19"/>
                <w:color w:val="auto"/>
              </w:rPr>
            </w:pPr>
          </w:p>
        </w:tc>
      </w:tr>
      <w:tr>
        <w:trPr>
          <w:trHeight w:val="231"/>
        </w:trPr>
        <w:tc>
          <w:tcPr>
            <w:tcW w:w="466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F7F7F7"/>
          </w:tcPr>
          <w:p>
            <w:pPr>
              <w:spacing w:after="0"/>
              <w:rPr>
                <w:sz w:val="20"/>
                <w:szCs w:val="20"/>
                <w:color w:val="auto"/>
              </w:rPr>
            </w:pPr>
          </w:p>
        </w:tc>
        <w:tc>
          <w:tcPr>
            <w:tcW w:w="1420" w:type="dxa"/>
            <w:vAlign w:val="bottom"/>
            <w:shd w:val="clear" w:color="auto" w:fill="F7F7F7"/>
          </w:tcPr>
          <w:p>
            <w:pPr>
              <w:spacing w:after="0"/>
              <w:rPr>
                <w:sz w:val="20"/>
                <w:szCs w:val="20"/>
                <w:color w:val="auto"/>
              </w:rPr>
            </w:pPr>
          </w:p>
        </w:tc>
        <w:tc>
          <w:tcPr>
            <w:tcW w:w="340" w:type="dxa"/>
            <w:vAlign w:val="bottom"/>
            <w:shd w:val="clear" w:color="auto" w:fill="F7F7F7"/>
          </w:tcPr>
          <w:p>
            <w:pPr>
              <w:spacing w:after="0"/>
              <w:rPr>
                <w:sz w:val="20"/>
                <w:szCs w:val="20"/>
                <w:color w:val="auto"/>
              </w:rPr>
            </w:pPr>
          </w:p>
        </w:tc>
        <w:tc>
          <w:tcPr>
            <w:tcW w:w="1280" w:type="dxa"/>
            <w:vAlign w:val="bottom"/>
            <w:shd w:val="clear" w:color="auto" w:fill="F7F7F7"/>
          </w:tcPr>
          <w:p>
            <w:pPr>
              <w:spacing w:after="0"/>
              <w:rPr>
                <w:sz w:val="20"/>
                <w:szCs w:val="20"/>
                <w:color w:val="auto"/>
              </w:rPr>
            </w:pPr>
          </w:p>
        </w:tc>
        <w:tc>
          <w:tcPr>
            <w:tcW w:w="18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400" w:type="dxa"/>
            <w:vAlign w:val="bottom"/>
            <w:shd w:val="clear" w:color="auto" w:fill="F7F7F7"/>
          </w:tcPr>
          <w:p>
            <w:pPr>
              <w:spacing w:after="0"/>
              <w:rPr>
                <w:sz w:val="20"/>
                <w:szCs w:val="20"/>
                <w:color w:val="auto"/>
              </w:rPr>
            </w:pPr>
          </w:p>
        </w:tc>
        <w:tc>
          <w:tcPr>
            <w:tcW w:w="400" w:type="dxa"/>
            <w:vAlign w:val="bottom"/>
            <w:shd w:val="clear" w:color="auto" w:fill="F7F7F7"/>
          </w:tcPr>
          <w:p>
            <w:pPr>
              <w:spacing w:after="0"/>
              <w:rPr>
                <w:sz w:val="20"/>
                <w:szCs w:val="20"/>
                <w:color w:val="auto"/>
              </w:rPr>
            </w:pPr>
          </w:p>
        </w:tc>
        <w:tc>
          <w:tcPr>
            <w:tcW w:w="1200" w:type="dxa"/>
            <w:vAlign w:val="bottom"/>
            <w:shd w:val="clear" w:color="auto" w:fill="F7F7F7"/>
          </w:tcPr>
          <w:p>
            <w:pPr>
              <w:spacing w:after="0"/>
              <w:rPr>
                <w:sz w:val="20"/>
                <w:szCs w:val="20"/>
                <w:color w:val="auto"/>
              </w:rPr>
            </w:pPr>
          </w:p>
        </w:tc>
      </w:tr>
      <w:tr>
        <w:trPr>
          <w:trHeight w:val="229"/>
        </w:trPr>
        <w:tc>
          <w:tcPr>
            <w:tcW w:w="4660" w:type="dxa"/>
            <w:vAlign w:val="bottom"/>
          </w:tcPr>
          <w:p>
            <w:pPr>
              <w:ind w:left="460"/>
              <w:spacing w:after="0"/>
              <w:rPr>
                <w:sz w:val="20"/>
                <w:szCs w:val="20"/>
                <w:color w:val="auto"/>
              </w:rPr>
            </w:pPr>
            <w:r>
              <w:rPr>
                <w:rFonts w:ascii="Arial" w:cs="Arial" w:eastAsia="Arial" w:hAnsi="Arial"/>
                <w:sz w:val="16"/>
                <w:szCs w:val="16"/>
                <w:color w:val="auto"/>
              </w:rPr>
              <w:t>Subscription solutions</w:t>
            </w: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836</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2,388</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1,975</w:t>
            </w:r>
          </w:p>
        </w:tc>
      </w:tr>
      <w:tr>
        <w:trPr>
          <w:trHeight w:val="229"/>
        </w:trPr>
        <w:tc>
          <w:tcPr>
            <w:tcW w:w="4660" w:type="dxa"/>
            <w:vAlign w:val="bottom"/>
            <w:shd w:val="clear" w:color="auto" w:fill="F7F7F7"/>
          </w:tcPr>
          <w:p>
            <w:pPr>
              <w:ind w:left="460"/>
              <w:spacing w:after="0"/>
              <w:rPr>
                <w:sz w:val="20"/>
                <w:szCs w:val="20"/>
                <w:color w:val="auto"/>
              </w:rPr>
            </w:pPr>
            <w:r>
              <w:rPr>
                <w:rFonts w:ascii="Arial" w:cs="Arial" w:eastAsia="Arial" w:hAnsi="Arial"/>
                <w:sz w:val="16"/>
                <w:szCs w:val="16"/>
                <w:color w:val="auto"/>
              </w:rPr>
              <w:t>Merchant solutions</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2,906</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2,145</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8,107</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5,909</w:t>
            </w:r>
          </w:p>
        </w:tc>
      </w:tr>
      <w:tr>
        <w:trPr>
          <w:trHeight w:val="224"/>
        </w:trPr>
        <w:tc>
          <w:tcPr>
            <w:tcW w:w="4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3,742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2,844</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10,495</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7,884</w:t>
            </w:r>
          </w:p>
        </w:tc>
      </w:tr>
      <w:tr>
        <w:trPr>
          <w:trHeight w:val="223"/>
        </w:trPr>
        <w:tc>
          <w:tcPr>
            <w:tcW w:w="4660" w:type="dxa"/>
            <w:vAlign w:val="bottom"/>
            <w:shd w:val="clear" w:color="auto" w:fill="F7F7F7"/>
          </w:tcPr>
          <w:p>
            <w:pPr>
              <w:ind w:left="140"/>
              <w:spacing w:after="0" w:line="223"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(1)(2)</w:t>
            </w:r>
          </w:p>
        </w:tc>
        <w:tc>
          <w:tcPr>
            <w:tcW w:w="160" w:type="dxa"/>
            <w:vAlign w:val="bottom"/>
            <w:shd w:val="clear" w:color="auto" w:fill="F7F7F7"/>
          </w:tcPr>
          <w:p>
            <w:pPr>
              <w:spacing w:after="0"/>
              <w:rPr>
                <w:sz w:val="19"/>
                <w:szCs w:val="19"/>
                <w:color w:val="auto"/>
              </w:rPr>
            </w:pPr>
          </w:p>
        </w:tc>
        <w:tc>
          <w:tcPr>
            <w:tcW w:w="1420" w:type="dxa"/>
            <w:vAlign w:val="bottom"/>
            <w:shd w:val="clear" w:color="auto" w:fill="F7F7F7"/>
          </w:tcPr>
          <w:p>
            <w:pPr>
              <w:spacing w:after="0"/>
              <w:rPr>
                <w:sz w:val="19"/>
                <w:szCs w:val="19"/>
                <w:color w:val="auto"/>
              </w:rPr>
            </w:pPr>
          </w:p>
        </w:tc>
        <w:tc>
          <w:tcPr>
            <w:tcW w:w="340" w:type="dxa"/>
            <w:vAlign w:val="bottom"/>
            <w:shd w:val="clear" w:color="auto" w:fill="F7F7F7"/>
          </w:tcPr>
          <w:p>
            <w:pPr>
              <w:spacing w:after="0"/>
              <w:rPr>
                <w:sz w:val="19"/>
                <w:szCs w:val="19"/>
                <w:color w:val="auto"/>
              </w:rPr>
            </w:pPr>
          </w:p>
        </w:tc>
        <w:tc>
          <w:tcPr>
            <w:tcW w:w="12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400" w:type="dxa"/>
            <w:vAlign w:val="bottom"/>
            <w:shd w:val="clear" w:color="auto" w:fill="F7F7F7"/>
          </w:tcPr>
          <w:p>
            <w:pPr>
              <w:spacing w:after="0"/>
              <w:rPr>
                <w:sz w:val="19"/>
                <w:szCs w:val="19"/>
                <w:color w:val="auto"/>
              </w:rPr>
            </w:pPr>
          </w:p>
        </w:tc>
        <w:tc>
          <w:tcPr>
            <w:tcW w:w="400" w:type="dxa"/>
            <w:vAlign w:val="bottom"/>
            <w:shd w:val="clear" w:color="auto" w:fill="F7F7F7"/>
          </w:tcPr>
          <w:p>
            <w:pPr>
              <w:spacing w:after="0"/>
              <w:rPr>
                <w:sz w:val="19"/>
                <w:szCs w:val="19"/>
                <w:color w:val="auto"/>
              </w:rPr>
            </w:pPr>
          </w:p>
        </w:tc>
        <w:tc>
          <w:tcPr>
            <w:tcW w:w="1200" w:type="dxa"/>
            <w:vAlign w:val="bottom"/>
            <w:shd w:val="clear" w:color="auto" w:fill="F7F7F7"/>
          </w:tcPr>
          <w:p>
            <w:pPr>
              <w:spacing w:after="0"/>
              <w:rPr>
                <w:sz w:val="19"/>
                <w:szCs w:val="19"/>
                <w:color w:val="auto"/>
              </w:rPr>
            </w:pPr>
          </w:p>
        </w:tc>
      </w:tr>
      <w:tr>
        <w:trPr>
          <w:trHeight w:val="229"/>
        </w:trPr>
        <w:tc>
          <w:tcPr>
            <w:tcW w:w="4660" w:type="dxa"/>
            <w:vAlign w:val="bottom"/>
          </w:tcPr>
          <w:p>
            <w:pPr>
              <w:ind w:left="460"/>
              <w:spacing w:after="0"/>
              <w:rPr>
                <w:sz w:val="20"/>
                <w:szCs w:val="20"/>
                <w:color w:val="auto"/>
              </w:rPr>
            </w:pPr>
            <w:r>
              <w:rPr>
                <w:rFonts w:ascii="Arial" w:cs="Arial" w:eastAsia="Arial" w:hAnsi="Arial"/>
                <w:sz w:val="16"/>
                <w:szCs w:val="16"/>
                <w:color w:val="auto"/>
              </w:rPr>
              <w:t>Subscription solutions</w:t>
            </w: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486</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29"/>
        </w:trPr>
        <w:tc>
          <w:tcPr>
            <w:tcW w:w="4660" w:type="dxa"/>
            <w:vAlign w:val="bottom"/>
            <w:shd w:val="clear" w:color="auto" w:fill="F7F7F7"/>
          </w:tcPr>
          <w:p>
            <w:pPr>
              <w:ind w:left="460"/>
              <w:spacing w:after="0"/>
              <w:rPr>
                <w:sz w:val="20"/>
                <w:szCs w:val="20"/>
                <w:color w:val="auto"/>
              </w:rPr>
            </w:pPr>
            <w:r>
              <w:rPr>
                <w:rFonts w:ascii="Arial" w:cs="Arial" w:eastAsia="Arial" w:hAnsi="Arial"/>
                <w:sz w:val="16"/>
                <w:szCs w:val="16"/>
                <w:color w:val="auto"/>
              </w:rPr>
              <w:t>Merchant solutions</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1,786</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1,325</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4,974</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3,650</w:t>
            </w:r>
          </w:p>
        </w:tc>
      </w:tr>
      <w:tr>
        <w:trPr>
          <w:trHeight w:val="223"/>
        </w:trPr>
        <w:tc>
          <w:tcPr>
            <w:tcW w:w="4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1,961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5,460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r>
      <w:tr>
        <w:trPr>
          <w:trHeight w:val="224"/>
        </w:trPr>
        <w:tc>
          <w:tcPr>
            <w:tcW w:w="4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1,781</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1,391</w:t>
            </w:r>
          </w:p>
        </w:tc>
        <w:tc>
          <w:tcPr>
            <w:tcW w:w="180" w:type="dxa"/>
            <w:vAlign w:val="bottom"/>
            <w:tcBorders>
              <w:bottom w:val="single" w:sz="8" w:color="auto"/>
            </w:tcBorders>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5,035</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3,862</w:t>
            </w: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60" w:type="dxa"/>
            <w:vAlign w:val="bottom"/>
            <w:shd w:val="clear" w:color="auto" w:fill="F7F7F7"/>
          </w:tcPr>
          <w:p>
            <w:pPr>
              <w:ind w:left="46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160" w:type="dxa"/>
            <w:vAlign w:val="bottom"/>
            <w:shd w:val="clear" w:color="auto" w:fill="F7F7F7"/>
          </w:tcPr>
          <w:p>
            <w:pPr>
              <w:spacing w:after="0"/>
              <w:rPr>
                <w:sz w:val="19"/>
                <w:szCs w:val="19"/>
                <w:color w:val="auto"/>
              </w:rPr>
            </w:pPr>
          </w:p>
        </w:tc>
        <w:tc>
          <w:tcPr>
            <w:tcW w:w="14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466</w:t>
            </w:r>
          </w:p>
        </w:tc>
        <w:tc>
          <w:tcPr>
            <w:tcW w:w="340" w:type="dxa"/>
            <w:vAlign w:val="bottom"/>
            <w:shd w:val="clear" w:color="auto" w:fill="F7F7F7"/>
          </w:tcPr>
          <w:p>
            <w:pPr>
              <w:spacing w:after="0"/>
              <w:rPr>
                <w:sz w:val="19"/>
                <w:szCs w:val="19"/>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1,460</w:t>
            </w:r>
          </w:p>
        </w:tc>
        <w:tc>
          <w:tcPr>
            <w:tcW w:w="400" w:type="dxa"/>
            <w:vAlign w:val="bottom"/>
            <w:shd w:val="clear" w:color="auto" w:fill="F7F7F7"/>
          </w:tcPr>
          <w:p>
            <w:pPr>
              <w:spacing w:after="0"/>
              <w:rPr>
                <w:sz w:val="19"/>
                <w:szCs w:val="19"/>
                <w:color w:val="auto"/>
              </w:rPr>
            </w:pPr>
          </w:p>
        </w:tc>
        <w:tc>
          <w:tcPr>
            <w:tcW w:w="1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1,230</w:t>
            </w:r>
          </w:p>
        </w:tc>
      </w:tr>
      <w:tr>
        <w:trPr>
          <w:trHeight w:val="230"/>
        </w:trPr>
        <w:tc>
          <w:tcPr>
            <w:tcW w:w="4660" w:type="dxa"/>
            <w:vAlign w:val="bottom"/>
          </w:tcPr>
          <w:p>
            <w:pPr>
              <w:ind w:left="46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497</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1,379</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29"/>
        </w:trPr>
        <w:tc>
          <w:tcPr>
            <w:tcW w:w="4660" w:type="dxa"/>
            <w:vAlign w:val="bottom"/>
            <w:shd w:val="clear" w:color="auto" w:fill="F7F7F7"/>
          </w:tcPr>
          <w:p>
            <w:pPr>
              <w:ind w:left="46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160" w:type="dxa"/>
            <w:vAlign w:val="bottom"/>
            <w:shd w:val="clear" w:color="auto" w:fill="F7F7F7"/>
          </w:tcPr>
          <w:p>
            <w:pPr>
              <w:spacing w:after="0"/>
              <w:rPr>
                <w:sz w:val="19"/>
                <w:szCs w:val="19"/>
                <w:color w:val="auto"/>
              </w:rPr>
            </w:pPr>
          </w:p>
        </w:tc>
        <w:tc>
          <w:tcPr>
            <w:tcW w:w="14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130</w:t>
            </w:r>
          </w:p>
        </w:tc>
        <w:tc>
          <w:tcPr>
            <w:tcW w:w="340" w:type="dxa"/>
            <w:vAlign w:val="bottom"/>
            <w:shd w:val="clear" w:color="auto" w:fill="F7F7F7"/>
          </w:tcPr>
          <w:p>
            <w:pPr>
              <w:spacing w:after="0"/>
              <w:rPr>
                <w:sz w:val="19"/>
                <w:szCs w:val="19"/>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381</w:t>
            </w:r>
          </w:p>
        </w:tc>
        <w:tc>
          <w:tcPr>
            <w:tcW w:w="400" w:type="dxa"/>
            <w:vAlign w:val="bottom"/>
            <w:shd w:val="clear" w:color="auto" w:fill="F7F7F7"/>
          </w:tcPr>
          <w:p>
            <w:pPr>
              <w:spacing w:after="0"/>
              <w:rPr>
                <w:sz w:val="19"/>
                <w:szCs w:val="19"/>
                <w:color w:val="auto"/>
              </w:rPr>
            </w:pPr>
          </w:p>
        </w:tc>
        <w:tc>
          <w:tcPr>
            <w:tcW w:w="1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346</w:t>
            </w:r>
          </w:p>
        </w:tc>
      </w:tr>
      <w:tr>
        <w:trPr>
          <w:trHeight w:val="228"/>
        </w:trPr>
        <w:tc>
          <w:tcPr>
            <w:tcW w:w="4660" w:type="dxa"/>
            <w:vAlign w:val="bottom"/>
            <w:tcBorders>
              <w:bottom w:val="single" w:sz="8" w:color="F7F7F7"/>
            </w:tcBorders>
          </w:tcPr>
          <w:p>
            <w:pPr>
              <w:ind w:left="460"/>
              <w:spacing w:after="0"/>
              <w:rPr>
                <w:sz w:val="20"/>
                <w:szCs w:val="20"/>
                <w:color w:val="auto"/>
              </w:rPr>
            </w:pPr>
            <w:r>
              <w:rPr>
                <w:rFonts w:ascii="Arial" w:cs="Arial" w:eastAsia="Arial" w:hAnsi="Arial"/>
                <w:sz w:val="16"/>
                <w:szCs w:val="16"/>
                <w:color w:val="auto"/>
              </w:rPr>
              <w:t>Transaction and loan losses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24"/>
        </w:trPr>
        <w:tc>
          <w:tcPr>
            <w:tcW w:w="4660" w:type="dxa"/>
            <w:vAlign w:val="bottom"/>
            <w:shd w:val="clear" w:color="auto" w:fill="F7F7F7"/>
          </w:tcPr>
          <w:p>
            <w:pPr>
              <w:ind w:left="1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1,213</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1,048</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3,597</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3,025</w:t>
            </w:r>
          </w:p>
        </w:tc>
      </w:tr>
      <w:tr>
        <w:trPr>
          <w:trHeight w:val="223"/>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Income from operations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568</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1,438</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r>
      <w:tr>
        <w:trPr>
          <w:trHeight w:val="223"/>
        </w:trPr>
        <w:tc>
          <w:tcPr>
            <w:tcW w:w="4660" w:type="dxa"/>
            <w:vAlign w:val="bottom"/>
            <w:shd w:val="clear" w:color="auto" w:fill="F7F7F7"/>
          </w:tcPr>
          <w:p>
            <w:pPr>
              <w:ind w:left="140"/>
              <w:spacing w:after="0" w:line="223" w:lineRule="exact"/>
              <w:rPr>
                <w:sz w:val="20"/>
                <w:szCs w:val="20"/>
                <w:color w:val="auto"/>
              </w:rPr>
            </w:pPr>
            <w:r>
              <w:rPr>
                <w:rFonts w:ascii="Arial" w:cs="Arial" w:eastAsia="Arial" w:hAnsi="Arial"/>
                <w:sz w:val="16"/>
                <w:szCs w:val="16"/>
                <w:color w:val="auto"/>
              </w:rPr>
              <w:t>Net (loss) gain on equity and equity method investments</w:t>
            </w:r>
            <w:r>
              <w:rPr>
                <w:rFonts w:ascii="Arial" w:cs="Arial" w:eastAsia="Arial" w:hAnsi="Arial"/>
                <w:sz w:val="21"/>
                <w:szCs w:val="21"/>
                <w:color w:val="auto"/>
                <w:vertAlign w:val="superscript"/>
              </w:rPr>
              <w:t>(3)</w:t>
            </w:r>
          </w:p>
        </w:tc>
        <w:tc>
          <w:tcPr>
            <w:tcW w:w="160" w:type="dxa"/>
            <w:vAlign w:val="bottom"/>
            <w:shd w:val="clear" w:color="auto" w:fill="F7F7F7"/>
          </w:tcPr>
          <w:p>
            <w:pPr>
              <w:spacing w:after="0"/>
              <w:rPr>
                <w:sz w:val="19"/>
                <w:szCs w:val="19"/>
                <w:color w:val="auto"/>
              </w:rPr>
            </w:pPr>
          </w:p>
        </w:tc>
        <w:tc>
          <w:tcPr>
            <w:tcW w:w="14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(138)</w:t>
            </w:r>
          </w:p>
        </w:tc>
        <w:tc>
          <w:tcPr>
            <w:tcW w:w="340" w:type="dxa"/>
            <w:vAlign w:val="bottom"/>
            <w:shd w:val="clear" w:color="auto" w:fill="F7F7F7"/>
          </w:tcPr>
          <w:p>
            <w:pPr>
              <w:spacing w:after="0"/>
              <w:rPr>
                <w:sz w:val="19"/>
                <w:szCs w:val="19"/>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(112)</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w:t>
            </w:r>
          </w:p>
        </w:tc>
        <w:tc>
          <w:tcPr>
            <w:tcW w:w="400" w:type="dxa"/>
            <w:vAlign w:val="bottom"/>
            <w:shd w:val="clear" w:color="auto" w:fill="F7F7F7"/>
          </w:tcPr>
          <w:p>
            <w:pPr>
              <w:spacing w:after="0"/>
              <w:rPr>
                <w:sz w:val="19"/>
                <w:szCs w:val="19"/>
                <w:color w:val="auto"/>
              </w:rPr>
            </w:pPr>
          </w:p>
        </w:tc>
        <w:tc>
          <w:tcPr>
            <w:tcW w:w="1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(498)</w:t>
            </w:r>
          </w:p>
        </w:tc>
      </w:tr>
      <w:tr>
        <w:trPr>
          <w:trHeight w:val="228"/>
        </w:trPr>
        <w:tc>
          <w:tcPr>
            <w:tcW w:w="466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194</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24"/>
        </w:trPr>
        <w:tc>
          <w:tcPr>
            <w:tcW w:w="4660" w:type="dxa"/>
            <w:vAlign w:val="bottom"/>
            <w:shd w:val="clear" w:color="auto" w:fill="F7F7F7"/>
          </w:tcPr>
          <w:p>
            <w:pPr>
              <w:ind w:left="1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499</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308</w:t>
            </w:r>
          </w:p>
        </w:tc>
        <w:tc>
          <w:tcPr>
            <w:tcW w:w="180" w:type="dxa"/>
            <w:vAlign w:val="bottom"/>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color w:val="auto"/>
              </w:rPr>
              <w:t>1,640</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617</w:t>
            </w:r>
          </w:p>
        </w:tc>
      </w:tr>
      <w:tr>
        <w:trPr>
          <w:trHeight w:val="222"/>
        </w:trPr>
        <w:tc>
          <w:tcPr>
            <w:tcW w:w="466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F7F7F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24"/>
        </w:trPr>
        <w:tc>
          <w:tcPr>
            <w:tcW w:w="4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shd w:val="clear" w:color="auto" w:fill="F7F7F7"/>
          </w:tcPr>
          <w:p>
            <w:pPr>
              <w:spacing w:after="0"/>
              <w:rPr>
                <w:sz w:val="19"/>
                <w:szCs w:val="19"/>
                <w:color w:val="auto"/>
              </w:rPr>
            </w:pPr>
          </w:p>
        </w:tc>
        <w:tc>
          <w:tcPr>
            <w:tcW w:w="14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462</w:t>
            </w:r>
          </w:p>
        </w:tc>
        <w:tc>
          <w:tcPr>
            <w:tcW w:w="340" w:type="dxa"/>
            <w:vAlign w:val="bottom"/>
            <w:tcBorders>
              <w:bottom w:val="single" w:sz="8" w:color="auto"/>
            </w:tcBorders>
            <w:shd w:val="clear" w:color="auto" w:fill="F7F7F7"/>
          </w:tcPr>
          <w:p>
            <w:pPr>
              <w:spacing w:after="0"/>
              <w:rPr>
                <w:sz w:val="19"/>
                <w:szCs w:val="19"/>
                <w:color w:val="auto"/>
              </w:rPr>
            </w:pPr>
          </w:p>
        </w:tc>
        <w:tc>
          <w:tcPr>
            <w:tcW w:w="12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264</w:t>
            </w:r>
          </w:p>
        </w:tc>
        <w:tc>
          <w:tcPr>
            <w:tcW w:w="180" w:type="dxa"/>
            <w:vAlign w:val="bottom"/>
            <w:tcBorders>
              <w:bottom w:val="single" w:sz="8" w:color="auto"/>
            </w:tcBorders>
            <w:shd w:val="clear" w:color="auto" w:fill="F7F7F7"/>
          </w:tcPr>
          <w:p>
            <w:pPr>
              <w:spacing w:after="0"/>
              <w:rPr>
                <w:sz w:val="19"/>
                <w:szCs w:val="19"/>
                <w:color w:val="auto"/>
              </w:rPr>
            </w:pPr>
          </w:p>
        </w:tc>
        <w:tc>
          <w:tcPr>
            <w:tcW w:w="200" w:type="dxa"/>
            <w:vAlign w:val="bottom"/>
            <w:tcBorders>
              <w:bottom w:val="single" w:sz="8" w:color="auto"/>
            </w:tcBorders>
            <w:shd w:val="clear" w:color="auto" w:fill="F7F7F7"/>
          </w:tcPr>
          <w:p>
            <w:pPr>
              <w:spacing w:after="0"/>
              <w:rPr>
                <w:sz w:val="19"/>
                <w:szCs w:val="19"/>
                <w:color w:val="auto"/>
              </w:rPr>
            </w:pP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1,383</w:t>
            </w:r>
          </w:p>
        </w:tc>
        <w:tc>
          <w:tcPr>
            <w:tcW w:w="400" w:type="dxa"/>
            <w:vAlign w:val="bottom"/>
            <w:tcBorders>
              <w:bottom w:val="single" w:sz="8" w:color="auto"/>
            </w:tcBorders>
            <w:shd w:val="clear" w:color="auto" w:fill="F7F7F7"/>
          </w:tcPr>
          <w:p>
            <w:pPr>
              <w:spacing w:after="0"/>
              <w:rPr>
                <w:sz w:val="19"/>
                <w:szCs w:val="19"/>
                <w:color w:val="auto"/>
              </w:rPr>
            </w:pPr>
          </w:p>
        </w:tc>
        <w:tc>
          <w:tcPr>
            <w:tcW w:w="1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488</w:t>
            </w: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b w:val="1"/>
                <w:bCs w:val="1"/>
                <w:color w:val="auto"/>
              </w:rPr>
              <w:t>Net income per share attributable to shareholders: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0.36</w:t>
            </w:r>
          </w:p>
        </w:tc>
        <w:tc>
          <w:tcPr>
            <w:tcW w:w="34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0.20</w:t>
            </w:r>
          </w:p>
        </w:tc>
        <w:tc>
          <w:tcPr>
            <w:tcW w:w="180" w:type="dxa"/>
            <w:vAlign w:val="bottom"/>
            <w:shd w:val="clear" w:color="auto" w:fill="F7F7F7"/>
          </w:tcPr>
          <w:p>
            <w:pPr>
              <w:spacing w:after="0"/>
              <w:rPr>
                <w:sz w:val="19"/>
                <w:szCs w:val="19"/>
                <w:color w:val="auto"/>
              </w:rPr>
            </w:pPr>
          </w:p>
        </w:tc>
        <w:tc>
          <w:tcPr>
            <w:tcW w:w="2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1.07</w:t>
            </w:r>
          </w:p>
        </w:tc>
        <w:tc>
          <w:tcPr>
            <w:tcW w:w="40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0.38</w:t>
            </w:r>
          </w:p>
        </w:tc>
      </w:tr>
      <w:tr>
        <w:trPr>
          <w:trHeight w:val="228"/>
        </w:trPr>
        <w:tc>
          <w:tcPr>
            <w:tcW w:w="46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r>
      <w:tr>
        <w:trPr>
          <w:trHeight w:val="170"/>
        </w:trPr>
        <w:tc>
          <w:tcPr>
            <w:tcW w:w="4660" w:type="dxa"/>
            <w:vAlign w:val="bottom"/>
            <w:shd w:val="clear" w:color="auto" w:fill="F7F7F7"/>
          </w:tcPr>
          <w:p>
            <w:pPr>
              <w:ind w:left="140"/>
              <w:spacing w:after="0" w:line="170" w:lineRule="exact"/>
              <w:rPr>
                <w:sz w:val="20"/>
                <w:szCs w:val="20"/>
                <w:color w:val="auto"/>
              </w:rPr>
            </w:pPr>
            <w:r>
              <w:rPr>
                <w:rFonts w:ascii="Arial" w:cs="Arial" w:eastAsia="Arial" w:hAnsi="Arial"/>
                <w:sz w:val="16"/>
                <w:szCs w:val="16"/>
                <w:b w:val="1"/>
                <w:bCs w:val="1"/>
                <w:color w:val="auto"/>
              </w:rPr>
              <w:t>Weighted average shares used to compute net income per</w:t>
            </w:r>
          </w:p>
        </w:tc>
        <w:tc>
          <w:tcPr>
            <w:tcW w:w="160" w:type="dxa"/>
            <w:vAlign w:val="bottom"/>
            <w:shd w:val="clear" w:color="auto" w:fill="F7F7F7"/>
          </w:tcPr>
          <w:p>
            <w:pPr>
              <w:spacing w:after="0"/>
              <w:rPr>
                <w:sz w:val="14"/>
                <w:szCs w:val="14"/>
                <w:color w:val="auto"/>
              </w:rPr>
            </w:pPr>
          </w:p>
        </w:tc>
        <w:tc>
          <w:tcPr>
            <w:tcW w:w="1420" w:type="dxa"/>
            <w:vAlign w:val="bottom"/>
            <w:shd w:val="clear" w:color="auto" w:fill="F7F7F7"/>
          </w:tcPr>
          <w:p>
            <w:pPr>
              <w:spacing w:after="0"/>
              <w:rPr>
                <w:sz w:val="14"/>
                <w:szCs w:val="14"/>
                <w:color w:val="auto"/>
              </w:rPr>
            </w:pPr>
          </w:p>
        </w:tc>
        <w:tc>
          <w:tcPr>
            <w:tcW w:w="340" w:type="dxa"/>
            <w:vAlign w:val="bottom"/>
            <w:shd w:val="clear" w:color="auto" w:fill="F7F7F7"/>
          </w:tcPr>
          <w:p>
            <w:pPr>
              <w:spacing w:after="0"/>
              <w:rPr>
                <w:sz w:val="14"/>
                <w:szCs w:val="14"/>
                <w:color w:val="auto"/>
              </w:rPr>
            </w:pPr>
          </w:p>
        </w:tc>
        <w:tc>
          <w:tcPr>
            <w:tcW w:w="12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1400" w:type="dxa"/>
            <w:vAlign w:val="bottom"/>
            <w:shd w:val="clear" w:color="auto" w:fill="F7F7F7"/>
          </w:tcPr>
          <w:p>
            <w:pPr>
              <w:spacing w:after="0"/>
              <w:rPr>
                <w:sz w:val="14"/>
                <w:szCs w:val="14"/>
                <w:color w:val="auto"/>
              </w:rPr>
            </w:pPr>
          </w:p>
        </w:tc>
        <w:tc>
          <w:tcPr>
            <w:tcW w:w="400" w:type="dxa"/>
            <w:vAlign w:val="bottom"/>
            <w:shd w:val="clear" w:color="auto" w:fill="F7F7F7"/>
          </w:tcPr>
          <w:p>
            <w:pPr>
              <w:spacing w:after="0"/>
              <w:rPr>
                <w:sz w:val="14"/>
                <w:szCs w:val="14"/>
                <w:color w:val="auto"/>
              </w:rPr>
            </w:pPr>
          </w:p>
        </w:tc>
        <w:tc>
          <w:tcPr>
            <w:tcW w:w="1200" w:type="dxa"/>
            <w:vAlign w:val="bottom"/>
            <w:shd w:val="clear" w:color="auto" w:fill="F7F7F7"/>
          </w:tcPr>
          <w:p>
            <w:pPr>
              <w:spacing w:after="0"/>
              <w:rPr>
                <w:sz w:val="14"/>
                <w:szCs w:val="14"/>
                <w:color w:val="auto"/>
              </w:rPr>
            </w:pPr>
          </w:p>
        </w:tc>
      </w:tr>
      <w:tr>
        <w:trPr>
          <w:trHeight w:val="216"/>
        </w:trPr>
        <w:tc>
          <w:tcPr>
            <w:tcW w:w="466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share attributable to shareholders:</w:t>
            </w:r>
          </w:p>
        </w:tc>
        <w:tc>
          <w:tcPr>
            <w:tcW w:w="160" w:type="dxa"/>
            <w:vAlign w:val="bottom"/>
            <w:shd w:val="clear" w:color="auto" w:fill="F7F7F7"/>
          </w:tcPr>
          <w:p>
            <w:pPr>
              <w:spacing w:after="0"/>
              <w:rPr>
                <w:sz w:val="18"/>
                <w:szCs w:val="18"/>
                <w:color w:val="auto"/>
              </w:rPr>
            </w:pPr>
          </w:p>
        </w:tc>
        <w:tc>
          <w:tcPr>
            <w:tcW w:w="1420" w:type="dxa"/>
            <w:vAlign w:val="bottom"/>
            <w:shd w:val="clear" w:color="auto" w:fill="F7F7F7"/>
          </w:tcPr>
          <w:p>
            <w:pPr>
              <w:spacing w:after="0"/>
              <w:rPr>
                <w:sz w:val="18"/>
                <w:szCs w:val="18"/>
                <w:color w:val="auto"/>
              </w:rPr>
            </w:pPr>
          </w:p>
        </w:tc>
        <w:tc>
          <w:tcPr>
            <w:tcW w:w="340" w:type="dxa"/>
            <w:vAlign w:val="bottom"/>
            <w:shd w:val="clear" w:color="auto" w:fill="F7F7F7"/>
          </w:tcPr>
          <w:p>
            <w:pPr>
              <w:spacing w:after="0"/>
              <w:rPr>
                <w:sz w:val="18"/>
                <w:szCs w:val="18"/>
                <w:color w:val="auto"/>
              </w:rPr>
            </w:pPr>
          </w:p>
        </w:tc>
        <w:tc>
          <w:tcPr>
            <w:tcW w:w="12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1400" w:type="dxa"/>
            <w:vAlign w:val="bottom"/>
            <w:shd w:val="clear" w:color="auto" w:fill="F7F7F7"/>
          </w:tcPr>
          <w:p>
            <w:pPr>
              <w:spacing w:after="0"/>
              <w:rPr>
                <w:sz w:val="18"/>
                <w:szCs w:val="18"/>
                <w:color w:val="auto"/>
              </w:rPr>
            </w:pPr>
          </w:p>
        </w:tc>
        <w:tc>
          <w:tcPr>
            <w:tcW w:w="400" w:type="dxa"/>
            <w:vAlign w:val="bottom"/>
            <w:shd w:val="clear" w:color="auto" w:fill="F7F7F7"/>
          </w:tcPr>
          <w:p>
            <w:pPr>
              <w:spacing w:after="0"/>
              <w:rPr>
                <w:sz w:val="18"/>
                <w:szCs w:val="18"/>
                <w:color w:val="auto"/>
              </w:rPr>
            </w:pPr>
          </w:p>
        </w:tc>
        <w:tc>
          <w:tcPr>
            <w:tcW w:w="1200" w:type="dxa"/>
            <w:vAlign w:val="bottom"/>
            <w:shd w:val="clear" w:color="auto" w:fill="F7F7F7"/>
          </w:tcPr>
          <w:p>
            <w:pPr>
              <w:spacing w:after="0"/>
              <w:rPr>
                <w:sz w:val="18"/>
                <w:szCs w:val="18"/>
                <w:color w:val="auto"/>
              </w:rPr>
            </w:pPr>
          </w:p>
        </w:tc>
      </w:tr>
      <w:tr>
        <w:trPr>
          <w:trHeight w:val="229"/>
        </w:trPr>
        <w:tc>
          <w:tcPr>
            <w:tcW w:w="4660" w:type="dxa"/>
            <w:vAlign w:val="bottom"/>
          </w:tcPr>
          <w:p>
            <w:pPr>
              <w:ind w:left="56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1,286,866,079</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1,300,069,685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1,295,087,677</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1,297,764,857</w:t>
            </w:r>
          </w:p>
        </w:tc>
      </w:tr>
      <w:tr>
        <w:trPr>
          <w:trHeight w:val="230"/>
        </w:trPr>
        <w:tc>
          <w:tcPr>
            <w:tcW w:w="46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F7F7F7"/>
          </w:tcPr>
          <w:p>
            <w:pPr>
              <w:spacing w:after="0"/>
              <w:rPr>
                <w:sz w:val="20"/>
                <w:szCs w:val="20"/>
                <w:color w:val="auto"/>
              </w:rPr>
            </w:pPr>
          </w:p>
        </w:tc>
        <w:tc>
          <w:tcPr>
            <w:tcW w:w="14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1,290,726,742</w:t>
            </w:r>
          </w:p>
        </w:tc>
        <w:tc>
          <w:tcPr>
            <w:tcW w:w="340" w:type="dxa"/>
            <w:vAlign w:val="bottom"/>
            <w:shd w:val="clear" w:color="auto" w:fill="F7F7F7"/>
          </w:tcPr>
          <w:p>
            <w:pPr>
              <w:spacing w:after="0"/>
              <w:rPr>
                <w:sz w:val="20"/>
                <w:szCs w:val="20"/>
                <w:color w:val="auto"/>
              </w:rPr>
            </w:pPr>
          </w:p>
        </w:tc>
        <w:tc>
          <w:tcPr>
            <w:tcW w:w="12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1,312,872,709</w:t>
            </w:r>
          </w:p>
        </w:tc>
        <w:tc>
          <w:tcPr>
            <w:tcW w:w="180" w:type="dxa"/>
            <w:vAlign w:val="bottom"/>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1,298,617,944</w:t>
            </w:r>
          </w:p>
        </w:tc>
        <w:tc>
          <w:tcPr>
            <w:tcW w:w="400" w:type="dxa"/>
            <w:vAlign w:val="bottom"/>
            <w:shd w:val="clear" w:color="auto" w:fill="F7F7F7"/>
          </w:tcPr>
          <w:p>
            <w:pPr>
              <w:spacing w:after="0"/>
              <w:rPr>
                <w:sz w:val="20"/>
                <w:szCs w:val="20"/>
                <w:color w:val="auto"/>
              </w:rPr>
            </w:pPr>
          </w:p>
        </w:tc>
        <w:tc>
          <w:tcPr>
            <w:tcW w:w="12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1,310,028,907</w:t>
            </w:r>
          </w:p>
        </w:tc>
      </w:tr>
    </w:tbl>
    <w:p>
      <w:pPr>
        <w:spacing w:after="0" w:line="9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stock-based compensation expense and related payroll taxes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3340" w:type="dxa"/>
            <w:vAlign w:val="bottom"/>
            <w:gridSpan w:val="3"/>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1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720" w:type="dxa"/>
            <w:vAlign w:val="bottom"/>
            <w:tcBorders>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60" w:type="dxa"/>
            <w:vAlign w:val="bottom"/>
            <w:gridSpan w:val="3"/>
          </w:tcPr>
          <w:p>
            <w:pPr>
              <w:jc w:val="right"/>
              <w:ind w:right="121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30"/>
        </w:trPr>
        <w:tc>
          <w:tcPr>
            <w:tcW w:w="472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18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F7F7F7"/>
          </w:tcPr>
          <w:p>
            <w:pPr>
              <w:spacing w:after="0"/>
              <w:rPr>
                <w:sz w:val="20"/>
                <w:szCs w:val="20"/>
                <w:color w:val="auto"/>
              </w:rPr>
            </w:pPr>
          </w:p>
        </w:tc>
        <w:tc>
          <w:tcPr>
            <w:tcW w:w="1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4</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47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820" w:type="dxa"/>
            <w:vAlign w:val="bottom"/>
          </w:tcPr>
          <w:p>
            <w:pPr>
              <w:jc w:val="right"/>
              <w:ind w:right="319"/>
              <w:spacing w:after="0"/>
              <w:rPr>
                <w:sz w:val="20"/>
                <w:szCs w:val="20"/>
                <w:color w:val="auto"/>
              </w:rPr>
            </w:pPr>
            <w:r>
              <w:rPr>
                <w:rFonts w:ascii="Arial" w:cs="Arial" w:eastAsia="Arial" w:hAnsi="Arial"/>
                <w:sz w:val="16"/>
                <w:szCs w:val="16"/>
                <w:color w:val="auto"/>
              </w:rPr>
              <w:t>13</w:t>
            </w: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9"/>
                <w:szCs w:val="19"/>
                <w:color w:val="auto"/>
              </w:rPr>
            </w:pPr>
          </w:p>
        </w:tc>
        <w:tc>
          <w:tcPr>
            <w:tcW w:w="1840" w:type="dxa"/>
            <w:vAlign w:val="bottom"/>
          </w:tcPr>
          <w:p>
            <w:pPr>
              <w:jc w:val="right"/>
              <w:ind w:right="319"/>
              <w:spacing w:after="0"/>
              <w:rPr>
                <w:sz w:val="20"/>
                <w:szCs w:val="20"/>
                <w:color w:val="auto"/>
              </w:rPr>
            </w:pPr>
            <w:r>
              <w:rPr>
                <w:rFonts w:ascii="Arial" w:cs="Arial" w:eastAsia="Arial" w:hAnsi="Arial"/>
                <w:sz w:val="16"/>
                <w:szCs w:val="16"/>
                <w:color w:val="auto"/>
              </w:rPr>
              <w:t>33</w:t>
            </w: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472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18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104</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F7F7F7"/>
          </w:tcPr>
          <w:p>
            <w:pPr>
              <w:spacing w:after="0"/>
              <w:rPr>
                <w:sz w:val="20"/>
                <w:szCs w:val="20"/>
                <w:color w:val="auto"/>
              </w:rPr>
            </w:pPr>
          </w:p>
        </w:tc>
        <w:tc>
          <w:tcPr>
            <w:tcW w:w="1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295</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247</w:t>
            </w:r>
          </w:p>
        </w:tc>
      </w:tr>
      <w:tr>
        <w:trPr>
          <w:trHeight w:val="228"/>
        </w:trPr>
        <w:tc>
          <w:tcPr>
            <w:tcW w:w="472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F7F7F7"/>
            </w:tcBorders>
          </w:tcPr>
          <w:p>
            <w:pPr>
              <w:spacing w:after="0"/>
              <w:rPr>
                <w:sz w:val="19"/>
                <w:szCs w:val="19"/>
                <w:color w:val="auto"/>
              </w:rPr>
            </w:pPr>
          </w:p>
        </w:tc>
        <w:tc>
          <w:tcPr>
            <w:tcW w:w="1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24"/>
        </w:trPr>
        <w:tc>
          <w:tcPr>
            <w:tcW w:w="4720" w:type="dxa"/>
            <w:vAlign w:val="bottom"/>
            <w:shd w:val="clear" w:color="auto" w:fill="F7F7F7"/>
          </w:tcPr>
          <w:p>
            <w:pPr>
              <w:spacing w:after="0"/>
              <w:rPr>
                <w:sz w:val="19"/>
                <w:szCs w:val="19"/>
                <w:color w:val="auto"/>
              </w:rPr>
            </w:pPr>
          </w:p>
        </w:tc>
        <w:tc>
          <w:tcPr>
            <w:tcW w:w="18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147</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F7F7F7"/>
          </w:tcPr>
          <w:p>
            <w:pPr>
              <w:spacing w:after="0"/>
              <w:rPr>
                <w:sz w:val="19"/>
                <w:szCs w:val="19"/>
                <w:color w:val="auto"/>
              </w:rPr>
            </w:pPr>
          </w:p>
        </w:tc>
        <w:tc>
          <w:tcPr>
            <w:tcW w:w="1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418</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359</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Includes amortization of acquired intangibles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1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4740" w:type="dxa"/>
            <w:vAlign w:val="bottom"/>
            <w:tcBorders>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4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40" w:type="dxa"/>
            <w:vAlign w:val="bottom"/>
            <w:gridSpan w:val="3"/>
          </w:tcPr>
          <w:p>
            <w:pPr>
              <w:jc w:val="right"/>
              <w:ind w:right="1219"/>
              <w:spacing w:after="0"/>
              <w:rPr>
                <w:sz w:val="20"/>
                <w:szCs w:val="20"/>
                <w:color w:val="auto"/>
              </w:rPr>
            </w:pPr>
            <w:r>
              <w:rPr>
                <w:rFonts w:ascii="Arial" w:cs="Arial" w:eastAsia="Arial" w:hAnsi="Arial"/>
                <w:sz w:val="16"/>
                <w:szCs w:val="16"/>
                <w:color w:val="auto"/>
              </w:rPr>
              <w:t>(in US $ millions)</w:t>
            </w:r>
          </w:p>
        </w:tc>
        <w:tc>
          <w:tcPr>
            <w:tcW w:w="1340" w:type="dxa"/>
            <w:vAlign w:val="bottom"/>
          </w:tcPr>
          <w:p>
            <w:pPr>
              <w:spacing w:after="0"/>
              <w:rPr>
                <w:sz w:val="19"/>
                <w:szCs w:val="19"/>
                <w:color w:val="auto"/>
              </w:rPr>
            </w:pPr>
          </w:p>
        </w:tc>
      </w:tr>
      <w:tr>
        <w:trPr>
          <w:trHeight w:val="230"/>
        </w:trPr>
        <w:tc>
          <w:tcPr>
            <w:tcW w:w="474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18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F7F7F7"/>
          </w:tcPr>
          <w:p>
            <w:pPr>
              <w:spacing w:after="0"/>
              <w:rPr>
                <w:sz w:val="20"/>
                <w:szCs w:val="20"/>
                <w:color w:val="auto"/>
              </w:rPr>
            </w:pPr>
          </w:p>
        </w:tc>
        <w:tc>
          <w:tcPr>
            <w:tcW w:w="1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6</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474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Research and development</w:t>
            </w: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F7F7F7"/>
            </w:tcBorders>
          </w:tcPr>
          <w:p>
            <w:pPr>
              <w:spacing w:after="0"/>
              <w:rPr>
                <w:sz w:val="19"/>
                <w:szCs w:val="19"/>
                <w:color w:val="auto"/>
              </w:rPr>
            </w:pPr>
          </w:p>
        </w:tc>
        <w:tc>
          <w:tcPr>
            <w:tcW w:w="1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4740" w:type="dxa"/>
            <w:vAlign w:val="bottom"/>
            <w:shd w:val="clear" w:color="auto" w:fill="F7F7F7"/>
          </w:tcPr>
          <w:p>
            <w:pPr>
              <w:spacing w:after="0"/>
              <w:rPr>
                <w:sz w:val="19"/>
                <w:szCs w:val="19"/>
                <w:color w:val="auto"/>
              </w:rPr>
            </w:pPr>
          </w:p>
        </w:tc>
        <w:tc>
          <w:tcPr>
            <w:tcW w:w="18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2</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F7F7F7"/>
          </w:tcPr>
          <w:p>
            <w:pPr>
              <w:spacing w:after="0"/>
              <w:rPr>
                <w:sz w:val="19"/>
                <w:szCs w:val="19"/>
                <w:color w:val="auto"/>
              </w:rPr>
            </w:pPr>
          </w:p>
        </w:tc>
        <w:tc>
          <w:tcPr>
            <w:tcW w:w="18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7</w:t>
            </w:r>
          </w:p>
        </w:tc>
        <w:tc>
          <w:tcPr>
            <w:tcW w:w="1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9</w:t>
            </w:r>
          </w:p>
        </w:tc>
      </w:tr>
    </w:tbl>
    <w:p>
      <w:pPr>
        <w:spacing w:after="0" w:line="261"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Includes the impact of any gains and losses on the embedded derivative on our Notes that matured on November 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1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1"/>
        </w:trPr>
        <w:tc>
          <w:tcPr>
            <w:tcW w:w="2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3"/>
          </w:tcPr>
          <w:p>
            <w:pPr>
              <w:jc w:val="right"/>
              <w:ind w:right="219"/>
              <w:spacing w:after="0"/>
              <w:rPr>
                <w:sz w:val="20"/>
                <w:szCs w:val="20"/>
                <w:color w:val="auto"/>
              </w:rPr>
            </w:pPr>
            <w:r>
              <w:rPr>
                <w:rFonts w:ascii="Arial" w:cs="Arial" w:eastAsia="Arial" w:hAnsi="Arial"/>
                <w:sz w:val="16"/>
                <w:szCs w:val="16"/>
                <w:color w:val="auto"/>
              </w:rPr>
              <w:t>(in US $ millions, except percentages)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2"/>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2760" w:type="dxa"/>
            <w:vAlign w:val="bottom"/>
            <w:shd w:val="clear" w:color="auto" w:fill="F7F7F7"/>
          </w:tcPr>
          <w:p>
            <w:pPr>
              <w:ind w:left="260"/>
              <w:spacing w:after="0"/>
              <w:rPr>
                <w:sz w:val="20"/>
                <w:szCs w:val="20"/>
                <w:color w:val="auto"/>
              </w:rPr>
            </w:pPr>
            <w:r>
              <w:rPr>
                <w:rFonts w:ascii="Arial" w:cs="Arial" w:eastAsia="Arial" w:hAnsi="Arial"/>
                <w:sz w:val="16"/>
                <w:szCs w:val="16"/>
                <w:color w:val="auto"/>
              </w:rPr>
              <w:t>Subscription solutions</w:t>
            </w:r>
          </w:p>
        </w:tc>
        <w:tc>
          <w:tcPr>
            <w:tcW w:w="146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836</w:t>
            </w:r>
          </w:p>
        </w:tc>
        <w:tc>
          <w:tcPr>
            <w:tcW w:w="1220" w:type="dxa"/>
            <w:vAlign w:val="bottom"/>
            <w:shd w:val="clear" w:color="auto" w:fill="F7F7F7"/>
          </w:tcPr>
          <w:p>
            <w:pPr>
              <w:jc w:val="right"/>
              <w:ind w:right="139"/>
              <w:spacing w:after="0"/>
              <w:rPr>
                <w:sz w:val="20"/>
                <w:szCs w:val="20"/>
                <w:color w:val="auto"/>
              </w:rPr>
            </w:pPr>
            <w:r>
              <w:rPr>
                <w:rFonts w:ascii="Arial" w:cs="Arial" w:eastAsia="Arial" w:hAnsi="Arial"/>
                <w:sz w:val="16"/>
                <w:szCs w:val="16"/>
                <w:color w:val="auto"/>
              </w:rPr>
              <w:t>699</w:t>
            </w:r>
          </w:p>
        </w:tc>
        <w:tc>
          <w:tcPr>
            <w:tcW w:w="140" w:type="dxa"/>
            <w:vAlign w:val="bottom"/>
            <w:shd w:val="clear" w:color="auto" w:fill="F7F7F7"/>
          </w:tcPr>
          <w:p>
            <w:pPr>
              <w:spacing w:after="0"/>
              <w:rPr>
                <w:sz w:val="19"/>
                <w:szCs w:val="19"/>
                <w:color w:val="auto"/>
              </w:rPr>
            </w:pP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20 %</w:t>
            </w:r>
          </w:p>
        </w:tc>
        <w:tc>
          <w:tcPr>
            <w:tcW w:w="180" w:type="dxa"/>
            <w:vAlign w:val="bottom"/>
            <w:shd w:val="clear" w:color="auto" w:fill="F7F7F7"/>
          </w:tcPr>
          <w:p>
            <w:pPr>
              <w:spacing w:after="0"/>
              <w:rPr>
                <w:sz w:val="19"/>
                <w:szCs w:val="19"/>
                <w:color w:val="auto"/>
              </w:rPr>
            </w:pPr>
          </w:p>
        </w:tc>
        <w:tc>
          <w:tcPr>
            <w:tcW w:w="160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2,388</w:t>
            </w:r>
          </w:p>
        </w:tc>
        <w:tc>
          <w:tcPr>
            <w:tcW w:w="112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1,975</w:t>
            </w:r>
          </w:p>
        </w:tc>
        <w:tc>
          <w:tcPr>
            <w:tcW w:w="160" w:type="dxa"/>
            <w:vAlign w:val="bottom"/>
            <w:shd w:val="clear" w:color="auto" w:fill="F7F7F7"/>
          </w:tcPr>
          <w:p>
            <w:pPr>
              <w:spacing w:after="0"/>
              <w:rPr>
                <w:sz w:val="19"/>
                <w:szCs w:val="19"/>
                <w:color w:val="auto"/>
              </w:rPr>
            </w:pP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21 %</w:t>
            </w:r>
          </w:p>
        </w:tc>
      </w:tr>
      <w:tr>
        <w:trPr>
          <w:trHeight w:val="228"/>
        </w:trPr>
        <w:tc>
          <w:tcPr>
            <w:tcW w:w="2760" w:type="dxa"/>
            <w:vAlign w:val="bottom"/>
            <w:tcBorders>
              <w:bottom w:val="single" w:sz="8" w:color="F7F7F7"/>
            </w:tcBorders>
          </w:tcPr>
          <w:p>
            <w:pPr>
              <w:ind w:left="260"/>
              <w:spacing w:after="0"/>
              <w:rPr>
                <w:sz w:val="20"/>
                <w:szCs w:val="20"/>
                <w:color w:val="auto"/>
              </w:rPr>
            </w:pPr>
            <w:r>
              <w:rPr>
                <w:rFonts w:ascii="Arial" w:cs="Arial" w:eastAsia="Arial" w:hAnsi="Arial"/>
                <w:sz w:val="16"/>
                <w:szCs w:val="16"/>
                <w:color w:val="auto"/>
              </w:rPr>
              <w:t>Merchant solutions</w:t>
            </w: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2,906</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2,145</w:t>
            </w:r>
          </w:p>
        </w:tc>
        <w:tc>
          <w:tcPr>
            <w:tcW w:w="140" w:type="dxa"/>
            <w:vAlign w:val="bottom"/>
            <w:tcBorders>
              <w:bottom w:val="single" w:sz="8" w:color="F7F7F7"/>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180" w:type="dxa"/>
            <w:vAlign w:val="bottom"/>
            <w:tcBorders>
              <w:bottom w:val="single" w:sz="8" w:color="F7F7F7"/>
            </w:tcBorders>
          </w:tcPr>
          <w:p>
            <w:pPr>
              <w:spacing w:after="0"/>
              <w:rPr>
                <w:sz w:val="19"/>
                <w:szCs w:val="19"/>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8,107</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5,909</w:t>
            </w:r>
          </w:p>
        </w:tc>
        <w:tc>
          <w:tcPr>
            <w:tcW w:w="160" w:type="dxa"/>
            <w:vAlign w:val="bottom"/>
            <w:tcBorders>
              <w:bottom w:val="single" w:sz="8" w:color="F7F7F7"/>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223"/>
        </w:trPr>
        <w:tc>
          <w:tcPr>
            <w:tcW w:w="27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color w:val="auto"/>
              </w:rPr>
              <w:t>Total revenues</w:t>
            </w:r>
          </w:p>
        </w:tc>
        <w:tc>
          <w:tcPr>
            <w:tcW w:w="146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3,742</w:t>
            </w:r>
          </w:p>
        </w:tc>
        <w:tc>
          <w:tcPr>
            <w:tcW w:w="1220" w:type="dxa"/>
            <w:vAlign w:val="bottom"/>
            <w:tcBorders>
              <w:bottom w:val="single" w:sz="8" w:color="auto"/>
            </w:tcBorders>
            <w:shd w:val="clear" w:color="auto" w:fill="F7F7F7"/>
          </w:tcPr>
          <w:p>
            <w:pPr>
              <w:jc w:val="right"/>
              <w:ind w:right="139"/>
              <w:spacing w:after="0"/>
              <w:rPr>
                <w:sz w:val="20"/>
                <w:szCs w:val="20"/>
                <w:color w:val="auto"/>
              </w:rPr>
            </w:pPr>
            <w:r>
              <w:rPr>
                <w:rFonts w:ascii="Arial" w:cs="Arial" w:eastAsia="Arial" w:hAnsi="Arial"/>
                <w:sz w:val="16"/>
                <w:szCs w:val="16"/>
                <w:color w:val="auto"/>
              </w:rPr>
              <w:t>2,844</w:t>
            </w:r>
          </w:p>
        </w:tc>
        <w:tc>
          <w:tcPr>
            <w:tcW w:w="140" w:type="dxa"/>
            <w:vAlign w:val="bottom"/>
            <w:tcBorders>
              <w:bottom w:val="single" w:sz="8" w:color="auto"/>
            </w:tcBorders>
            <w:shd w:val="clear" w:color="auto" w:fill="F7F7F7"/>
          </w:tcPr>
          <w:p>
            <w:pPr>
              <w:spacing w:after="0"/>
              <w:rPr>
                <w:sz w:val="19"/>
                <w:szCs w:val="19"/>
                <w:color w:val="auto"/>
              </w:rPr>
            </w:pP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32 %</w:t>
            </w:r>
          </w:p>
        </w:tc>
        <w:tc>
          <w:tcPr>
            <w:tcW w:w="180" w:type="dxa"/>
            <w:vAlign w:val="bottom"/>
            <w:tcBorders>
              <w:bottom w:val="single" w:sz="8" w:color="auto"/>
            </w:tcBorders>
            <w:shd w:val="clear" w:color="auto" w:fill="F7F7F7"/>
          </w:tcPr>
          <w:p>
            <w:pPr>
              <w:spacing w:after="0"/>
              <w:rPr>
                <w:sz w:val="19"/>
                <w:szCs w:val="19"/>
                <w:color w:val="auto"/>
              </w:rPr>
            </w:pPr>
          </w:p>
        </w:tc>
        <w:tc>
          <w:tcPr>
            <w:tcW w:w="160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10,495</w:t>
            </w:r>
          </w:p>
        </w:tc>
        <w:tc>
          <w:tcPr>
            <w:tcW w:w="112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7,884</w:t>
            </w:r>
          </w:p>
        </w:tc>
        <w:tc>
          <w:tcPr>
            <w:tcW w:w="160" w:type="dxa"/>
            <w:vAlign w:val="bottom"/>
            <w:tcBorders>
              <w:bottom w:val="single" w:sz="8" w:color="auto"/>
            </w:tcBorders>
            <w:shd w:val="clear" w:color="auto" w:fill="F7F7F7"/>
          </w:tcPr>
          <w:p>
            <w:pPr>
              <w:spacing w:after="0"/>
              <w:rPr>
                <w:sz w:val="19"/>
                <w:szCs w:val="19"/>
                <w:color w:val="auto"/>
              </w:rPr>
            </w:pP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33 %</w:t>
            </w: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Percentage of revenues</w:t>
            </w:r>
          </w:p>
        </w:tc>
        <w:tc>
          <w:tcPr>
            <w:tcW w:w="1720" w:type="dxa"/>
            <w:vAlign w:val="bottom"/>
            <w:shd w:val="clear" w:color="auto" w:fill="F7F7F7"/>
          </w:tcPr>
          <w:p>
            <w:pPr>
              <w:spacing w:after="0"/>
              <w:rPr>
                <w:sz w:val="19"/>
                <w:szCs w:val="19"/>
                <w:color w:val="auto"/>
              </w:rPr>
            </w:pPr>
          </w:p>
        </w:tc>
        <w:tc>
          <w:tcPr>
            <w:tcW w:w="960" w:type="dxa"/>
            <w:vAlign w:val="bottom"/>
            <w:shd w:val="clear" w:color="auto" w:fill="F7F7F7"/>
          </w:tcPr>
          <w:p>
            <w:pPr>
              <w:spacing w:after="0"/>
              <w:rPr>
                <w:sz w:val="19"/>
                <w:szCs w:val="19"/>
                <w:color w:val="auto"/>
              </w:rPr>
            </w:pPr>
          </w:p>
        </w:tc>
        <w:tc>
          <w:tcPr>
            <w:tcW w:w="1620" w:type="dxa"/>
            <w:vAlign w:val="bottom"/>
            <w:shd w:val="clear" w:color="auto" w:fill="F7F7F7"/>
          </w:tcPr>
          <w:p>
            <w:pPr>
              <w:spacing w:after="0"/>
              <w:rPr>
                <w:sz w:val="19"/>
                <w:szCs w:val="19"/>
                <w:color w:val="auto"/>
              </w:rPr>
            </w:pPr>
          </w:p>
        </w:tc>
        <w:tc>
          <w:tcPr>
            <w:tcW w:w="1760" w:type="dxa"/>
            <w:vAlign w:val="bottom"/>
            <w:shd w:val="clear" w:color="auto" w:fill="F7F7F7"/>
          </w:tcPr>
          <w:p>
            <w:pPr>
              <w:spacing w:after="0"/>
              <w:rPr>
                <w:sz w:val="19"/>
                <w:szCs w:val="19"/>
                <w:color w:val="auto"/>
              </w:rPr>
            </w:pPr>
          </w:p>
        </w:tc>
        <w:tc>
          <w:tcPr>
            <w:tcW w:w="960" w:type="dxa"/>
            <w:vAlign w:val="bottom"/>
            <w:shd w:val="clear" w:color="auto" w:fill="F7F7F7"/>
          </w:tcPr>
          <w:p>
            <w:pPr>
              <w:spacing w:after="0"/>
              <w:rPr>
                <w:sz w:val="19"/>
                <w:szCs w:val="19"/>
                <w:color w:val="auto"/>
              </w:rPr>
            </w:pPr>
          </w:p>
        </w:tc>
        <w:tc>
          <w:tcPr>
            <w:tcW w:w="1460" w:type="dxa"/>
            <w:vAlign w:val="bottom"/>
            <w:shd w:val="clear" w:color="auto" w:fill="F7F7F7"/>
          </w:tcPr>
          <w:p>
            <w:pPr>
              <w:spacing w:after="0"/>
              <w:rPr>
                <w:sz w:val="19"/>
                <w:szCs w:val="19"/>
                <w:color w:val="auto"/>
              </w:rPr>
            </w:pPr>
          </w:p>
        </w:tc>
      </w:tr>
      <w:tr>
        <w:trPr>
          <w:trHeight w:val="228"/>
        </w:trPr>
        <w:tc>
          <w:tcPr>
            <w:tcW w:w="2760" w:type="dxa"/>
            <w:vAlign w:val="bottom"/>
          </w:tcPr>
          <w:p>
            <w:pPr>
              <w:ind w:left="260"/>
              <w:spacing w:after="0"/>
              <w:rPr>
                <w:sz w:val="20"/>
                <w:szCs w:val="20"/>
                <w:color w:val="auto"/>
              </w:rPr>
            </w:pPr>
            <w:r>
              <w:rPr>
                <w:rFonts w:ascii="Arial" w:cs="Arial" w:eastAsia="Arial" w:hAnsi="Arial"/>
                <w:sz w:val="16"/>
                <w:szCs w:val="16"/>
                <w:color w:val="auto"/>
              </w:rPr>
              <w:t>Subscription solutions</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22 %</w:t>
            </w: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1620" w:type="dxa"/>
            <w:vAlign w:val="bottom"/>
          </w:tcPr>
          <w:p>
            <w:pPr>
              <w:spacing w:after="0"/>
              <w:rPr>
                <w:sz w:val="19"/>
                <w:szCs w:val="19"/>
                <w:color w:val="auto"/>
              </w:rPr>
            </w:pP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23 %</w:t>
            </w: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1460" w:type="dxa"/>
            <w:vAlign w:val="bottom"/>
          </w:tcPr>
          <w:p>
            <w:pPr>
              <w:spacing w:after="0"/>
              <w:rPr>
                <w:sz w:val="19"/>
                <w:szCs w:val="19"/>
                <w:color w:val="auto"/>
              </w:rPr>
            </w:pPr>
          </w:p>
        </w:tc>
      </w:tr>
      <w:tr>
        <w:trPr>
          <w:trHeight w:val="231"/>
        </w:trPr>
        <w:tc>
          <w:tcPr>
            <w:tcW w:w="2760" w:type="dxa"/>
            <w:vAlign w:val="bottom"/>
            <w:shd w:val="clear" w:color="auto" w:fill="F7F7F7"/>
          </w:tcPr>
          <w:p>
            <w:pPr>
              <w:ind w:left="260"/>
              <w:spacing w:after="0"/>
              <w:rPr>
                <w:sz w:val="20"/>
                <w:szCs w:val="20"/>
                <w:color w:val="auto"/>
              </w:rPr>
            </w:pPr>
            <w:r>
              <w:rPr>
                <w:rFonts w:ascii="Arial" w:cs="Arial" w:eastAsia="Arial" w:hAnsi="Arial"/>
                <w:sz w:val="16"/>
                <w:szCs w:val="16"/>
                <w:color w:val="auto"/>
              </w:rPr>
              <w:t>Merchant solutions</w:t>
            </w:r>
          </w:p>
        </w:tc>
        <w:tc>
          <w:tcPr>
            <w:tcW w:w="1720" w:type="dxa"/>
            <w:vAlign w:val="bottom"/>
            <w:tcBorders>
              <w:bottom w:val="single" w:sz="8" w:color="auto"/>
            </w:tcBorders>
            <w:shd w:val="clear" w:color="auto" w:fill="F7F7F7"/>
          </w:tcPr>
          <w:p>
            <w:pPr>
              <w:jc w:val="right"/>
              <w:ind w:right="399"/>
              <w:spacing w:after="0"/>
              <w:rPr>
                <w:sz w:val="20"/>
                <w:szCs w:val="20"/>
                <w:color w:val="auto"/>
              </w:rPr>
            </w:pPr>
            <w:r>
              <w:rPr>
                <w:rFonts w:ascii="Arial" w:cs="Arial" w:eastAsia="Arial" w:hAnsi="Arial"/>
                <w:sz w:val="16"/>
                <w:szCs w:val="16"/>
                <w:color w:val="auto"/>
              </w:rPr>
              <w:t>78 %</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75 %</w:t>
            </w:r>
          </w:p>
        </w:tc>
        <w:tc>
          <w:tcPr>
            <w:tcW w:w="1620" w:type="dxa"/>
            <w:vAlign w:val="bottom"/>
            <w:shd w:val="clear" w:color="auto" w:fill="F7F7F7"/>
          </w:tcPr>
          <w:p>
            <w:pPr>
              <w:spacing w:after="0"/>
              <w:rPr>
                <w:sz w:val="20"/>
                <w:szCs w:val="20"/>
                <w:color w:val="auto"/>
              </w:rPr>
            </w:pPr>
          </w:p>
        </w:tc>
        <w:tc>
          <w:tcPr>
            <w:tcW w:w="1760" w:type="dxa"/>
            <w:vAlign w:val="bottom"/>
            <w:tcBorders>
              <w:bottom w:val="single" w:sz="8" w:color="auto"/>
            </w:tcBorders>
            <w:shd w:val="clear" w:color="auto" w:fill="F7F7F7"/>
          </w:tcPr>
          <w:p>
            <w:pPr>
              <w:jc w:val="right"/>
              <w:ind w:right="399"/>
              <w:spacing w:after="0"/>
              <w:rPr>
                <w:sz w:val="20"/>
                <w:szCs w:val="20"/>
                <w:color w:val="auto"/>
              </w:rPr>
            </w:pPr>
            <w:r>
              <w:rPr>
                <w:rFonts w:ascii="Arial" w:cs="Arial" w:eastAsia="Arial" w:hAnsi="Arial"/>
                <w:sz w:val="16"/>
                <w:szCs w:val="16"/>
                <w:color w:val="auto"/>
              </w:rPr>
              <w:t>77 %</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75 %</w:t>
            </w:r>
          </w:p>
        </w:tc>
        <w:tc>
          <w:tcPr>
            <w:tcW w:w="1460" w:type="dxa"/>
            <w:vAlign w:val="bottom"/>
            <w:shd w:val="clear" w:color="auto" w:fill="F7F7F7"/>
          </w:tcPr>
          <w:p>
            <w:pPr>
              <w:spacing w:after="0"/>
              <w:rPr>
                <w:sz w:val="20"/>
                <w:szCs w:val="20"/>
                <w:color w:val="auto"/>
              </w:rPr>
            </w:pPr>
          </w:p>
        </w:tc>
      </w:tr>
      <w:tr>
        <w:trPr>
          <w:trHeight w:val="221"/>
        </w:trPr>
        <w:tc>
          <w:tcPr>
            <w:tcW w:w="27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100 %</w:t>
            </w:r>
          </w:p>
        </w:tc>
        <w:tc>
          <w:tcPr>
            <w:tcW w:w="960" w:type="dxa"/>
            <w:vAlign w:val="bottom"/>
          </w:tcPr>
          <w:p>
            <w:pPr>
              <w:jc w:val="right"/>
              <w:spacing w:after="0"/>
              <w:rPr>
                <w:sz w:val="20"/>
                <w:szCs w:val="20"/>
                <w:color w:val="auto"/>
              </w:rPr>
            </w:pPr>
            <w:r>
              <w:rPr>
                <w:rFonts w:ascii="Arial" w:cs="Arial" w:eastAsia="Arial" w:hAnsi="Arial"/>
                <w:sz w:val="16"/>
                <w:szCs w:val="16"/>
                <w:color w:val="auto"/>
              </w:rPr>
              <w:t>100 %</w:t>
            </w:r>
          </w:p>
        </w:tc>
        <w:tc>
          <w:tcPr>
            <w:tcW w:w="1620" w:type="dxa"/>
            <w:vAlign w:val="bottom"/>
          </w:tcPr>
          <w:p>
            <w:pPr>
              <w:spacing w:after="0"/>
              <w:rPr>
                <w:sz w:val="19"/>
                <w:szCs w:val="19"/>
                <w:color w:val="auto"/>
              </w:rPr>
            </w:pP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100 %</w:t>
            </w:r>
          </w:p>
        </w:tc>
        <w:tc>
          <w:tcPr>
            <w:tcW w:w="960" w:type="dxa"/>
            <w:vAlign w:val="bottom"/>
          </w:tcPr>
          <w:p>
            <w:pPr>
              <w:jc w:val="right"/>
              <w:spacing w:after="0"/>
              <w:rPr>
                <w:sz w:val="20"/>
                <w:szCs w:val="20"/>
                <w:color w:val="auto"/>
              </w:rPr>
            </w:pPr>
            <w:r>
              <w:rPr>
                <w:rFonts w:ascii="Arial" w:cs="Arial" w:eastAsia="Arial" w:hAnsi="Arial"/>
                <w:sz w:val="16"/>
                <w:szCs w:val="16"/>
                <w:color w:val="auto"/>
              </w:rPr>
              <w:t>100 %</w:t>
            </w:r>
          </w:p>
        </w:tc>
        <w:tc>
          <w:tcPr>
            <w:tcW w:w="1460" w:type="dxa"/>
            <w:vAlign w:val="bottom"/>
          </w:tcPr>
          <w:p>
            <w:pPr>
              <w:spacing w:after="0"/>
              <w:rPr>
                <w:sz w:val="19"/>
                <w:szCs w:val="19"/>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Solutions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Subscription solutions revenues increased for the three months ended September 30, 2026 compared to the same period in 2025. The largest component of the period-over-period change was an increase in subscription fees of $125 million driven by an increase in MRR, which was a result of a higher number of merchants using our platform and by a larger percentage of subscriptions coming from higher priced plans, such as Plus. The increase was also driven by higher GMV resulting in an increase in subscription fees from the variable component of certain subscription contracts.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Subscription solutions revenues increased for the nine months ended September 30, 2026 compared to the same period in 2025. The largest component of the period-over-period change was an increase in subscription fees of $ 355 million driven by an increase in MRR, which was a result of a higher number of merchants using our platform and by a larger percentage of subscriptions coming from higher priced plans, such as Plus. The increase was also driven by higher GMV resulting in an increase in subscription fees from the variable component of certain subscription contracts.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Solutions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Merchant solutions revenues increased for the three months ended September 30, 2026 compared to the same period in 2025. The largest component of the period-over-period change was an increase in Shopify Payments revenue of $619 million, relating to payment processing and currency conversion fees, growing in the three months ended September 30, 2026 compared to the same period in 2025. This increase was a result of an increase in our Shopify Payments penetration rate and an increase in GMV from merchants using our platform. These factors drove $21.3 billion of additional GMV facilitated using Shopify Payments in the three months ended September 30, 2026 compared to the same period in 2025, representing growth of 35%. For the three months ended September 30, 2026, the Shopify Payments penetration rate was 68%, resulting in GMV of $81.4 billion that was facilitated using Shopify Payments. This compares to a penetration rate of 65% resulting in GMV of $60.2 billion that was facilitated using Shopify Payments in the same period in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Merchant solutions revenues increased for the nine months ended September 30, 2026 compared to the same period in 2025. The largest component of the period-over-period change was an increase in Shopify Payments revenue of $ 1.8 billion, relating to payment processing and currency conversion fees, growing in the nine months ended September 30, 2026 compared to the same period in 2025. This increase was a result of an increase in our Shopify Payments penetration rate and an increase in GMV from our merchants using our platform. These factors drove $62.2 billion of additional GMV facilitated using Shopify Payments in the nine months ended September 30, 2026 compared to the same period in 2025, representing growth of 38%. For the nine months ended September 30, 2026, the Shopify Payments penetration rate was 68%, resulting in GMV of $226.5 billion that was facilitated using Shopify Payments. This compares to a penetration rate of 65% resulting in GMV of $164.3 billion that was facilitated using Shopify Payments in the same period in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41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41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1"/>
        </w:trPr>
        <w:tc>
          <w:tcPr>
            <w:tcW w:w="2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gridSpan w:val="3"/>
          </w:tcPr>
          <w:p>
            <w:pPr>
              <w:jc w:val="right"/>
              <w:ind w:right="219"/>
              <w:spacing w:after="0"/>
              <w:rPr>
                <w:sz w:val="20"/>
                <w:szCs w:val="20"/>
                <w:color w:val="auto"/>
              </w:rPr>
            </w:pPr>
            <w:r>
              <w:rPr>
                <w:rFonts w:ascii="Arial" w:cs="Arial" w:eastAsia="Arial" w:hAnsi="Arial"/>
                <w:sz w:val="16"/>
                <w:szCs w:val="16"/>
                <w:color w:val="auto"/>
              </w:rPr>
              <w:t>(in US $ millions, except percentages)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2"/>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Cost of revenues:</w:t>
            </w: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2760" w:type="dxa"/>
            <w:vAlign w:val="bottom"/>
            <w:shd w:val="clear" w:color="auto" w:fill="F7F7F7"/>
          </w:tcPr>
          <w:p>
            <w:pPr>
              <w:ind w:left="260"/>
              <w:spacing w:after="0"/>
              <w:rPr>
                <w:sz w:val="20"/>
                <w:szCs w:val="20"/>
                <w:color w:val="auto"/>
              </w:rPr>
            </w:pPr>
            <w:r>
              <w:rPr>
                <w:rFonts w:ascii="Arial" w:cs="Arial" w:eastAsia="Arial" w:hAnsi="Arial"/>
                <w:sz w:val="16"/>
                <w:szCs w:val="16"/>
                <w:color w:val="auto"/>
              </w:rPr>
              <w:t>Cost of subscription solutions</w:t>
            </w:r>
          </w:p>
        </w:tc>
        <w:tc>
          <w:tcPr>
            <w:tcW w:w="146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175</w:t>
            </w:r>
          </w:p>
        </w:tc>
        <w:tc>
          <w:tcPr>
            <w:tcW w:w="122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F7F7F7"/>
          </w:tcPr>
          <w:p>
            <w:pPr>
              <w:spacing w:after="0"/>
              <w:rPr>
                <w:sz w:val="19"/>
                <w:szCs w:val="19"/>
                <w:color w:val="auto"/>
              </w:rPr>
            </w:pP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37 %</w:t>
            </w:r>
          </w:p>
        </w:tc>
        <w:tc>
          <w:tcPr>
            <w:tcW w:w="160" w:type="dxa"/>
            <w:vAlign w:val="bottom"/>
            <w:shd w:val="clear" w:color="auto" w:fill="F7F7F7"/>
          </w:tcPr>
          <w:p>
            <w:pPr>
              <w:spacing w:after="0"/>
              <w:rPr>
                <w:sz w:val="19"/>
                <w:szCs w:val="19"/>
                <w:color w:val="auto"/>
              </w:rPr>
            </w:pPr>
          </w:p>
        </w:tc>
        <w:tc>
          <w:tcPr>
            <w:tcW w:w="160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486</w:t>
            </w:r>
          </w:p>
        </w:tc>
        <w:tc>
          <w:tcPr>
            <w:tcW w:w="112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372</w:t>
            </w:r>
          </w:p>
        </w:tc>
        <w:tc>
          <w:tcPr>
            <w:tcW w:w="160" w:type="dxa"/>
            <w:vAlign w:val="bottom"/>
            <w:shd w:val="clear" w:color="auto" w:fill="F7F7F7"/>
          </w:tcPr>
          <w:p>
            <w:pPr>
              <w:spacing w:after="0"/>
              <w:rPr>
                <w:sz w:val="19"/>
                <w:szCs w:val="19"/>
                <w:color w:val="auto"/>
              </w:rPr>
            </w:pP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31 %</w:t>
            </w:r>
          </w:p>
        </w:tc>
      </w:tr>
      <w:tr>
        <w:trPr>
          <w:trHeight w:val="228"/>
        </w:trPr>
        <w:tc>
          <w:tcPr>
            <w:tcW w:w="2760" w:type="dxa"/>
            <w:vAlign w:val="bottom"/>
            <w:tcBorders>
              <w:bottom w:val="single" w:sz="8" w:color="F7F7F7"/>
            </w:tcBorders>
          </w:tcPr>
          <w:p>
            <w:pPr>
              <w:ind w:left="260"/>
              <w:spacing w:after="0"/>
              <w:rPr>
                <w:sz w:val="20"/>
                <w:szCs w:val="20"/>
                <w:color w:val="auto"/>
              </w:rPr>
            </w:pPr>
            <w:r>
              <w:rPr>
                <w:rFonts w:ascii="Arial" w:cs="Arial" w:eastAsia="Arial" w:hAnsi="Arial"/>
                <w:sz w:val="16"/>
                <w:szCs w:val="16"/>
                <w:color w:val="auto"/>
              </w:rPr>
              <w:t>Cost of merchant solutions</w:t>
            </w: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1,786</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1,325</w:t>
            </w:r>
          </w:p>
        </w:tc>
        <w:tc>
          <w:tcPr>
            <w:tcW w:w="160" w:type="dxa"/>
            <w:vAlign w:val="bottom"/>
            <w:tcBorders>
              <w:bottom w:val="single" w:sz="8" w:color="F7F7F7"/>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Borders>
              <w:bottom w:val="single" w:sz="8" w:color="F7F7F7"/>
            </w:tcBorders>
          </w:tcPr>
          <w:p>
            <w:pPr>
              <w:spacing w:after="0"/>
              <w:rPr>
                <w:sz w:val="19"/>
                <w:szCs w:val="19"/>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4,974</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3,650</w:t>
            </w:r>
          </w:p>
        </w:tc>
        <w:tc>
          <w:tcPr>
            <w:tcW w:w="160" w:type="dxa"/>
            <w:vAlign w:val="bottom"/>
            <w:tcBorders>
              <w:bottom w:val="single" w:sz="8" w:color="F7F7F7"/>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r>
      <w:tr>
        <w:trPr>
          <w:trHeight w:val="223"/>
        </w:trPr>
        <w:tc>
          <w:tcPr>
            <w:tcW w:w="27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color w:val="auto"/>
              </w:rPr>
              <w:t>Total cost of revenues</w:t>
            </w:r>
          </w:p>
        </w:tc>
        <w:tc>
          <w:tcPr>
            <w:tcW w:w="1460" w:type="dxa"/>
            <w:vAlign w:val="bottom"/>
            <w:tcBorders>
              <w:bottom w:val="single" w:sz="8" w:color="auto"/>
            </w:tcBorders>
            <w:shd w:val="clear" w:color="auto" w:fill="F7F7F7"/>
          </w:tcPr>
          <w:p>
            <w:pPr>
              <w:jc w:val="right"/>
              <w:ind w:right="319"/>
              <w:spacing w:after="0"/>
              <w:rPr>
                <w:sz w:val="20"/>
                <w:szCs w:val="20"/>
                <w:color w:val="auto"/>
              </w:rPr>
            </w:pPr>
            <w:r>
              <w:rPr>
                <w:rFonts w:ascii="Arial" w:cs="Arial" w:eastAsia="Arial" w:hAnsi="Arial"/>
                <w:sz w:val="16"/>
                <w:szCs w:val="16"/>
                <w:color w:val="auto"/>
              </w:rPr>
              <w:t>1,961</w:t>
            </w:r>
          </w:p>
        </w:tc>
        <w:tc>
          <w:tcPr>
            <w:tcW w:w="122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1,453</w:t>
            </w:r>
          </w:p>
        </w:tc>
        <w:tc>
          <w:tcPr>
            <w:tcW w:w="160" w:type="dxa"/>
            <w:vAlign w:val="bottom"/>
            <w:tcBorders>
              <w:bottom w:val="single" w:sz="8" w:color="auto"/>
            </w:tcBorders>
            <w:shd w:val="clear" w:color="auto" w:fill="F7F7F7"/>
          </w:tcPr>
          <w:p>
            <w:pPr>
              <w:spacing w:after="0"/>
              <w:rPr>
                <w:sz w:val="19"/>
                <w:szCs w:val="19"/>
                <w:color w:val="auto"/>
              </w:rPr>
            </w:pP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Borders>
              <w:bottom w:val="single" w:sz="8" w:color="auto"/>
            </w:tcBorders>
            <w:shd w:val="clear" w:color="auto" w:fill="F7F7F7"/>
          </w:tcPr>
          <w:p>
            <w:pPr>
              <w:spacing w:after="0"/>
              <w:rPr>
                <w:sz w:val="19"/>
                <w:szCs w:val="19"/>
                <w:color w:val="auto"/>
              </w:rPr>
            </w:pPr>
          </w:p>
        </w:tc>
        <w:tc>
          <w:tcPr>
            <w:tcW w:w="160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5,460</w:t>
            </w:r>
          </w:p>
        </w:tc>
        <w:tc>
          <w:tcPr>
            <w:tcW w:w="112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4,022</w:t>
            </w:r>
          </w:p>
        </w:tc>
        <w:tc>
          <w:tcPr>
            <w:tcW w:w="160" w:type="dxa"/>
            <w:vAlign w:val="bottom"/>
            <w:tcBorders>
              <w:bottom w:val="single" w:sz="8" w:color="auto"/>
            </w:tcBorders>
            <w:shd w:val="clear" w:color="auto" w:fill="F7F7F7"/>
          </w:tcPr>
          <w:p>
            <w:pPr>
              <w:spacing w:after="0"/>
              <w:rPr>
                <w:sz w:val="19"/>
                <w:szCs w:val="19"/>
                <w:color w:val="auto"/>
              </w:rPr>
            </w:pP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36 %</w:t>
            </w: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shd w:val="clear" w:color="auto" w:fill="F7F7F7"/>
          </w:tcPr>
          <w:p>
            <w:pPr>
              <w:ind w:left="20"/>
              <w:spacing w:after="0"/>
              <w:rPr>
                <w:sz w:val="20"/>
                <w:szCs w:val="20"/>
                <w:color w:val="auto"/>
              </w:rPr>
            </w:pPr>
            <w:r>
              <w:rPr>
                <w:rFonts w:ascii="Arial" w:cs="Arial" w:eastAsia="Arial" w:hAnsi="Arial"/>
                <w:sz w:val="16"/>
                <w:szCs w:val="16"/>
                <w:b w:val="1"/>
                <w:bCs w:val="1"/>
                <w:color w:val="auto"/>
              </w:rPr>
              <w:t>Percentage of revenues:</w:t>
            </w:r>
          </w:p>
        </w:tc>
        <w:tc>
          <w:tcPr>
            <w:tcW w:w="1780" w:type="dxa"/>
            <w:vAlign w:val="bottom"/>
            <w:shd w:val="clear" w:color="auto" w:fill="F7F7F7"/>
          </w:tcPr>
          <w:p>
            <w:pPr>
              <w:spacing w:after="0"/>
              <w:rPr>
                <w:sz w:val="19"/>
                <w:szCs w:val="19"/>
                <w:color w:val="auto"/>
              </w:rPr>
            </w:pPr>
          </w:p>
        </w:tc>
        <w:tc>
          <w:tcPr>
            <w:tcW w:w="900" w:type="dxa"/>
            <w:vAlign w:val="bottom"/>
            <w:shd w:val="clear" w:color="auto" w:fill="F7F7F7"/>
          </w:tcPr>
          <w:p>
            <w:pPr>
              <w:spacing w:after="0"/>
              <w:rPr>
                <w:sz w:val="19"/>
                <w:szCs w:val="19"/>
                <w:color w:val="auto"/>
              </w:rPr>
            </w:pPr>
          </w:p>
        </w:tc>
        <w:tc>
          <w:tcPr>
            <w:tcW w:w="1620" w:type="dxa"/>
            <w:vAlign w:val="bottom"/>
            <w:shd w:val="clear" w:color="auto" w:fill="F7F7F7"/>
          </w:tcPr>
          <w:p>
            <w:pPr>
              <w:spacing w:after="0"/>
              <w:rPr>
                <w:sz w:val="19"/>
                <w:szCs w:val="19"/>
                <w:color w:val="auto"/>
              </w:rPr>
            </w:pPr>
          </w:p>
        </w:tc>
        <w:tc>
          <w:tcPr>
            <w:tcW w:w="1800" w:type="dxa"/>
            <w:vAlign w:val="bottom"/>
            <w:shd w:val="clear" w:color="auto" w:fill="F7F7F7"/>
          </w:tcPr>
          <w:p>
            <w:pPr>
              <w:spacing w:after="0"/>
              <w:rPr>
                <w:sz w:val="19"/>
                <w:szCs w:val="19"/>
                <w:color w:val="auto"/>
              </w:rPr>
            </w:pPr>
          </w:p>
        </w:tc>
        <w:tc>
          <w:tcPr>
            <w:tcW w:w="920" w:type="dxa"/>
            <w:vAlign w:val="bottom"/>
            <w:shd w:val="clear" w:color="auto" w:fill="F7F7F7"/>
          </w:tcPr>
          <w:p>
            <w:pPr>
              <w:spacing w:after="0"/>
              <w:rPr>
                <w:sz w:val="19"/>
                <w:szCs w:val="19"/>
                <w:color w:val="auto"/>
              </w:rPr>
            </w:pPr>
          </w:p>
        </w:tc>
        <w:tc>
          <w:tcPr>
            <w:tcW w:w="1460" w:type="dxa"/>
            <w:vAlign w:val="bottom"/>
            <w:shd w:val="clear" w:color="auto" w:fill="F7F7F7"/>
          </w:tcPr>
          <w:p>
            <w:pPr>
              <w:spacing w:after="0"/>
              <w:rPr>
                <w:sz w:val="19"/>
                <w:szCs w:val="19"/>
                <w:color w:val="auto"/>
              </w:rPr>
            </w:pPr>
          </w:p>
        </w:tc>
      </w:tr>
      <w:tr>
        <w:trPr>
          <w:trHeight w:val="228"/>
        </w:trPr>
        <w:tc>
          <w:tcPr>
            <w:tcW w:w="2760" w:type="dxa"/>
            <w:vAlign w:val="bottom"/>
          </w:tcPr>
          <w:p>
            <w:pPr>
              <w:ind w:left="260"/>
              <w:spacing w:after="0"/>
              <w:rPr>
                <w:sz w:val="20"/>
                <w:szCs w:val="20"/>
                <w:color w:val="auto"/>
              </w:rPr>
            </w:pPr>
            <w:r>
              <w:rPr>
                <w:rFonts w:ascii="Arial" w:cs="Arial" w:eastAsia="Arial" w:hAnsi="Arial"/>
                <w:sz w:val="16"/>
                <w:szCs w:val="16"/>
                <w:color w:val="auto"/>
              </w:rPr>
              <w:t>Cost of subscription solutions</w:t>
            </w:r>
          </w:p>
        </w:tc>
        <w:tc>
          <w:tcPr>
            <w:tcW w:w="1780" w:type="dxa"/>
            <w:vAlign w:val="bottom"/>
          </w:tcPr>
          <w:p>
            <w:pPr>
              <w:jc w:val="right"/>
              <w:ind w:right="439"/>
              <w:spacing w:after="0"/>
              <w:rPr>
                <w:sz w:val="20"/>
                <w:szCs w:val="20"/>
                <w:color w:val="auto"/>
              </w:rPr>
            </w:pPr>
            <w:r>
              <w:rPr>
                <w:rFonts w:ascii="Arial" w:cs="Arial" w:eastAsia="Arial" w:hAnsi="Arial"/>
                <w:sz w:val="16"/>
                <w:szCs w:val="16"/>
                <w:color w:val="auto"/>
              </w:rPr>
              <w:t>5 %</w:t>
            </w:r>
          </w:p>
        </w:tc>
        <w:tc>
          <w:tcPr>
            <w:tcW w:w="900" w:type="dxa"/>
            <w:vAlign w:val="bottom"/>
          </w:tcPr>
          <w:p>
            <w:pPr>
              <w:jc w:val="right"/>
              <w:spacing w:after="0"/>
              <w:rPr>
                <w:sz w:val="20"/>
                <w:szCs w:val="20"/>
                <w:color w:val="auto"/>
              </w:rPr>
            </w:pPr>
            <w:r>
              <w:rPr>
                <w:rFonts w:ascii="Arial" w:cs="Arial" w:eastAsia="Arial" w:hAnsi="Arial"/>
                <w:sz w:val="16"/>
                <w:szCs w:val="16"/>
                <w:color w:val="auto"/>
              </w:rPr>
              <w:t>5 %</w:t>
            </w:r>
          </w:p>
        </w:tc>
        <w:tc>
          <w:tcPr>
            <w:tcW w:w="1620" w:type="dxa"/>
            <w:vAlign w:val="bottom"/>
          </w:tcPr>
          <w:p>
            <w:pPr>
              <w:spacing w:after="0"/>
              <w:rPr>
                <w:sz w:val="19"/>
                <w:szCs w:val="19"/>
                <w:color w:val="auto"/>
              </w:rPr>
            </w:pP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5 %</w:t>
            </w:r>
          </w:p>
        </w:tc>
        <w:tc>
          <w:tcPr>
            <w:tcW w:w="920" w:type="dxa"/>
            <w:vAlign w:val="bottom"/>
          </w:tcPr>
          <w:p>
            <w:pPr>
              <w:jc w:val="right"/>
              <w:spacing w:after="0"/>
              <w:rPr>
                <w:sz w:val="20"/>
                <w:szCs w:val="20"/>
                <w:color w:val="auto"/>
              </w:rPr>
            </w:pPr>
            <w:r>
              <w:rPr>
                <w:rFonts w:ascii="Arial" w:cs="Arial" w:eastAsia="Arial" w:hAnsi="Arial"/>
                <w:sz w:val="16"/>
                <w:szCs w:val="16"/>
                <w:color w:val="auto"/>
              </w:rPr>
              <w:t>5 %</w:t>
            </w:r>
          </w:p>
        </w:tc>
        <w:tc>
          <w:tcPr>
            <w:tcW w:w="1460" w:type="dxa"/>
            <w:vAlign w:val="bottom"/>
          </w:tcPr>
          <w:p>
            <w:pPr>
              <w:spacing w:after="0"/>
              <w:rPr>
                <w:sz w:val="19"/>
                <w:szCs w:val="19"/>
                <w:color w:val="auto"/>
              </w:rPr>
            </w:pPr>
          </w:p>
        </w:tc>
      </w:tr>
      <w:tr>
        <w:trPr>
          <w:trHeight w:val="231"/>
        </w:trPr>
        <w:tc>
          <w:tcPr>
            <w:tcW w:w="2760" w:type="dxa"/>
            <w:vAlign w:val="bottom"/>
            <w:shd w:val="clear" w:color="auto" w:fill="F7F7F7"/>
          </w:tcPr>
          <w:p>
            <w:pPr>
              <w:ind w:left="260"/>
              <w:spacing w:after="0"/>
              <w:rPr>
                <w:sz w:val="20"/>
                <w:szCs w:val="20"/>
                <w:color w:val="auto"/>
              </w:rPr>
            </w:pPr>
            <w:r>
              <w:rPr>
                <w:rFonts w:ascii="Arial" w:cs="Arial" w:eastAsia="Arial" w:hAnsi="Arial"/>
                <w:sz w:val="16"/>
                <w:szCs w:val="16"/>
                <w:color w:val="auto"/>
              </w:rPr>
              <w:t>Cost of merchant solutions</w:t>
            </w:r>
          </w:p>
        </w:tc>
        <w:tc>
          <w:tcPr>
            <w:tcW w:w="178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48 %</w:t>
            </w:r>
          </w:p>
        </w:tc>
        <w:tc>
          <w:tcPr>
            <w:tcW w:w="9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47 %</w:t>
            </w:r>
          </w:p>
        </w:tc>
        <w:tc>
          <w:tcPr>
            <w:tcW w:w="1620" w:type="dxa"/>
            <w:vAlign w:val="bottom"/>
            <w:shd w:val="clear" w:color="auto" w:fill="F7F7F7"/>
          </w:tcPr>
          <w:p>
            <w:pPr>
              <w:spacing w:after="0"/>
              <w:rPr>
                <w:sz w:val="20"/>
                <w:szCs w:val="20"/>
                <w:color w:val="auto"/>
              </w:rPr>
            </w:pPr>
          </w:p>
        </w:tc>
        <w:tc>
          <w:tcPr>
            <w:tcW w:w="1800" w:type="dxa"/>
            <w:vAlign w:val="bottom"/>
            <w:tcBorders>
              <w:bottom w:val="single" w:sz="8" w:color="auto"/>
            </w:tcBorders>
            <w:shd w:val="clear" w:color="auto" w:fill="F7F7F7"/>
          </w:tcPr>
          <w:p>
            <w:pPr>
              <w:jc w:val="right"/>
              <w:ind w:right="439"/>
              <w:spacing w:after="0"/>
              <w:rPr>
                <w:sz w:val="20"/>
                <w:szCs w:val="20"/>
                <w:color w:val="auto"/>
              </w:rPr>
            </w:pPr>
            <w:r>
              <w:rPr>
                <w:rFonts w:ascii="Arial" w:cs="Arial" w:eastAsia="Arial" w:hAnsi="Arial"/>
                <w:sz w:val="16"/>
                <w:szCs w:val="16"/>
                <w:color w:val="auto"/>
              </w:rPr>
              <w:t>47 %</w:t>
            </w:r>
          </w:p>
        </w:tc>
        <w:tc>
          <w:tcPr>
            <w:tcW w:w="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46 %</w:t>
            </w:r>
          </w:p>
        </w:tc>
        <w:tc>
          <w:tcPr>
            <w:tcW w:w="1460" w:type="dxa"/>
            <w:vAlign w:val="bottom"/>
            <w:shd w:val="clear" w:color="auto" w:fill="F7F7F7"/>
          </w:tcPr>
          <w:p>
            <w:pPr>
              <w:spacing w:after="0"/>
              <w:rPr>
                <w:sz w:val="20"/>
                <w:szCs w:val="20"/>
                <w:color w:val="auto"/>
              </w:rPr>
            </w:pPr>
          </w:p>
        </w:tc>
      </w:tr>
      <w:tr>
        <w:trPr>
          <w:trHeight w:val="221"/>
        </w:trPr>
        <w:tc>
          <w:tcPr>
            <w:tcW w:w="2760" w:type="dxa"/>
            <w:vAlign w:val="bottom"/>
          </w:tcPr>
          <w:p>
            <w:pPr>
              <w:ind w:left="20"/>
              <w:spacing w:after="0"/>
              <w:rPr>
                <w:sz w:val="20"/>
                <w:szCs w:val="20"/>
                <w:color w:val="auto"/>
              </w:rPr>
            </w:pPr>
            <w:r>
              <w:rPr>
                <w:rFonts w:ascii="Arial" w:cs="Arial" w:eastAsia="Arial" w:hAnsi="Arial"/>
                <w:sz w:val="16"/>
                <w:szCs w:val="16"/>
                <w:color w:val="auto"/>
              </w:rPr>
              <w:t>Total cost of revenues</w:t>
            </w:r>
          </w:p>
        </w:tc>
        <w:tc>
          <w:tcPr>
            <w:tcW w:w="1780" w:type="dxa"/>
            <w:vAlign w:val="bottom"/>
          </w:tcPr>
          <w:p>
            <w:pPr>
              <w:jc w:val="right"/>
              <w:ind w:right="439"/>
              <w:spacing w:after="0"/>
              <w:rPr>
                <w:sz w:val="20"/>
                <w:szCs w:val="20"/>
                <w:color w:val="auto"/>
              </w:rPr>
            </w:pPr>
            <w:r>
              <w:rPr>
                <w:rFonts w:ascii="Arial" w:cs="Arial" w:eastAsia="Arial" w:hAnsi="Arial"/>
                <w:sz w:val="16"/>
                <w:szCs w:val="16"/>
                <w:color w:val="auto"/>
              </w:rPr>
              <w:t>52 %</w:t>
            </w:r>
          </w:p>
        </w:tc>
        <w:tc>
          <w:tcPr>
            <w:tcW w:w="900" w:type="dxa"/>
            <w:vAlign w:val="bottom"/>
          </w:tcPr>
          <w:p>
            <w:pPr>
              <w:jc w:val="right"/>
              <w:spacing w:after="0"/>
              <w:rPr>
                <w:sz w:val="20"/>
                <w:szCs w:val="20"/>
                <w:color w:val="auto"/>
              </w:rPr>
            </w:pPr>
            <w:r>
              <w:rPr>
                <w:rFonts w:ascii="Arial" w:cs="Arial" w:eastAsia="Arial" w:hAnsi="Arial"/>
                <w:sz w:val="16"/>
                <w:szCs w:val="16"/>
                <w:color w:val="auto"/>
              </w:rPr>
              <w:t>51 %</w:t>
            </w:r>
          </w:p>
        </w:tc>
        <w:tc>
          <w:tcPr>
            <w:tcW w:w="1620" w:type="dxa"/>
            <w:vAlign w:val="bottom"/>
          </w:tcPr>
          <w:p>
            <w:pPr>
              <w:spacing w:after="0"/>
              <w:rPr>
                <w:sz w:val="19"/>
                <w:szCs w:val="19"/>
                <w:color w:val="auto"/>
              </w:rPr>
            </w:pP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52 %</w:t>
            </w:r>
          </w:p>
        </w:tc>
        <w:tc>
          <w:tcPr>
            <w:tcW w:w="920" w:type="dxa"/>
            <w:vAlign w:val="bottom"/>
          </w:tcPr>
          <w:p>
            <w:pPr>
              <w:jc w:val="right"/>
              <w:spacing w:after="0"/>
              <w:rPr>
                <w:sz w:val="20"/>
                <w:szCs w:val="20"/>
                <w:color w:val="auto"/>
              </w:rPr>
            </w:pPr>
            <w:r>
              <w:rPr>
                <w:rFonts w:ascii="Arial" w:cs="Arial" w:eastAsia="Arial" w:hAnsi="Arial"/>
                <w:sz w:val="16"/>
                <w:szCs w:val="16"/>
                <w:color w:val="auto"/>
              </w:rPr>
              <w:t>51 %</w:t>
            </w:r>
          </w:p>
        </w:tc>
        <w:tc>
          <w:tcPr>
            <w:tcW w:w="1460" w:type="dxa"/>
            <w:vAlign w:val="bottom"/>
          </w:tcPr>
          <w:p>
            <w:pPr>
              <w:spacing w:after="0"/>
              <w:rPr>
                <w:sz w:val="19"/>
                <w:szCs w:val="19"/>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Subscription Solutions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subscription solutions increased for the three months ended September 30, 2026 compared to the same period in 2025. The increase was driven by a $40 million increase in our infrastructure costs, including cloud hosting platforms, infrastructure software and LLM usage costs. Cloud hosting and infrastructure costs remain the significant majority of our cost of subscription solutions.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subscription solutions increased for the nine months ended September 30, 2026 compared to the same period in 2025. The increase was driven by a $99 million increase in our infrastructure costs including cloud hosting platforms, infrastructure software and LLM usage costs. Cloud hosting and infrastructure costs remain the significant majority of our cost of subscription solutions.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Merchant Solutions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merchant solutions increased for the three months ended September 30, 2026 compared to the same period in 2025. The increase was driven by higher payment processing fees resulting from an increase in GMV facilitated through Shopify Payments.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merchant solutions increased for the nine months ended September 30, 2026 compared to the same period in 2025. The increase was driven by higher payment processing fees resulting from an increase in GMV facilitated through Shopify Payments.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4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4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40" w:type="dxa"/>
            <w:vAlign w:val="bottom"/>
            <w:gridSpan w:val="3"/>
          </w:tcPr>
          <w:p>
            <w:pPr>
              <w:jc w:val="right"/>
              <w:ind w:right="219"/>
              <w:spacing w:after="0"/>
              <w:rPr>
                <w:sz w:val="20"/>
                <w:szCs w:val="20"/>
                <w:color w:val="auto"/>
              </w:rPr>
            </w:pPr>
            <w:r>
              <w:rPr>
                <w:rFonts w:ascii="Arial" w:cs="Arial" w:eastAsia="Arial" w:hAnsi="Arial"/>
                <w:sz w:val="16"/>
                <w:szCs w:val="16"/>
                <w:color w:val="auto"/>
              </w:rPr>
              <w:t>(in US $ millions, except percentages)</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740" w:type="dxa"/>
            <w:vAlign w:val="bottom"/>
            <w:shd w:val="clear" w:color="auto" w:fill="F7F7F7"/>
          </w:tcPr>
          <w:p>
            <w:pPr>
              <w:ind w:left="20"/>
              <w:spacing w:after="0"/>
              <w:rPr>
                <w:sz w:val="20"/>
                <w:szCs w:val="20"/>
                <w:color w:val="auto"/>
              </w:rPr>
            </w:pPr>
            <w:r>
              <w:rPr>
                <w:rFonts w:ascii="Arial" w:cs="Arial" w:eastAsia="Arial" w:hAnsi="Arial"/>
                <w:sz w:val="16"/>
                <w:szCs w:val="16"/>
                <w:color w:val="auto"/>
              </w:rPr>
              <w:t>Gross profit</w:t>
            </w:r>
          </w:p>
        </w:tc>
        <w:tc>
          <w:tcPr>
            <w:tcW w:w="15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1,781</w:t>
            </w:r>
          </w:p>
        </w:tc>
        <w:tc>
          <w:tcPr>
            <w:tcW w:w="122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1,391</w:t>
            </w:r>
          </w:p>
        </w:tc>
        <w:tc>
          <w:tcPr>
            <w:tcW w:w="13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28 %</w:t>
            </w:r>
          </w:p>
        </w:tc>
        <w:tc>
          <w:tcPr>
            <w:tcW w:w="160" w:type="dxa"/>
            <w:vAlign w:val="bottom"/>
            <w:shd w:val="clear" w:color="auto" w:fill="F7F7F7"/>
          </w:tcPr>
          <w:p>
            <w:pPr>
              <w:spacing w:after="0"/>
              <w:rPr>
                <w:sz w:val="20"/>
                <w:szCs w:val="20"/>
                <w:color w:val="auto"/>
              </w:rPr>
            </w:pPr>
          </w:p>
        </w:tc>
        <w:tc>
          <w:tcPr>
            <w:tcW w:w="160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5,035</w:t>
            </w:r>
          </w:p>
        </w:tc>
        <w:tc>
          <w:tcPr>
            <w:tcW w:w="13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3,862</w:t>
            </w:r>
          </w:p>
        </w:tc>
        <w:tc>
          <w:tcPr>
            <w:tcW w:w="12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30 %</w:t>
            </w:r>
          </w:p>
        </w:tc>
      </w:tr>
      <w:tr>
        <w:trPr>
          <w:trHeight w:val="228"/>
        </w:trPr>
        <w:tc>
          <w:tcPr>
            <w:tcW w:w="274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48 %</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49 %</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48 %</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49 %</w:t>
            </w:r>
          </w:p>
        </w:tc>
        <w:tc>
          <w:tcPr>
            <w:tcW w:w="1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41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40" w:type="dxa"/>
            <w:vAlign w:val="bottom"/>
            <w:gridSpan w:val="3"/>
          </w:tcPr>
          <w:p>
            <w:pPr>
              <w:jc w:val="right"/>
              <w:ind w:right="219"/>
              <w:spacing w:after="0"/>
              <w:rPr>
                <w:sz w:val="20"/>
                <w:szCs w:val="20"/>
                <w:color w:val="auto"/>
              </w:rPr>
            </w:pPr>
            <w:r>
              <w:rPr>
                <w:rFonts w:ascii="Arial" w:cs="Arial" w:eastAsia="Arial" w:hAnsi="Arial"/>
                <w:sz w:val="16"/>
                <w:szCs w:val="16"/>
                <w:color w:val="auto"/>
              </w:rPr>
              <w:t>(in US $ millions, except percentages)</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2740" w:type="dxa"/>
            <w:vAlign w:val="bottom"/>
            <w:shd w:val="clear" w:color="auto" w:fill="F7F7F7"/>
          </w:tcPr>
          <w:p>
            <w:pPr>
              <w:ind w:left="20"/>
              <w:spacing w:after="0"/>
              <w:rPr>
                <w:sz w:val="20"/>
                <w:szCs w:val="20"/>
                <w:color w:val="auto"/>
              </w:rPr>
            </w:pPr>
            <w:r>
              <w:rPr>
                <w:rFonts w:ascii="Arial" w:cs="Arial" w:eastAsia="Arial" w:hAnsi="Arial"/>
                <w:sz w:val="16"/>
                <w:szCs w:val="16"/>
                <w:color w:val="auto"/>
              </w:rPr>
              <w:t>Sales and marketing</w:t>
            </w:r>
          </w:p>
        </w:tc>
        <w:tc>
          <w:tcPr>
            <w:tcW w:w="15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466</w:t>
            </w:r>
          </w:p>
        </w:tc>
        <w:tc>
          <w:tcPr>
            <w:tcW w:w="122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410</w:t>
            </w:r>
          </w:p>
        </w:tc>
        <w:tc>
          <w:tcPr>
            <w:tcW w:w="13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14 %</w:t>
            </w:r>
          </w:p>
        </w:tc>
        <w:tc>
          <w:tcPr>
            <w:tcW w:w="180" w:type="dxa"/>
            <w:vAlign w:val="bottom"/>
            <w:shd w:val="clear" w:color="auto" w:fill="F7F7F7"/>
          </w:tcPr>
          <w:p>
            <w:pPr>
              <w:spacing w:after="0"/>
              <w:rPr>
                <w:sz w:val="20"/>
                <w:szCs w:val="20"/>
                <w:color w:val="auto"/>
              </w:rPr>
            </w:pPr>
          </w:p>
        </w:tc>
        <w:tc>
          <w:tcPr>
            <w:tcW w:w="160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1,460</w:t>
            </w:r>
          </w:p>
        </w:tc>
        <w:tc>
          <w:tcPr>
            <w:tcW w:w="13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1,230</w:t>
            </w:r>
          </w:p>
        </w:tc>
        <w:tc>
          <w:tcPr>
            <w:tcW w:w="12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19 %</w:t>
            </w:r>
          </w:p>
        </w:tc>
      </w:tr>
      <w:tr>
        <w:trPr>
          <w:trHeight w:val="228"/>
        </w:trPr>
        <w:tc>
          <w:tcPr>
            <w:tcW w:w="274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12 %</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14 %</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14 %</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16 %</w:t>
            </w:r>
          </w:p>
        </w:tc>
        <w:tc>
          <w:tcPr>
            <w:tcW w:w="1260" w:type="dxa"/>
            <w:vAlign w:val="bottom"/>
          </w:tcPr>
          <w:p>
            <w:pPr>
              <w:spacing w:after="0"/>
              <w:rPr>
                <w:sz w:val="19"/>
                <w:szCs w:val="19"/>
                <w:color w:val="auto"/>
              </w:rPr>
            </w:pPr>
          </w:p>
        </w:tc>
      </w:tr>
    </w:tbl>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Sales and marketing expenses increased for the three months ended September 30, 2026 compared to the same period in 2025, due to increases of $26 million in overall marketing program spend and $21 million in payouts related to our affiliate partner programs.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Sales and marketing expenses increased for the nine months ended September 30, 2026 compared to the same period in 2025, due to increases of $173 million in overall marketing program spend and $47 million in payouts related to our affiliate partner programs.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4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2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40" w:type="dxa"/>
            <w:vAlign w:val="bottom"/>
            <w:gridSpan w:val="3"/>
          </w:tcPr>
          <w:p>
            <w:pPr>
              <w:jc w:val="right"/>
              <w:ind w:right="219"/>
              <w:spacing w:after="0"/>
              <w:rPr>
                <w:sz w:val="20"/>
                <w:szCs w:val="20"/>
                <w:color w:val="auto"/>
              </w:rPr>
            </w:pPr>
            <w:r>
              <w:rPr>
                <w:rFonts w:ascii="Arial" w:cs="Arial" w:eastAsia="Arial" w:hAnsi="Arial"/>
                <w:sz w:val="16"/>
                <w:szCs w:val="16"/>
                <w:color w:val="auto"/>
              </w:rPr>
              <w:t>(in US $ millions, except percentages)</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27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1540" w:type="dxa"/>
            <w:vAlign w:val="bottom"/>
            <w:shd w:val="clear" w:color="auto" w:fill="F7F7F7"/>
          </w:tcPr>
          <w:p>
            <w:pPr>
              <w:jc w:val="right"/>
              <w:ind w:right="399"/>
              <w:spacing w:after="0"/>
              <w:rPr>
                <w:sz w:val="20"/>
                <w:szCs w:val="20"/>
                <w:color w:val="auto"/>
              </w:rPr>
            </w:pPr>
            <w:r>
              <w:rPr>
                <w:rFonts w:ascii="Arial" w:cs="Arial" w:eastAsia="Arial" w:hAnsi="Arial"/>
                <w:sz w:val="16"/>
                <w:szCs w:val="16"/>
                <w:color w:val="auto"/>
              </w:rPr>
              <w:t>497</w:t>
            </w:r>
          </w:p>
        </w:tc>
        <w:tc>
          <w:tcPr>
            <w:tcW w:w="122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375</w:t>
            </w:r>
          </w:p>
        </w:tc>
        <w:tc>
          <w:tcPr>
            <w:tcW w:w="13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33 %</w:t>
            </w:r>
          </w:p>
        </w:tc>
        <w:tc>
          <w:tcPr>
            <w:tcW w:w="180" w:type="dxa"/>
            <w:vAlign w:val="bottom"/>
            <w:shd w:val="clear" w:color="auto" w:fill="F7F7F7"/>
          </w:tcPr>
          <w:p>
            <w:pPr>
              <w:spacing w:after="0"/>
              <w:rPr>
                <w:sz w:val="20"/>
                <w:szCs w:val="20"/>
                <w:color w:val="auto"/>
              </w:rPr>
            </w:pPr>
          </w:p>
        </w:tc>
        <w:tc>
          <w:tcPr>
            <w:tcW w:w="160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1,379</w:t>
            </w:r>
          </w:p>
        </w:tc>
        <w:tc>
          <w:tcPr>
            <w:tcW w:w="13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1,146</w:t>
            </w:r>
          </w:p>
        </w:tc>
        <w:tc>
          <w:tcPr>
            <w:tcW w:w="12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20 %</w:t>
            </w: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13 %</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13 %</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13 %</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15 %</w:t>
            </w:r>
          </w:p>
        </w:tc>
        <w:tc>
          <w:tcPr>
            <w:tcW w:w="1260" w:type="dxa"/>
            <w:vAlign w:val="bottom"/>
          </w:tcPr>
          <w:p>
            <w:pPr>
              <w:spacing w:after="0"/>
              <w:rPr>
                <w:sz w:val="19"/>
                <w:szCs w:val="19"/>
                <w:color w:val="auto"/>
              </w:rPr>
            </w:pPr>
          </w:p>
        </w:tc>
      </w:tr>
    </w:tbl>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for the three months ended September 30, 2026 compared to the same period in 2025, due to increases of $62 million in employee-related costs including timing of product development events and $40 million in computer hardware and software costs, which includes AI-related usage.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for the nine months ended September 30, 2026 compared to the same period in 2025, due to increases of $109 million in employee-related costs including timing of product development events and $99 million in computer hardware and software costs, which includes AI-related usage.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4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1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2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20" w:type="dxa"/>
            <w:vAlign w:val="bottom"/>
            <w:gridSpan w:val="3"/>
          </w:tcPr>
          <w:p>
            <w:pPr>
              <w:jc w:val="right"/>
              <w:ind w:right="199"/>
              <w:spacing w:after="0"/>
              <w:rPr>
                <w:sz w:val="20"/>
                <w:szCs w:val="20"/>
                <w:color w:val="auto"/>
              </w:rPr>
            </w:pPr>
            <w:r>
              <w:rPr>
                <w:rFonts w:ascii="Arial" w:cs="Arial" w:eastAsia="Arial" w:hAnsi="Arial"/>
                <w:sz w:val="16"/>
                <w:szCs w:val="16"/>
                <w:color w:val="auto"/>
              </w:rPr>
              <w:t>(in US $ millions, except percentages)</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780" w:type="dxa"/>
            <w:vAlign w:val="bottom"/>
            <w:shd w:val="clear" w:color="auto" w:fill="F7F7F7"/>
          </w:tcPr>
          <w:p>
            <w:pPr>
              <w:ind w:left="20"/>
              <w:spacing w:after="0"/>
              <w:rPr>
                <w:sz w:val="20"/>
                <w:szCs w:val="20"/>
                <w:color w:val="auto"/>
              </w:rPr>
            </w:pPr>
            <w:r>
              <w:rPr>
                <w:rFonts w:ascii="Arial" w:cs="Arial" w:eastAsia="Arial" w:hAnsi="Arial"/>
                <w:sz w:val="16"/>
                <w:szCs w:val="16"/>
                <w:color w:val="auto"/>
              </w:rPr>
              <w:t>General and administrative</w:t>
            </w:r>
          </w:p>
        </w:tc>
        <w:tc>
          <w:tcPr>
            <w:tcW w:w="154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130</w:t>
            </w:r>
          </w:p>
        </w:tc>
        <w:tc>
          <w:tcPr>
            <w:tcW w:w="122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115</w:t>
            </w:r>
          </w:p>
        </w:tc>
        <w:tc>
          <w:tcPr>
            <w:tcW w:w="13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13 %</w:t>
            </w:r>
          </w:p>
        </w:tc>
        <w:tc>
          <w:tcPr>
            <w:tcW w:w="180" w:type="dxa"/>
            <w:vAlign w:val="bottom"/>
            <w:shd w:val="clear" w:color="auto" w:fill="F7F7F7"/>
          </w:tcPr>
          <w:p>
            <w:pPr>
              <w:spacing w:after="0"/>
              <w:rPr>
                <w:sz w:val="20"/>
                <w:szCs w:val="20"/>
                <w:color w:val="auto"/>
              </w:rPr>
            </w:pPr>
          </w:p>
        </w:tc>
        <w:tc>
          <w:tcPr>
            <w:tcW w:w="158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381</w:t>
            </w:r>
          </w:p>
        </w:tc>
        <w:tc>
          <w:tcPr>
            <w:tcW w:w="13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346</w:t>
            </w:r>
          </w:p>
        </w:tc>
        <w:tc>
          <w:tcPr>
            <w:tcW w:w="12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10 %</w:t>
            </w: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3 %</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4 %</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4 %</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4 %</w:t>
            </w:r>
          </w:p>
        </w:tc>
        <w:tc>
          <w:tcPr>
            <w:tcW w:w="1260" w:type="dxa"/>
            <w:vAlign w:val="bottom"/>
          </w:tcPr>
          <w:p>
            <w:pPr>
              <w:spacing w:after="0"/>
              <w:rPr>
                <w:sz w:val="19"/>
                <w:szCs w:val="19"/>
                <w:color w:val="auto"/>
              </w:rPr>
            </w:pPr>
          </w:p>
        </w:tc>
      </w:tr>
    </w:tbl>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General and administrative expenses increased for the three months ended September 30, 2026 compared to the same period in 2025, due to increases of $9 million in employee-related costs and $8 million in indirect taxes.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increased for the nine months ended September 30, 2026 compared to the same period in 2025, due to increases of $31 million in indirect taxes and $19 million in employee-related costs, offset by a $13 million decrease due to prior year impairment related costs associated with right-of-use assets and leasehold improvements.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Loan Losses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4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1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2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2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20" w:type="dxa"/>
            <w:vAlign w:val="bottom"/>
            <w:gridSpan w:val="3"/>
          </w:tcPr>
          <w:p>
            <w:pPr>
              <w:jc w:val="right"/>
              <w:ind w:right="199"/>
              <w:spacing w:after="0"/>
              <w:rPr>
                <w:sz w:val="20"/>
                <w:szCs w:val="20"/>
                <w:color w:val="auto"/>
              </w:rPr>
            </w:pPr>
            <w:r>
              <w:rPr>
                <w:rFonts w:ascii="Arial" w:cs="Arial" w:eastAsia="Arial" w:hAnsi="Arial"/>
                <w:sz w:val="16"/>
                <w:szCs w:val="16"/>
                <w:color w:val="auto"/>
              </w:rPr>
              <w:t>(in US $ millions, except percentages)</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780" w:type="dxa"/>
            <w:vAlign w:val="bottom"/>
            <w:shd w:val="clear" w:color="auto" w:fill="F7F7F7"/>
          </w:tcPr>
          <w:p>
            <w:pPr>
              <w:ind w:left="20"/>
              <w:spacing w:after="0"/>
              <w:rPr>
                <w:sz w:val="20"/>
                <w:szCs w:val="20"/>
                <w:color w:val="auto"/>
              </w:rPr>
            </w:pPr>
            <w:r>
              <w:rPr>
                <w:rFonts w:ascii="Arial" w:cs="Arial" w:eastAsia="Arial" w:hAnsi="Arial"/>
                <w:sz w:val="16"/>
                <w:szCs w:val="16"/>
                <w:color w:val="auto"/>
              </w:rPr>
              <w:t>Transaction and loan losses</w:t>
            </w:r>
          </w:p>
        </w:tc>
        <w:tc>
          <w:tcPr>
            <w:tcW w:w="154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120</w:t>
            </w:r>
          </w:p>
        </w:tc>
        <w:tc>
          <w:tcPr>
            <w:tcW w:w="1220" w:type="dxa"/>
            <w:vAlign w:val="bottom"/>
            <w:shd w:val="clear" w:color="auto" w:fill="F7F7F7"/>
          </w:tcPr>
          <w:p>
            <w:pPr>
              <w:jc w:val="right"/>
              <w:ind w:right="219"/>
              <w:spacing w:after="0"/>
              <w:rPr>
                <w:sz w:val="20"/>
                <w:szCs w:val="20"/>
                <w:color w:val="auto"/>
              </w:rPr>
            </w:pPr>
            <w:r>
              <w:rPr>
                <w:rFonts w:ascii="Arial" w:cs="Arial" w:eastAsia="Arial" w:hAnsi="Arial"/>
                <w:sz w:val="16"/>
                <w:szCs w:val="16"/>
                <w:color w:val="auto"/>
              </w:rPr>
              <w:t>148</w:t>
            </w:r>
          </w:p>
        </w:tc>
        <w:tc>
          <w:tcPr>
            <w:tcW w:w="13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F7F7F7"/>
          </w:tcPr>
          <w:p>
            <w:pPr>
              <w:spacing w:after="0"/>
              <w:rPr>
                <w:sz w:val="20"/>
                <w:szCs w:val="20"/>
                <w:color w:val="auto"/>
              </w:rPr>
            </w:pPr>
          </w:p>
        </w:tc>
        <w:tc>
          <w:tcPr>
            <w:tcW w:w="1580" w:type="dxa"/>
            <w:vAlign w:val="bottom"/>
            <w:shd w:val="clear" w:color="auto" w:fill="F7F7F7"/>
          </w:tcPr>
          <w:p>
            <w:pPr>
              <w:jc w:val="right"/>
              <w:ind w:right="439"/>
              <w:spacing w:after="0"/>
              <w:rPr>
                <w:sz w:val="20"/>
                <w:szCs w:val="20"/>
                <w:color w:val="auto"/>
              </w:rPr>
            </w:pPr>
            <w:r>
              <w:rPr>
                <w:rFonts w:ascii="Arial" w:cs="Arial" w:eastAsia="Arial" w:hAnsi="Arial"/>
                <w:sz w:val="16"/>
                <w:szCs w:val="16"/>
                <w:color w:val="auto"/>
              </w:rPr>
              <w:t>377</w:t>
            </w:r>
          </w:p>
        </w:tc>
        <w:tc>
          <w:tcPr>
            <w:tcW w:w="132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303</w:t>
            </w:r>
          </w:p>
        </w:tc>
        <w:tc>
          <w:tcPr>
            <w:tcW w:w="12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24 %</w:t>
            </w: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3 %</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5 %</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4 %</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4 %</w:t>
            </w:r>
          </w:p>
        </w:tc>
        <w:tc>
          <w:tcPr>
            <w:tcW w:w="1260" w:type="dxa"/>
            <w:vAlign w:val="bottom"/>
          </w:tcPr>
          <w:p>
            <w:pPr>
              <w:spacing w:after="0"/>
              <w:rPr>
                <w:sz w:val="19"/>
                <w:szCs w:val="19"/>
                <w:color w:val="auto"/>
              </w:rPr>
            </w:pPr>
          </w:p>
        </w:tc>
      </w:tr>
    </w:tbl>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Transaction and loan losses decreased for the three months ended September 30, 2026 compared to the same period in 2025, due to a $41 million decrease in losses related to Shopify Payments driven by lower realized losses in the period which were offset by higher GMV processed through Shopify Payments relative to the same period in 2025. The decrease was offset by a $14 million increase in losses related to lending services driven by an expansion of our offerings and programs relative to the same period in 2025.</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Transaction and loan losses increased for the nine months ended September 30, 2026 compared to the same period in 2025, due to increases of $83 million in losses related to lending services driven by an expansion of our offerings and programs relative to the same period in 2025. The increase was offset by a decrease of $12 million in losses related to Shopify Payments driven by lower realized losses in the period which were offset by higher GMV processed through Shopify Payments relative to the same period in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Gain on Equity and Equity Method Investments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60" w:type="dxa"/>
            <w:vAlign w:val="bottom"/>
            <w:gridSpan w:val="3"/>
          </w:tcPr>
          <w:p>
            <w:pPr>
              <w:jc w:val="right"/>
              <w:ind w:right="179"/>
              <w:spacing w:after="0"/>
              <w:rPr>
                <w:sz w:val="20"/>
                <w:szCs w:val="20"/>
                <w:color w:val="auto"/>
              </w:rPr>
            </w:pPr>
            <w:r>
              <w:rPr>
                <w:rFonts w:ascii="Arial" w:cs="Arial" w:eastAsia="Arial" w:hAnsi="Arial"/>
                <w:sz w:val="16"/>
                <w:szCs w:val="16"/>
                <w:color w:val="auto"/>
              </w:rPr>
              <w:t>(in US $ millions, except percentages)</w:t>
            </w: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060" w:type="dxa"/>
            <w:vAlign w:val="bottom"/>
            <w:shd w:val="clear" w:color="auto" w:fill="F7F7F7"/>
          </w:tcPr>
          <w:p>
            <w:pPr>
              <w:ind w:left="20"/>
              <w:spacing w:after="0" w:line="177" w:lineRule="exact"/>
              <w:rPr>
                <w:sz w:val="20"/>
                <w:szCs w:val="20"/>
                <w:color w:val="auto"/>
              </w:rPr>
            </w:pPr>
            <w:r>
              <w:rPr>
                <w:rFonts w:ascii="Arial" w:cs="Arial" w:eastAsia="Arial" w:hAnsi="Arial"/>
                <w:sz w:val="16"/>
                <w:szCs w:val="16"/>
                <w:color w:val="auto"/>
              </w:rPr>
              <w:t>Net (loss) gain on equity and equity</w:t>
            </w:r>
          </w:p>
        </w:tc>
        <w:tc>
          <w:tcPr>
            <w:tcW w:w="1500" w:type="dxa"/>
            <w:vAlign w:val="bottom"/>
            <w:vMerge w:val="restart"/>
            <w:shd w:val="clear" w:color="auto" w:fill="F7F7F7"/>
          </w:tcPr>
          <w:p>
            <w:pPr>
              <w:jc w:val="right"/>
              <w:ind w:right="219"/>
              <w:spacing w:after="0"/>
              <w:rPr>
                <w:sz w:val="20"/>
                <w:szCs w:val="20"/>
                <w:color w:val="auto"/>
              </w:rPr>
            </w:pPr>
            <w:r>
              <w:rPr>
                <w:rFonts w:ascii="Arial" w:cs="Arial" w:eastAsia="Arial" w:hAnsi="Arial"/>
                <w:sz w:val="16"/>
                <w:szCs w:val="16"/>
                <w:color w:val="auto"/>
              </w:rPr>
              <w:t>(138)</w:t>
            </w:r>
          </w:p>
        </w:tc>
        <w:tc>
          <w:tcPr>
            <w:tcW w:w="116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(112)</w:t>
            </w:r>
          </w:p>
        </w:tc>
        <w:tc>
          <w:tcPr>
            <w:tcW w:w="1340" w:type="dxa"/>
            <w:vAlign w:val="bottom"/>
            <w:vMerge w:val="restart"/>
            <w:shd w:val="clear" w:color="auto" w:fill="F7F7F7"/>
          </w:tcPr>
          <w:p>
            <w:pPr>
              <w:jc w:val="right"/>
              <w:ind w:right="159"/>
              <w:spacing w:after="0"/>
              <w:rPr>
                <w:sz w:val="20"/>
                <w:szCs w:val="20"/>
                <w:color w:val="auto"/>
              </w:rPr>
            </w:pPr>
            <w:r>
              <w:rPr>
                <w:rFonts w:ascii="Arial" w:cs="Arial" w:eastAsia="Arial" w:hAnsi="Arial"/>
                <w:sz w:val="16"/>
                <w:szCs w:val="16"/>
                <w:color w:val="auto"/>
              </w:rPr>
              <w:t>23%</w:t>
            </w:r>
          </w:p>
        </w:tc>
        <w:tc>
          <w:tcPr>
            <w:tcW w:w="180" w:type="dxa"/>
            <w:vAlign w:val="bottom"/>
            <w:shd w:val="clear" w:color="auto" w:fill="F7F7F7"/>
          </w:tcPr>
          <w:p>
            <w:pPr>
              <w:spacing w:after="0"/>
              <w:rPr>
                <w:sz w:val="15"/>
                <w:szCs w:val="15"/>
                <w:color w:val="auto"/>
              </w:rPr>
            </w:pPr>
          </w:p>
        </w:tc>
        <w:tc>
          <w:tcPr>
            <w:tcW w:w="1540" w:type="dxa"/>
            <w:vAlign w:val="bottom"/>
            <w:vMerge w:val="restart"/>
            <w:shd w:val="clear" w:color="auto" w:fill="F7F7F7"/>
          </w:tcPr>
          <w:p>
            <w:pPr>
              <w:jc w:val="right"/>
              <w:ind w:right="299"/>
              <w:spacing w:after="0"/>
              <w:rPr>
                <w:sz w:val="20"/>
                <w:szCs w:val="20"/>
                <w:color w:val="auto"/>
              </w:rPr>
            </w:pPr>
            <w:r>
              <w:rPr>
                <w:rFonts w:ascii="Arial" w:cs="Arial" w:eastAsia="Arial" w:hAnsi="Arial"/>
                <w:sz w:val="16"/>
                <w:szCs w:val="16"/>
                <w:color w:val="auto"/>
              </w:rPr>
              <w:t>8</w:t>
            </w:r>
          </w:p>
        </w:tc>
        <w:tc>
          <w:tcPr>
            <w:tcW w:w="1240" w:type="dxa"/>
            <w:vAlign w:val="bottom"/>
            <w:vMerge w:val="restart"/>
            <w:shd w:val="clear" w:color="auto" w:fill="F7F7F7"/>
          </w:tcPr>
          <w:p>
            <w:pPr>
              <w:jc w:val="right"/>
              <w:ind w:right="119"/>
              <w:spacing w:after="0"/>
              <w:rPr>
                <w:sz w:val="20"/>
                <w:szCs w:val="20"/>
                <w:color w:val="auto"/>
              </w:rPr>
            </w:pPr>
            <w:r>
              <w:rPr>
                <w:rFonts w:ascii="Arial" w:cs="Arial" w:eastAsia="Arial" w:hAnsi="Arial"/>
                <w:sz w:val="16"/>
                <w:szCs w:val="16"/>
                <w:color w:val="auto"/>
              </w:rPr>
              <w:t>(498)</w:t>
            </w:r>
          </w:p>
        </w:tc>
        <w:tc>
          <w:tcPr>
            <w:tcW w:w="1220" w:type="dxa"/>
            <w:vAlign w:val="bottom"/>
            <w:vMerge w:val="restart"/>
            <w:shd w:val="clear" w:color="auto" w:fill="F7F7F7"/>
          </w:tcPr>
          <w:p>
            <w:pPr>
              <w:jc w:val="right"/>
              <w:ind w:right="4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3060" w:type="dxa"/>
            <w:vAlign w:val="bottom"/>
            <w:vMerge w:val="restart"/>
            <w:shd w:val="clear" w:color="auto" w:fill="F7F7F7"/>
          </w:tcPr>
          <w:p>
            <w:pPr>
              <w:ind w:left="20"/>
              <w:spacing w:after="0"/>
              <w:rPr>
                <w:sz w:val="20"/>
                <w:szCs w:val="20"/>
                <w:color w:val="auto"/>
              </w:rPr>
            </w:pPr>
            <w:r>
              <w:rPr>
                <w:rFonts w:ascii="Arial" w:cs="Arial" w:eastAsia="Arial" w:hAnsi="Arial"/>
                <w:sz w:val="16"/>
                <w:szCs w:val="16"/>
                <w:color w:val="auto"/>
              </w:rPr>
              <w:t>method investments</w:t>
            </w:r>
          </w:p>
        </w:tc>
        <w:tc>
          <w:tcPr>
            <w:tcW w:w="1500" w:type="dxa"/>
            <w:vAlign w:val="bottom"/>
            <w:vMerge w:val="continue"/>
            <w:shd w:val="clear" w:color="auto" w:fill="F7F7F7"/>
          </w:tcPr>
          <w:p>
            <w:pPr>
              <w:spacing w:after="0"/>
              <w:rPr>
                <w:sz w:val="11"/>
                <w:szCs w:val="11"/>
                <w:color w:val="auto"/>
              </w:rPr>
            </w:pPr>
          </w:p>
        </w:tc>
        <w:tc>
          <w:tcPr>
            <w:tcW w:w="1160" w:type="dxa"/>
            <w:vAlign w:val="bottom"/>
            <w:vMerge w:val="continue"/>
            <w:shd w:val="clear" w:color="auto" w:fill="F7F7F7"/>
          </w:tcPr>
          <w:p>
            <w:pPr>
              <w:spacing w:after="0"/>
              <w:rPr>
                <w:sz w:val="11"/>
                <w:szCs w:val="11"/>
                <w:color w:val="auto"/>
              </w:rPr>
            </w:pPr>
          </w:p>
        </w:tc>
        <w:tc>
          <w:tcPr>
            <w:tcW w:w="1340" w:type="dxa"/>
            <w:vAlign w:val="bottom"/>
            <w:vMerge w:val="continue"/>
            <w:shd w:val="clear" w:color="auto" w:fill="F7F7F7"/>
          </w:tcPr>
          <w:p>
            <w:pPr>
              <w:spacing w:after="0"/>
              <w:rPr>
                <w:sz w:val="11"/>
                <w:szCs w:val="11"/>
                <w:color w:val="auto"/>
              </w:rPr>
            </w:pPr>
          </w:p>
        </w:tc>
        <w:tc>
          <w:tcPr>
            <w:tcW w:w="180" w:type="dxa"/>
            <w:vAlign w:val="bottom"/>
            <w:shd w:val="clear" w:color="auto" w:fill="F7F7F7"/>
          </w:tcPr>
          <w:p>
            <w:pPr>
              <w:spacing w:after="0"/>
              <w:rPr>
                <w:sz w:val="11"/>
                <w:szCs w:val="11"/>
                <w:color w:val="auto"/>
              </w:rPr>
            </w:pPr>
          </w:p>
        </w:tc>
        <w:tc>
          <w:tcPr>
            <w:tcW w:w="1540" w:type="dxa"/>
            <w:vAlign w:val="bottom"/>
            <w:vMerge w:val="continue"/>
            <w:shd w:val="clear" w:color="auto" w:fill="F7F7F7"/>
          </w:tcPr>
          <w:p>
            <w:pPr>
              <w:spacing w:after="0"/>
              <w:rPr>
                <w:sz w:val="11"/>
                <w:szCs w:val="11"/>
                <w:color w:val="auto"/>
              </w:rPr>
            </w:pPr>
          </w:p>
        </w:tc>
        <w:tc>
          <w:tcPr>
            <w:tcW w:w="1240" w:type="dxa"/>
            <w:vAlign w:val="bottom"/>
            <w:vMerge w:val="continue"/>
            <w:shd w:val="clear" w:color="auto" w:fill="F7F7F7"/>
          </w:tcPr>
          <w:p>
            <w:pPr>
              <w:spacing w:after="0"/>
              <w:rPr>
                <w:sz w:val="11"/>
                <w:szCs w:val="11"/>
                <w:color w:val="auto"/>
              </w:rPr>
            </w:pPr>
          </w:p>
        </w:tc>
        <w:tc>
          <w:tcPr>
            <w:tcW w:w="1220" w:type="dxa"/>
            <w:vAlign w:val="bottom"/>
            <w:vMerge w:val="continue"/>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060" w:type="dxa"/>
            <w:vAlign w:val="bottom"/>
            <w:vMerge w:val="continue"/>
            <w:shd w:val="clear" w:color="auto" w:fill="F7F7F7"/>
          </w:tcPr>
          <w:p>
            <w:pPr>
              <w:spacing w:after="0"/>
              <w:rPr>
                <w:sz w:val="7"/>
                <w:szCs w:val="7"/>
                <w:color w:val="auto"/>
              </w:rPr>
            </w:pPr>
          </w:p>
        </w:tc>
        <w:tc>
          <w:tcPr>
            <w:tcW w:w="1500" w:type="dxa"/>
            <w:vAlign w:val="bottom"/>
            <w:shd w:val="clear" w:color="auto" w:fill="F7F7F7"/>
          </w:tcPr>
          <w:p>
            <w:pPr>
              <w:spacing w:after="0"/>
              <w:rPr>
                <w:sz w:val="7"/>
                <w:szCs w:val="7"/>
                <w:color w:val="auto"/>
              </w:rPr>
            </w:pPr>
          </w:p>
        </w:tc>
        <w:tc>
          <w:tcPr>
            <w:tcW w:w="1160" w:type="dxa"/>
            <w:vAlign w:val="bottom"/>
            <w:shd w:val="clear" w:color="auto" w:fill="F7F7F7"/>
          </w:tcPr>
          <w:p>
            <w:pPr>
              <w:spacing w:after="0"/>
              <w:rPr>
                <w:sz w:val="7"/>
                <w:szCs w:val="7"/>
                <w:color w:val="auto"/>
              </w:rPr>
            </w:pPr>
          </w:p>
        </w:tc>
        <w:tc>
          <w:tcPr>
            <w:tcW w:w="1340" w:type="dxa"/>
            <w:vAlign w:val="bottom"/>
            <w:shd w:val="clear" w:color="auto" w:fill="F7F7F7"/>
          </w:tcPr>
          <w:p>
            <w:pPr>
              <w:spacing w:after="0"/>
              <w:rPr>
                <w:sz w:val="7"/>
                <w:szCs w:val="7"/>
                <w:color w:val="auto"/>
              </w:rPr>
            </w:pPr>
          </w:p>
        </w:tc>
        <w:tc>
          <w:tcPr>
            <w:tcW w:w="180" w:type="dxa"/>
            <w:vAlign w:val="bottom"/>
            <w:shd w:val="clear" w:color="auto" w:fill="F7F7F7"/>
          </w:tcPr>
          <w:p>
            <w:pPr>
              <w:spacing w:after="0"/>
              <w:rPr>
                <w:sz w:val="7"/>
                <w:szCs w:val="7"/>
                <w:color w:val="auto"/>
              </w:rPr>
            </w:pPr>
          </w:p>
        </w:tc>
        <w:tc>
          <w:tcPr>
            <w:tcW w:w="1540" w:type="dxa"/>
            <w:vAlign w:val="bottom"/>
            <w:shd w:val="clear" w:color="auto" w:fill="F7F7F7"/>
          </w:tcPr>
          <w:p>
            <w:pPr>
              <w:spacing w:after="0"/>
              <w:rPr>
                <w:sz w:val="7"/>
                <w:szCs w:val="7"/>
                <w:color w:val="auto"/>
              </w:rPr>
            </w:pPr>
          </w:p>
        </w:tc>
        <w:tc>
          <w:tcPr>
            <w:tcW w:w="1240" w:type="dxa"/>
            <w:vAlign w:val="bottom"/>
            <w:shd w:val="clear" w:color="auto" w:fill="F7F7F7"/>
          </w:tcPr>
          <w:p>
            <w:pPr>
              <w:spacing w:after="0"/>
              <w:rPr>
                <w:sz w:val="7"/>
                <w:szCs w:val="7"/>
                <w:color w:val="auto"/>
              </w:rPr>
            </w:pPr>
          </w:p>
        </w:tc>
        <w:tc>
          <w:tcPr>
            <w:tcW w:w="1220" w:type="dxa"/>
            <w:vAlign w:val="bottom"/>
            <w:shd w:val="clear" w:color="auto" w:fill="F7F7F7"/>
          </w:tcPr>
          <w:p>
            <w:pPr>
              <w:spacing w:after="0"/>
              <w:rPr>
                <w:sz w:val="7"/>
                <w:szCs w:val="7"/>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*Not a meaningful comparison</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three months ended September 30, 2026, we had a net loss on equity and other investments of $ 127 million, which included a $126 million unrealized loss in investments with readily determinable fair values which was primarily the result of the change in share prices from June 30, 2026 to September 30, 2026. Additionally, the Company had a net loss of $21 million on our equity method investment.</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three months ended September 30, 2025, we had a net loss on equity and other investments of $62 million, which included a $75 million unrealized loss in an investment option, offset by a $28 million unrealized gain in investments with readily determinable fair values which was the result of the change in share prices from June 30, 2025 to September 30, 2025. Additionally, we had an unrealized loss of $29 million on the embedded derivative held prior to the settlement of the Notes and a net loss of $21 million on our equity method investment.</w:t>
      </w:r>
    </w:p>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nine months ended September 30, 2026, we had a net gain on equity and other investments of $58 million which included $530 million in gross unrealized gains driven by an observable price change of a private investment, offset by a $404 million unrealized loss in investments with readily determinable fair values which was the result of the net change in share prices from December 31, 2025 to September 30, 2026, and a $65 million unrealized loss in an investment option. Additionally, we had a net loss of $64 million on our equity method investment.</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nine months ended September 30, 2025, we had a net loss on equity and other investments of $402 million, which included a $400 million unrealized loss in investments with readily determinable fair values which was the result of the change in share prices from December 31, 2024 to September 30, 2025 and a $147 million unrealized loss in an investment option, offset by $165 million unrealized gain on investments without readily determinable fair values which was the result of an observable price change. Additionally, we had a net loss of $68 million on our equity method investment and an unrealized loss of $29 million on the embedded derivative held prior to the settlement of the Notes.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39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3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3"/>
          </w:tcPr>
          <w:p>
            <w:pPr>
              <w:jc w:val="right"/>
              <w:ind w:right="179"/>
              <w:spacing w:after="0"/>
              <w:rPr>
                <w:sz w:val="20"/>
                <w:szCs w:val="20"/>
                <w:color w:val="auto"/>
              </w:rPr>
            </w:pPr>
            <w:r>
              <w:rPr>
                <w:rFonts w:ascii="Arial" w:cs="Arial" w:eastAsia="Arial" w:hAnsi="Arial"/>
                <w:sz w:val="16"/>
                <w:szCs w:val="16"/>
                <w:color w:val="auto"/>
              </w:rPr>
              <w:t>(in US $ millions, except percentages)</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3900" w:type="dxa"/>
            <w:vAlign w:val="bottom"/>
            <w:gridSpan w:val="2"/>
            <w:shd w:val="clear" w:color="auto" w:fill="F7F7F7"/>
          </w:tcPr>
          <w:p>
            <w:pPr>
              <w:jc w:val="right"/>
              <w:ind w:right="2499"/>
              <w:spacing w:after="0"/>
              <w:rPr>
                <w:sz w:val="20"/>
                <w:szCs w:val="20"/>
                <w:color w:val="auto"/>
              </w:rPr>
            </w:pPr>
            <w:r>
              <w:rPr>
                <w:rFonts w:ascii="Arial" w:cs="Arial" w:eastAsia="Arial" w:hAnsi="Arial"/>
                <w:sz w:val="16"/>
                <w:szCs w:val="16"/>
                <w:color w:val="auto"/>
              </w:rPr>
              <w:t>Other income, net</w:t>
            </w:r>
          </w:p>
        </w:tc>
        <w:tc>
          <w:tcPr>
            <w:tcW w:w="1380" w:type="dxa"/>
            <w:vAlign w:val="bottom"/>
            <w:shd w:val="clear" w:color="auto" w:fill="F7F7F7"/>
          </w:tcPr>
          <w:p>
            <w:pPr>
              <w:jc w:val="right"/>
              <w:ind w:right="1019"/>
              <w:spacing w:after="0"/>
              <w:rPr>
                <w:sz w:val="20"/>
                <w:szCs w:val="20"/>
                <w:color w:val="auto"/>
              </w:rPr>
            </w:pPr>
            <w:r>
              <w:rPr>
                <w:rFonts w:ascii="Arial" w:cs="Arial" w:eastAsia="Arial" w:hAnsi="Arial"/>
                <w:sz w:val="16"/>
                <w:szCs w:val="16"/>
                <w:color w:val="auto"/>
              </w:rPr>
              <w:t>69</w:t>
            </w:r>
          </w:p>
        </w:tc>
        <w:tc>
          <w:tcPr>
            <w:tcW w:w="3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77</w:t>
            </w:r>
          </w:p>
        </w:tc>
        <w:tc>
          <w:tcPr>
            <w:tcW w:w="136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(10)%</w:t>
            </w:r>
          </w:p>
        </w:tc>
        <w:tc>
          <w:tcPr>
            <w:tcW w:w="180" w:type="dxa"/>
            <w:vAlign w:val="bottom"/>
            <w:shd w:val="clear" w:color="auto" w:fill="F7F7F7"/>
          </w:tcPr>
          <w:p>
            <w:pPr>
              <w:spacing w:after="0"/>
              <w:rPr>
                <w:sz w:val="20"/>
                <w:szCs w:val="20"/>
                <w:color w:val="auto"/>
              </w:rPr>
            </w:pPr>
          </w:p>
        </w:tc>
        <w:tc>
          <w:tcPr>
            <w:tcW w:w="1540" w:type="dxa"/>
            <w:vAlign w:val="bottom"/>
            <w:shd w:val="clear" w:color="auto" w:fill="F7F7F7"/>
          </w:tcPr>
          <w:p>
            <w:pPr>
              <w:jc w:val="right"/>
              <w:ind w:right="319"/>
              <w:spacing w:after="0"/>
              <w:rPr>
                <w:sz w:val="20"/>
                <w:szCs w:val="20"/>
                <w:color w:val="auto"/>
              </w:rPr>
            </w:pPr>
            <w:r>
              <w:rPr>
                <w:rFonts w:ascii="Arial" w:cs="Arial" w:eastAsia="Arial" w:hAnsi="Arial"/>
                <w:sz w:val="16"/>
                <w:szCs w:val="16"/>
                <w:color w:val="auto"/>
              </w:rPr>
              <w:t>194</w:t>
            </w:r>
          </w:p>
        </w:tc>
        <w:tc>
          <w:tcPr>
            <w:tcW w:w="120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278</w:t>
            </w:r>
          </w:p>
        </w:tc>
        <w:tc>
          <w:tcPr>
            <w:tcW w:w="12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(30)%</w:t>
            </w:r>
          </w:p>
        </w:tc>
      </w:tr>
    </w:tbl>
    <w:p>
      <w:pPr>
        <w:spacing w:after="0" w:line="2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three months ended September 30, 2026, other income, net was driven by interest income of $65 million recognized on marketable securities compared to interest income of $81 million recognized on marketable securities for the same period in 2025 and net gain on foreign exchange of $4 million compared to $4 million net loss on foreign exchange for the same period in 2025.</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nine months ended September 30, 2026, other income, net was driven by interest income of $206 million recognized on marketable securities compared to interest income of $ 252 million recognized on marketable securities for the same period in 2025 and net loss on foreign exchange of $12 million compared to $26 million net gain on foreign exchange for the same period in 2025.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4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3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22"/>
        </w:trPr>
        <w:tc>
          <w:tcPr>
            <w:tcW w:w="3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60" w:type="dxa"/>
            <w:vAlign w:val="bottom"/>
            <w:gridSpan w:val="3"/>
          </w:tcPr>
          <w:p>
            <w:pPr>
              <w:jc w:val="right"/>
              <w:ind w:right="179"/>
              <w:spacing w:after="0"/>
              <w:rPr>
                <w:sz w:val="20"/>
                <w:szCs w:val="20"/>
                <w:color w:val="auto"/>
              </w:rPr>
            </w:pPr>
            <w:r>
              <w:rPr>
                <w:rFonts w:ascii="Arial" w:cs="Arial" w:eastAsia="Arial" w:hAnsi="Arial"/>
                <w:sz w:val="16"/>
                <w:szCs w:val="16"/>
                <w:color w:val="auto"/>
              </w:rPr>
              <w:t>(in US $ millions, except percentages)</w:t>
            </w: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920" w:type="dxa"/>
            <w:vAlign w:val="bottom"/>
            <w:gridSpan w:val="2"/>
            <w:shd w:val="clear" w:color="auto" w:fill="F7F7F7"/>
          </w:tcPr>
          <w:p>
            <w:pPr>
              <w:jc w:val="right"/>
              <w:ind w:right="1919"/>
              <w:spacing w:after="0"/>
              <w:rPr>
                <w:sz w:val="20"/>
                <w:szCs w:val="20"/>
                <w:color w:val="auto"/>
              </w:rPr>
            </w:pPr>
            <w:r>
              <w:rPr>
                <w:rFonts w:ascii="Arial" w:cs="Arial" w:eastAsia="Arial" w:hAnsi="Arial"/>
                <w:sz w:val="16"/>
                <w:szCs w:val="16"/>
                <w:color w:val="auto"/>
              </w:rPr>
              <w:t>Provision for income taxes</w:t>
            </w:r>
          </w:p>
        </w:tc>
        <w:tc>
          <w:tcPr>
            <w:tcW w:w="1380" w:type="dxa"/>
            <w:vAlign w:val="bottom"/>
            <w:shd w:val="clear" w:color="auto" w:fill="F7F7F7"/>
          </w:tcPr>
          <w:p>
            <w:pPr>
              <w:jc w:val="right"/>
              <w:ind w:right="959"/>
              <w:spacing w:after="0"/>
              <w:rPr>
                <w:sz w:val="20"/>
                <w:szCs w:val="20"/>
                <w:color w:val="auto"/>
              </w:rPr>
            </w:pPr>
            <w:r>
              <w:rPr>
                <w:rFonts w:ascii="Arial" w:cs="Arial" w:eastAsia="Arial" w:hAnsi="Arial"/>
                <w:sz w:val="16"/>
                <w:szCs w:val="16"/>
                <w:color w:val="auto"/>
              </w:rPr>
              <w:t>(37)</w:t>
            </w:r>
          </w:p>
        </w:tc>
        <w:tc>
          <w:tcPr>
            <w:tcW w:w="4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(44)</w:t>
            </w:r>
          </w:p>
        </w:tc>
        <w:tc>
          <w:tcPr>
            <w:tcW w:w="134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(16)%</w:t>
            </w:r>
          </w:p>
        </w:tc>
        <w:tc>
          <w:tcPr>
            <w:tcW w:w="180" w:type="dxa"/>
            <w:vAlign w:val="bottom"/>
            <w:shd w:val="clear" w:color="auto" w:fill="F7F7F7"/>
          </w:tcPr>
          <w:p>
            <w:pPr>
              <w:spacing w:after="0"/>
              <w:rPr>
                <w:sz w:val="20"/>
                <w:szCs w:val="20"/>
                <w:color w:val="auto"/>
              </w:rPr>
            </w:pPr>
          </w:p>
        </w:tc>
        <w:tc>
          <w:tcPr>
            <w:tcW w:w="1540" w:type="dxa"/>
            <w:vAlign w:val="bottom"/>
            <w:shd w:val="clear" w:color="auto" w:fill="F7F7F7"/>
          </w:tcPr>
          <w:p>
            <w:pPr>
              <w:jc w:val="right"/>
              <w:ind w:right="259"/>
              <w:spacing w:after="0"/>
              <w:rPr>
                <w:sz w:val="20"/>
                <w:szCs w:val="20"/>
                <w:color w:val="auto"/>
              </w:rPr>
            </w:pPr>
            <w:r>
              <w:rPr>
                <w:rFonts w:ascii="Arial" w:cs="Arial" w:eastAsia="Arial" w:hAnsi="Arial"/>
                <w:sz w:val="16"/>
                <w:szCs w:val="16"/>
                <w:color w:val="auto"/>
              </w:rPr>
              <w:t>(257)</w:t>
            </w:r>
          </w:p>
        </w:tc>
        <w:tc>
          <w:tcPr>
            <w:tcW w:w="1240" w:type="dxa"/>
            <w:vAlign w:val="bottom"/>
            <w:shd w:val="clear" w:color="auto" w:fill="F7F7F7"/>
          </w:tcPr>
          <w:p>
            <w:pPr>
              <w:jc w:val="right"/>
              <w:ind w:right="119"/>
              <w:spacing w:after="0"/>
              <w:rPr>
                <w:sz w:val="20"/>
                <w:szCs w:val="20"/>
                <w:color w:val="auto"/>
              </w:rPr>
            </w:pPr>
            <w:r>
              <w:rPr>
                <w:rFonts w:ascii="Arial" w:cs="Arial" w:eastAsia="Arial" w:hAnsi="Arial"/>
                <w:sz w:val="16"/>
                <w:szCs w:val="16"/>
                <w:color w:val="auto"/>
              </w:rPr>
              <w:t>(129)</w:t>
            </w:r>
          </w:p>
        </w:tc>
        <w:tc>
          <w:tcPr>
            <w:tcW w:w="12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99%</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 provision for income taxes of $37 million in the three months ended September 30, 2026, compared to provision for income taxes of $44 million in the same period in 2025, as a result of a release of valuation allowance against a portion of its U.S. federal and state deferred income tax assets and unrealized loss on equity and other investments during the three months ended September 30, 2026, largely offset by earnings in various jurisdictions.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 provision for income taxes of $257 million in the nine months ended September 30, 2026, compared to provision of $129 million in the same period in 2025, as a result of unrealized loss on equity and other investments during the nine months ended September 30, 2025 and earnings in various jurisdictions, partially offset by the release of valuation allowance against a portion of its U.S. federal and state deferred income tax assets in the nine months ended September 30, 2026.</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each reporting date, the Company assesses whether its deferred tax assets are more likely than not to be realized, weighing all available positive and negative evidence. During the three months ended September 30, 2026, the Company concluded that a portion of its U.S. federal and state deferred tax assets is now more likely than not to be realized. The main positive evidence was sustained profits of its U.S. operations and projections of future taxable income. As a result, the Company released $63 million of valuation allowance as a discrete tax benefit in the period.</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continues to maintain a valuation allowance against the net deferred tax assets in the United States that are capital in nature, due to lack of positive evidence to meet the more-likely-than-not standard for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selected quarterly results of operations data for each of the eight quarters ended September 30, 2026. The information for each of these quarters has been derived from unaudited condensed consolidated financial statements that were prepared on the same basis as the audited annual financial statements and, in the opinion of management, reflects all adjustments, which include only normal recurring adjustments, necessary for the fair statement of the results of operations for these periods in accordance with U.S. GAAP.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9"/>
              </w:rPr>
              <w:t>Dec 31,</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9"/>
              </w:rPr>
              <w:t>Sep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4"/>
                <w:szCs w:val="14"/>
                <w:color w:val="auto"/>
              </w:rPr>
            </w:pPr>
          </w:p>
        </w:tc>
        <w:tc>
          <w:tcPr>
            <w:tcW w:w="76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4"/>
                <w:szCs w:val="14"/>
                <w:color w:val="auto"/>
              </w:rPr>
            </w:pPr>
          </w:p>
        </w:tc>
        <w:tc>
          <w:tcPr>
            <w:tcW w:w="8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60" w:type="dxa"/>
            <w:vAlign w:val="bottom"/>
            <w:gridSpan w:val="7"/>
          </w:tcPr>
          <w:p>
            <w:pPr>
              <w:jc w:val="right"/>
              <w:ind w:right="199"/>
              <w:spacing w:after="0"/>
              <w:rPr>
                <w:sz w:val="20"/>
                <w:szCs w:val="20"/>
                <w:color w:val="auto"/>
              </w:rPr>
            </w:pPr>
            <w:r>
              <w:rPr>
                <w:rFonts w:ascii="Arial" w:cs="Arial" w:eastAsia="Arial" w:hAnsi="Arial"/>
                <w:sz w:val="16"/>
                <w:szCs w:val="16"/>
                <w:color w:val="auto"/>
              </w:rPr>
              <w:t>(in US $ millions, except per share amounts)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00" w:type="dxa"/>
            <w:vAlign w:val="bottom"/>
          </w:tcPr>
          <w:p>
            <w:pPr>
              <w:ind w:left="14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F7F7F7"/>
          </w:tcPr>
          <w:p>
            <w:pPr>
              <w:ind w:left="220"/>
              <w:spacing w:after="0"/>
              <w:rPr>
                <w:sz w:val="20"/>
                <w:szCs w:val="20"/>
                <w:color w:val="auto"/>
              </w:rPr>
            </w:pPr>
            <w:r>
              <w:rPr>
                <w:rFonts w:ascii="Arial" w:cs="Arial" w:eastAsia="Arial" w:hAnsi="Arial"/>
                <w:sz w:val="16"/>
                <w:szCs w:val="16"/>
                <w:color w:val="auto"/>
              </w:rPr>
              <w:t>Subscription solutions</w:t>
            </w:r>
          </w:p>
        </w:tc>
        <w:tc>
          <w:tcPr>
            <w:tcW w:w="12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836</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802</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750</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777</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699</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656</w:t>
            </w:r>
          </w:p>
        </w:tc>
        <w:tc>
          <w:tcPr>
            <w:tcW w:w="180" w:type="dxa"/>
            <w:vAlign w:val="bottom"/>
            <w:shd w:val="clear" w:color="auto" w:fill="F7F7F7"/>
          </w:tcPr>
          <w:p>
            <w:pPr>
              <w:spacing w:after="0"/>
              <w:rPr>
                <w:sz w:val="19"/>
                <w:szCs w:val="19"/>
                <w:color w:val="auto"/>
              </w:rPr>
            </w:pP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F7F7F7"/>
          </w:tcPr>
          <w:p>
            <w:pPr>
              <w:spacing w:after="0"/>
              <w:rPr>
                <w:sz w:val="19"/>
                <w:szCs w:val="19"/>
                <w:color w:val="auto"/>
              </w:rPr>
            </w:pP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F7F7F7"/>
            </w:tcBorders>
          </w:tcPr>
          <w:p>
            <w:pPr>
              <w:ind w:left="220"/>
              <w:spacing w:after="0"/>
              <w:rPr>
                <w:sz w:val="20"/>
                <w:szCs w:val="20"/>
                <w:color w:val="auto"/>
              </w:rPr>
            </w:pPr>
            <w:r>
              <w:rPr>
                <w:rFonts w:ascii="Arial" w:cs="Arial" w:eastAsia="Arial" w:hAnsi="Arial"/>
                <w:sz w:val="16"/>
                <w:szCs w:val="16"/>
                <w:color w:val="auto"/>
              </w:rPr>
              <w:t>Merchant solutions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2,420</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2,895</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2,145</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shd w:val="clear" w:color="auto" w:fill="F7F7F7"/>
          </w:tcPr>
          <w:p>
            <w:pPr>
              <w:spacing w:after="0"/>
              <w:rPr>
                <w:sz w:val="19"/>
                <w:szCs w:val="19"/>
                <w:color w:val="auto"/>
              </w:rPr>
            </w:pP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3,742</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3,583</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3,170</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3,672</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2,844</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2,680</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2,360</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2,812</w:t>
            </w:r>
          </w:p>
        </w:tc>
        <w:tc>
          <w:tcPr>
            <w:tcW w:w="0" w:type="dxa"/>
            <w:vAlign w:val="bottom"/>
          </w:tcPr>
          <w:p>
            <w:pPr>
              <w:spacing w:after="0"/>
              <w:rPr>
                <w:sz w:val="1"/>
                <w:szCs w:val="1"/>
                <w:color w:val="auto"/>
              </w:rPr>
            </w:pPr>
          </w:p>
        </w:tc>
      </w:tr>
      <w:tr>
        <w:trPr>
          <w:trHeight w:val="223"/>
        </w:trPr>
        <w:tc>
          <w:tcPr>
            <w:tcW w:w="3500" w:type="dxa"/>
            <w:vAlign w:val="bottom"/>
          </w:tcPr>
          <w:p>
            <w:pPr>
              <w:ind w:left="120"/>
              <w:spacing w:after="0" w:line="223"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F7F7F7"/>
          </w:tcPr>
          <w:p>
            <w:pPr>
              <w:ind w:left="220"/>
              <w:spacing w:after="0"/>
              <w:rPr>
                <w:sz w:val="20"/>
                <w:szCs w:val="20"/>
                <w:color w:val="auto"/>
              </w:rPr>
            </w:pPr>
            <w:r>
              <w:rPr>
                <w:rFonts w:ascii="Arial" w:cs="Arial" w:eastAsia="Arial" w:hAnsi="Arial"/>
                <w:sz w:val="16"/>
                <w:szCs w:val="16"/>
                <w:color w:val="auto"/>
              </w:rPr>
              <w:t>Subscription solutions</w:t>
            </w:r>
          </w:p>
        </w:tc>
        <w:tc>
          <w:tcPr>
            <w:tcW w:w="12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163</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F7F7F7"/>
          </w:tcPr>
          <w:p>
            <w:pPr>
              <w:spacing w:after="0"/>
              <w:rPr>
                <w:sz w:val="19"/>
                <w:szCs w:val="19"/>
                <w:color w:val="auto"/>
              </w:rPr>
            </w:pP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F7F7F7"/>
          </w:tcPr>
          <w:p>
            <w:pPr>
              <w:spacing w:after="0"/>
              <w:rPr>
                <w:sz w:val="19"/>
                <w:szCs w:val="19"/>
                <w:color w:val="auto"/>
              </w:rPr>
            </w:pP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F7F7F7"/>
            </w:tcBorders>
          </w:tcPr>
          <w:p>
            <w:pPr>
              <w:ind w:left="220"/>
              <w:spacing w:after="0"/>
              <w:rPr>
                <w:sz w:val="20"/>
                <w:szCs w:val="20"/>
                <w:color w:val="auto"/>
              </w:rPr>
            </w:pPr>
            <w:r>
              <w:rPr>
                <w:rFonts w:ascii="Arial" w:cs="Arial" w:eastAsia="Arial" w:hAnsi="Arial"/>
                <w:sz w:val="16"/>
                <w:szCs w:val="16"/>
                <w:color w:val="auto"/>
              </w:rPr>
              <w:t>Merchant solutions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1,325</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1,257</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24"/>
        </w:trPr>
        <w:tc>
          <w:tcPr>
            <w:tcW w:w="3500" w:type="dxa"/>
            <w:vAlign w:val="bottom"/>
            <w:shd w:val="clear" w:color="auto" w:fill="F7F7F7"/>
          </w:tcPr>
          <w:p>
            <w:pPr>
              <w:spacing w:after="0"/>
              <w:rPr>
                <w:sz w:val="19"/>
                <w:szCs w:val="19"/>
                <w:color w:val="auto"/>
              </w:rPr>
            </w:pP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1,961</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1,875</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1,624</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1,979</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1,453</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1,378</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1,191</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Gross profit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1,708</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1,546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1,302</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1,169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1,352</w:t>
            </w:r>
          </w:p>
        </w:tc>
        <w:tc>
          <w:tcPr>
            <w:tcW w:w="0" w:type="dxa"/>
            <w:vAlign w:val="bottom"/>
          </w:tcPr>
          <w:p>
            <w:pPr>
              <w:spacing w:after="0"/>
              <w:rPr>
                <w:sz w:val="1"/>
                <w:szCs w:val="1"/>
                <w:color w:val="auto"/>
              </w:rPr>
            </w:pPr>
          </w:p>
        </w:tc>
      </w:tr>
      <w:tr>
        <w:trPr>
          <w:trHeight w:val="223"/>
        </w:trPr>
        <w:tc>
          <w:tcPr>
            <w:tcW w:w="350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760" w:type="dxa"/>
            <w:vAlign w:val="bottom"/>
            <w:shd w:val="clear" w:color="auto" w:fill="F7F7F7"/>
          </w:tcPr>
          <w:p>
            <w:pPr>
              <w:spacing w:after="0"/>
              <w:rPr>
                <w:sz w:val="19"/>
                <w:szCs w:val="19"/>
                <w:color w:val="auto"/>
              </w:rPr>
            </w:pPr>
          </w:p>
        </w:tc>
        <w:tc>
          <w:tcPr>
            <w:tcW w:w="180" w:type="dxa"/>
            <w:vAlign w:val="bottom"/>
            <w:shd w:val="clear" w:color="auto" w:fill="F7F7F7"/>
          </w:tcPr>
          <w:p>
            <w:pPr>
              <w:spacing w:after="0"/>
              <w:rPr>
                <w:sz w:val="19"/>
                <w:szCs w:val="19"/>
                <w:color w:val="auto"/>
              </w:rPr>
            </w:pPr>
          </w:p>
        </w:tc>
        <w:tc>
          <w:tcPr>
            <w:tcW w:w="84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0"/>
        </w:trPr>
        <w:tc>
          <w:tcPr>
            <w:tcW w:w="3500" w:type="dxa"/>
            <w:vAlign w:val="bottom"/>
            <w:shd w:val="clear" w:color="auto" w:fill="F7F7F7"/>
          </w:tcPr>
          <w:p>
            <w:pPr>
              <w:ind w:left="22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2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497</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445</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390</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394</w:t>
            </w:r>
          </w:p>
        </w:tc>
        <w:tc>
          <w:tcPr>
            <w:tcW w:w="180" w:type="dxa"/>
            <w:vAlign w:val="bottom"/>
            <w:shd w:val="clear" w:color="auto" w:fill="F7F7F7"/>
          </w:tcPr>
          <w:p>
            <w:pPr>
              <w:spacing w:after="0"/>
              <w:rPr>
                <w:sz w:val="19"/>
                <w:szCs w:val="19"/>
                <w:color w:val="auto"/>
              </w:rPr>
            </w:pP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F7F7F7"/>
          </w:tcPr>
          <w:p>
            <w:pPr>
              <w:spacing w:after="0"/>
              <w:rPr>
                <w:sz w:val="19"/>
                <w:szCs w:val="19"/>
                <w:color w:val="auto"/>
              </w:rPr>
            </w:pP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(1)(3)</w:t>
            </w: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0"/>
        </w:trPr>
        <w:tc>
          <w:tcPr>
            <w:tcW w:w="3500" w:type="dxa"/>
            <w:vAlign w:val="bottom"/>
            <w:shd w:val="clear" w:color="auto" w:fill="F7F7F7"/>
          </w:tcPr>
          <w:p>
            <w:pPr>
              <w:ind w:left="220"/>
              <w:spacing w:after="0"/>
              <w:rPr>
                <w:sz w:val="20"/>
                <w:szCs w:val="20"/>
                <w:color w:val="auto"/>
              </w:rPr>
            </w:pPr>
            <w:r>
              <w:rPr>
                <w:rFonts w:ascii="Arial" w:cs="Arial" w:eastAsia="Arial" w:hAnsi="Arial"/>
                <w:sz w:val="16"/>
                <w:szCs w:val="16"/>
                <w:color w:val="auto"/>
              </w:rPr>
              <w:t>Transaction and loan losses</w:t>
            </w: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120</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114</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1,220</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1,048</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1,011</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6"/>
                <w:szCs w:val="16"/>
                <w:b w:val="1"/>
                <w:bCs w:val="1"/>
                <w:color w:val="auto"/>
              </w:rPr>
              <w:t>Income from operations</w:t>
            </w: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568</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488</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382</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631</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343</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b w:val="1"/>
                <w:bCs w:val="1"/>
                <w:color w:val="auto"/>
              </w:rPr>
              <w:t>291</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b w:val="1"/>
                <w:bCs w:val="1"/>
                <w:color w:val="auto"/>
              </w:rPr>
              <w:t>203</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b w:val="1"/>
                <w:bCs w:val="1"/>
                <w:color w:val="auto"/>
              </w:rPr>
              <w:t>465</w:t>
            </w:r>
          </w:p>
        </w:tc>
        <w:tc>
          <w:tcPr>
            <w:tcW w:w="0" w:type="dxa"/>
            <w:vAlign w:val="bottom"/>
          </w:tcPr>
          <w:p>
            <w:pPr>
              <w:spacing w:after="0"/>
              <w:rPr>
                <w:sz w:val="1"/>
                <w:szCs w:val="1"/>
                <w:color w:val="auto"/>
              </w:rPr>
            </w:pPr>
          </w:p>
        </w:tc>
      </w:tr>
      <w:tr>
        <w:trPr>
          <w:trHeight w:val="169"/>
        </w:trPr>
        <w:tc>
          <w:tcPr>
            <w:tcW w:w="3500" w:type="dxa"/>
            <w:vAlign w:val="bottom"/>
          </w:tcPr>
          <w:p>
            <w:pPr>
              <w:ind w:left="120"/>
              <w:spacing w:after="0" w:line="169" w:lineRule="exact"/>
              <w:rPr>
                <w:sz w:val="20"/>
                <w:szCs w:val="20"/>
                <w:color w:val="auto"/>
              </w:rPr>
            </w:pPr>
            <w:r>
              <w:rPr>
                <w:rFonts w:ascii="Arial" w:cs="Arial" w:eastAsia="Arial" w:hAnsi="Arial"/>
                <w:sz w:val="16"/>
                <w:szCs w:val="16"/>
                <w:color w:val="auto"/>
              </w:rPr>
              <w:t>Net (loss) gain on equity and equity method</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1,228</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658</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(1,044)</w:t>
            </w:r>
          </w:p>
        </w:tc>
        <w:tc>
          <w:tcPr>
            <w:tcW w:w="18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line="216"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(4)</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77</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130</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71</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F7F7F7"/>
            </w:tcBorders>
          </w:tcPr>
          <w:p>
            <w:pPr>
              <w:ind w:left="120"/>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1,775</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1,079</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1,421</w:t>
            </w:r>
          </w:p>
        </w:tc>
        <w:tc>
          <w:tcPr>
            <w:tcW w:w="0" w:type="dxa"/>
            <w:vAlign w:val="bottom"/>
          </w:tcPr>
          <w:p>
            <w:pPr>
              <w:spacing w:after="0"/>
              <w:rPr>
                <w:sz w:val="1"/>
                <w:szCs w:val="1"/>
                <w:color w:val="auto"/>
              </w:rPr>
            </w:pPr>
          </w:p>
        </w:tc>
      </w:tr>
      <w:tr>
        <w:trPr>
          <w:trHeight w:val="224"/>
        </w:trPr>
        <w:tc>
          <w:tcPr>
            <w:tcW w:w="3500" w:type="dxa"/>
            <w:vAlign w:val="bottom"/>
            <w:shd w:val="clear" w:color="auto" w:fill="F7F7F7"/>
          </w:tcPr>
          <w:p>
            <w:pPr>
              <w:ind w:left="120"/>
              <w:spacing w:after="0"/>
              <w:rPr>
                <w:sz w:val="20"/>
                <w:szCs w:val="20"/>
                <w:color w:val="auto"/>
              </w:rPr>
            </w:pPr>
            <w:r>
              <w:rPr>
                <w:rFonts w:ascii="Arial" w:cs="Arial" w:eastAsia="Arial" w:hAnsi="Arial"/>
                <w:sz w:val="16"/>
                <w:szCs w:val="16"/>
                <w:color w:val="auto"/>
              </w:rPr>
              <w:t>(Provision for) recovery of income taxes</w:t>
            </w:r>
          </w:p>
        </w:tc>
        <w:tc>
          <w:tcPr>
            <w:tcW w:w="12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auto"/>
            </w:tcBorders>
            <w:shd w:val="clear" w:color="auto" w:fill="F7F7F7"/>
          </w:tcPr>
          <w:p>
            <w:pPr>
              <w:spacing w:after="0"/>
              <w:rPr>
                <w:sz w:val="19"/>
                <w:szCs w:val="19"/>
                <w:color w:val="auto"/>
              </w:rPr>
            </w:pPr>
          </w:p>
        </w:tc>
        <w:tc>
          <w:tcPr>
            <w:tcW w:w="7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Borders>
              <w:bottom w:val="single" w:sz="8" w:color="auto"/>
            </w:tcBorders>
            <w:shd w:val="clear" w:color="auto" w:fill="F7F7F7"/>
          </w:tcPr>
          <w:p>
            <w:pPr>
              <w:spacing w:after="0"/>
              <w:rPr>
                <w:sz w:val="19"/>
                <w:szCs w:val="19"/>
                <w:color w:val="auto"/>
              </w:rPr>
            </w:pPr>
          </w:p>
        </w:tc>
        <w:tc>
          <w:tcPr>
            <w:tcW w:w="760" w:type="dxa"/>
            <w:vAlign w:val="bottom"/>
            <w:tcBorders>
              <w:bottom w:val="single" w:sz="8" w:color="auto"/>
            </w:tcBorders>
            <w:shd w:val="clear" w:color="auto" w:fill="F7F7F7"/>
          </w:tcPr>
          <w:p>
            <w:pPr>
              <w:jc w:val="right"/>
              <w:ind w:right="19"/>
              <w:spacing w:after="0"/>
              <w:rPr>
                <w:sz w:val="20"/>
                <w:szCs w:val="20"/>
                <w:color w:val="auto"/>
              </w:rPr>
            </w:pPr>
            <w:r>
              <w:rPr>
                <w:rFonts w:ascii="Arial" w:cs="Arial" w:eastAsia="Arial" w:hAnsi="Arial"/>
                <w:sz w:val="16"/>
                <w:szCs w:val="16"/>
                <w:color w:val="auto"/>
              </w:rPr>
              <w:t>88</w:t>
            </w:r>
          </w:p>
        </w:tc>
        <w:tc>
          <w:tcPr>
            <w:tcW w:w="180" w:type="dxa"/>
            <w:vAlign w:val="bottom"/>
            <w:tcBorders>
              <w:bottom w:val="single" w:sz="8" w:color="auto"/>
            </w:tcBorders>
            <w:shd w:val="clear" w:color="auto" w:fill="F7F7F7"/>
          </w:tcPr>
          <w:p>
            <w:pPr>
              <w:spacing w:after="0"/>
              <w:rPr>
                <w:sz w:val="19"/>
                <w:szCs w:val="19"/>
                <w:color w:val="auto"/>
              </w:rPr>
            </w:pPr>
          </w:p>
        </w:tc>
        <w:tc>
          <w:tcPr>
            <w:tcW w:w="84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1,502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906</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1,293</w:t>
            </w:r>
          </w:p>
        </w:tc>
        <w:tc>
          <w:tcPr>
            <w:tcW w:w="0" w:type="dxa"/>
            <w:vAlign w:val="bottom"/>
          </w:tcPr>
          <w:p>
            <w:pPr>
              <w:spacing w:after="0"/>
              <w:rPr>
                <w:sz w:val="1"/>
                <w:szCs w:val="1"/>
                <w:color w:val="auto"/>
              </w:rPr>
            </w:pPr>
          </w:p>
        </w:tc>
      </w:tr>
      <w:tr>
        <w:trPr>
          <w:trHeight w:val="169"/>
        </w:trPr>
        <w:tc>
          <w:tcPr>
            <w:tcW w:w="3500" w:type="dxa"/>
            <w:vAlign w:val="bottom"/>
            <w:shd w:val="clear" w:color="auto" w:fill="F7F7F7"/>
          </w:tcPr>
          <w:p>
            <w:pPr>
              <w:ind w:left="140"/>
              <w:spacing w:after="0" w:line="169" w:lineRule="exact"/>
              <w:rPr>
                <w:sz w:val="20"/>
                <w:szCs w:val="20"/>
                <w:color w:val="auto"/>
              </w:rPr>
            </w:pPr>
            <w:r>
              <w:rPr>
                <w:rFonts w:ascii="Arial" w:cs="Arial" w:eastAsia="Arial" w:hAnsi="Arial"/>
                <w:sz w:val="16"/>
                <w:szCs w:val="16"/>
                <w:b w:val="1"/>
                <w:bCs w:val="1"/>
                <w:color w:val="auto"/>
              </w:rPr>
              <w:t>Net income (loss) per share attributable to</w:t>
            </w:r>
          </w:p>
        </w:tc>
        <w:tc>
          <w:tcPr>
            <w:tcW w:w="12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84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F7F7F7"/>
          </w:tcPr>
          <w:p>
            <w:pPr>
              <w:ind w:left="140"/>
              <w:spacing w:after="0"/>
              <w:rPr>
                <w:sz w:val="20"/>
                <w:szCs w:val="20"/>
                <w:color w:val="auto"/>
              </w:rPr>
            </w:pPr>
            <w:r>
              <w:rPr>
                <w:rFonts w:ascii="Arial" w:cs="Arial" w:eastAsia="Arial" w:hAnsi="Arial"/>
                <w:sz w:val="16"/>
                <w:szCs w:val="16"/>
                <w:b w:val="1"/>
                <w:bCs w:val="1"/>
                <w:color w:val="auto"/>
              </w:rPr>
              <w:t>shareholders:</w:t>
            </w:r>
          </w:p>
        </w:tc>
        <w:tc>
          <w:tcPr>
            <w:tcW w:w="12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6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36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1"/>
        </w:trPr>
        <w:tc>
          <w:tcPr>
            <w:tcW w:w="35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0.36</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(0.45)</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0.57</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0.20</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0.69</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(0.53)</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disclosing financial results in accordance with GAAP, the table below provides supplementary non-GAAP financial measures for non-GAAP net income and diluted net income per share to consider in evaluating operating performance. These non-GAAP measures should not be viewed as a substitute for reported results determined in accordance with GAAP, nor are they necessarily comparable to non-GAAP measures that may be presented by other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9"/>
              </w:rPr>
              <w:t>Dec 31,</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9"/>
              </w:rPr>
              <w:t>Sep 30,</w:t>
            </w:r>
          </w:p>
        </w:tc>
        <w:tc>
          <w:tcPr>
            <w:tcW w:w="180" w:type="dxa"/>
            <w:vAlign w:val="bottom"/>
          </w:tcPr>
          <w:p>
            <w:pPr>
              <w:spacing w:after="0"/>
              <w:rPr>
                <w:sz w:val="14"/>
                <w:szCs w:val="14"/>
                <w:color w:val="auto"/>
              </w:rPr>
            </w:pPr>
          </w:p>
        </w:tc>
        <w:tc>
          <w:tcPr>
            <w:tcW w:w="7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4"/>
                <w:szCs w:val="14"/>
                <w:color w:val="auto"/>
              </w:rPr>
            </w:pPr>
          </w:p>
        </w:tc>
        <w:tc>
          <w:tcPr>
            <w:tcW w:w="76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4"/>
                <w:szCs w:val="14"/>
                <w:color w:val="auto"/>
              </w:rPr>
            </w:pPr>
          </w:p>
        </w:tc>
        <w:tc>
          <w:tcPr>
            <w:tcW w:w="8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F7F7F7"/>
            </w:tcBorders>
          </w:tcPr>
          <w:p>
            <w:pPr>
              <w:ind w:left="120"/>
              <w:spacing w:after="0"/>
              <w:rPr>
                <w:sz w:val="20"/>
                <w:szCs w:val="20"/>
                <w:color w:val="auto"/>
              </w:rPr>
            </w:pPr>
            <w:r>
              <w:rPr>
                <w:rFonts w:ascii="Arial" w:cs="Arial" w:eastAsia="Arial" w:hAnsi="Arial"/>
                <w:sz w:val="16"/>
                <w:szCs w:val="16"/>
                <w:b w:val="1"/>
                <w:bCs w:val="1"/>
                <w:color w:val="auto"/>
              </w:rPr>
              <w:t>GAAP net income (loss)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1,502</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906</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156"/>
        </w:trPr>
        <w:tc>
          <w:tcPr>
            <w:tcW w:w="3500" w:type="dxa"/>
            <w:vAlign w:val="bottom"/>
            <w:shd w:val="clear" w:color="auto" w:fill="F7F7F7"/>
          </w:tcPr>
          <w:p>
            <w:pPr>
              <w:ind w:left="120"/>
              <w:spacing w:after="0" w:line="155" w:lineRule="exact"/>
              <w:rPr>
                <w:sz w:val="20"/>
                <w:szCs w:val="20"/>
                <w:color w:val="auto"/>
              </w:rPr>
            </w:pPr>
            <w:r>
              <w:rPr>
                <w:rFonts w:ascii="Arial" w:cs="Arial" w:eastAsia="Arial" w:hAnsi="Arial"/>
                <w:sz w:val="16"/>
                <w:szCs w:val="16"/>
                <w:b w:val="1"/>
                <w:bCs w:val="1"/>
                <w:color w:val="auto"/>
              </w:rPr>
              <w:t>Non-GAAP adjustments to net income</w:t>
            </w:r>
          </w:p>
        </w:tc>
        <w:tc>
          <w:tcPr>
            <w:tcW w:w="12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8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760" w:type="dxa"/>
            <w:vAlign w:val="bottom"/>
            <w:shd w:val="clear" w:color="auto" w:fill="F7F7F7"/>
          </w:tcPr>
          <w:p>
            <w:pPr>
              <w:spacing w:after="0"/>
              <w:rPr>
                <w:sz w:val="13"/>
                <w:szCs w:val="13"/>
                <w:color w:val="auto"/>
              </w:rPr>
            </w:pPr>
          </w:p>
        </w:tc>
        <w:tc>
          <w:tcPr>
            <w:tcW w:w="180" w:type="dxa"/>
            <w:vAlign w:val="bottom"/>
            <w:shd w:val="clear" w:color="auto" w:fill="F7F7F7"/>
          </w:tcPr>
          <w:p>
            <w:pPr>
              <w:spacing w:after="0"/>
              <w:rPr>
                <w:sz w:val="13"/>
                <w:szCs w:val="13"/>
                <w:color w:val="auto"/>
              </w:rPr>
            </w:pPr>
          </w:p>
        </w:tc>
        <w:tc>
          <w:tcPr>
            <w:tcW w:w="840" w:type="dxa"/>
            <w:vAlign w:val="bottom"/>
            <w:shd w:val="clear" w:color="auto" w:fill="F7F7F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(loss):</w:t>
            </w:r>
          </w:p>
        </w:tc>
        <w:tc>
          <w:tcPr>
            <w:tcW w:w="12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6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360"/>
              <w:spacing w:after="0" w:line="175" w:lineRule="exact"/>
              <w:rPr>
                <w:sz w:val="20"/>
                <w:szCs w:val="20"/>
                <w:color w:val="auto"/>
              </w:rPr>
            </w:pPr>
            <w:r>
              <w:rPr>
                <w:rFonts w:ascii="Arial" w:cs="Arial" w:eastAsia="Arial" w:hAnsi="Arial"/>
                <w:sz w:val="16"/>
                <w:szCs w:val="16"/>
                <w:color w:val="auto"/>
              </w:rPr>
              <w:t>Non-GAAP operating income</w:t>
            </w:r>
          </w:p>
        </w:tc>
        <w:tc>
          <w:tcPr>
            <w:tcW w:w="12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149</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5"/>
                <w:szCs w:val="1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5"/>
                <w:szCs w:val="15"/>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(1)(2)(3)</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F7F7F7"/>
          </w:tcPr>
          <w:p>
            <w:pPr>
              <w:ind w:left="360"/>
              <w:spacing w:after="0" w:line="175" w:lineRule="exact"/>
              <w:rPr>
                <w:sz w:val="20"/>
                <w:szCs w:val="20"/>
                <w:color w:val="auto"/>
              </w:rPr>
            </w:pPr>
            <w:r>
              <w:rPr>
                <w:rFonts w:ascii="Arial" w:cs="Arial" w:eastAsia="Arial" w:hAnsi="Arial"/>
                <w:sz w:val="16"/>
                <w:szCs w:val="16"/>
                <w:color w:val="auto"/>
              </w:rPr>
              <w:t>Net loss (gain) on equity and other</w:t>
            </w:r>
          </w:p>
        </w:tc>
        <w:tc>
          <w:tcPr>
            <w:tcW w:w="12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ind w:right="39"/>
              <w:spacing w:after="0"/>
              <w:rPr>
                <w:sz w:val="20"/>
                <w:szCs w:val="20"/>
                <w:color w:val="auto"/>
              </w:rPr>
            </w:pPr>
            <w:r>
              <w:rPr>
                <w:rFonts w:ascii="Arial" w:cs="Arial" w:eastAsia="Arial" w:hAnsi="Arial"/>
                <w:sz w:val="16"/>
                <w:szCs w:val="16"/>
                <w:color w:val="auto"/>
              </w:rPr>
              <w:t>117</w:t>
            </w:r>
          </w:p>
        </w:tc>
        <w:tc>
          <w:tcPr>
            <w:tcW w:w="18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(1,250)</w:t>
            </w:r>
          </w:p>
        </w:tc>
        <w:tc>
          <w:tcPr>
            <w:tcW w:w="18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ind w:right="39"/>
              <w:spacing w:after="0"/>
              <w:rPr>
                <w:sz w:val="20"/>
                <w:szCs w:val="20"/>
                <w:color w:val="auto"/>
              </w:rPr>
            </w:pPr>
            <w:r>
              <w:rPr>
                <w:rFonts w:ascii="Arial" w:cs="Arial" w:eastAsia="Arial" w:hAnsi="Arial"/>
                <w:sz w:val="16"/>
                <w:szCs w:val="16"/>
                <w:color w:val="auto"/>
              </w:rPr>
              <w:t>1,061</w:t>
            </w:r>
          </w:p>
        </w:tc>
        <w:tc>
          <w:tcPr>
            <w:tcW w:w="18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(248)</w:t>
            </w:r>
          </w:p>
        </w:tc>
        <w:tc>
          <w:tcPr>
            <w:tcW w:w="18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ind w:right="39"/>
              <w:spacing w:after="0"/>
              <w:rPr>
                <w:sz w:val="20"/>
                <w:szCs w:val="20"/>
                <w:color w:val="auto"/>
              </w:rPr>
            </w:pPr>
            <w:r>
              <w:rPr>
                <w:rFonts w:ascii="Arial" w:cs="Arial" w:eastAsia="Arial" w:hAnsi="Arial"/>
                <w:sz w:val="16"/>
                <w:szCs w:val="16"/>
                <w:color w:val="auto"/>
              </w:rPr>
              <w:t>62</w:t>
            </w:r>
          </w:p>
        </w:tc>
        <w:tc>
          <w:tcPr>
            <w:tcW w:w="180" w:type="dxa"/>
            <w:vAlign w:val="bottom"/>
            <w:shd w:val="clear" w:color="auto" w:fill="F7F7F7"/>
          </w:tcPr>
          <w:p>
            <w:pPr>
              <w:spacing w:after="0"/>
              <w:rPr>
                <w:sz w:val="15"/>
                <w:szCs w:val="15"/>
                <w:color w:val="auto"/>
              </w:rPr>
            </w:pPr>
          </w:p>
        </w:tc>
        <w:tc>
          <w:tcPr>
            <w:tcW w:w="78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(682)</w:t>
            </w:r>
          </w:p>
        </w:tc>
        <w:tc>
          <w:tcPr>
            <w:tcW w:w="180" w:type="dxa"/>
            <w:vAlign w:val="bottom"/>
            <w:shd w:val="clear" w:color="auto" w:fill="F7F7F7"/>
          </w:tcPr>
          <w:p>
            <w:pPr>
              <w:spacing w:after="0"/>
              <w:rPr>
                <w:sz w:val="15"/>
                <w:szCs w:val="15"/>
                <w:color w:val="auto"/>
              </w:rPr>
            </w:pPr>
          </w:p>
        </w:tc>
        <w:tc>
          <w:tcPr>
            <w:tcW w:w="760" w:type="dxa"/>
            <w:vAlign w:val="bottom"/>
            <w:vMerge w:val="restart"/>
            <w:shd w:val="clear" w:color="auto" w:fill="F7F7F7"/>
          </w:tcPr>
          <w:p>
            <w:pPr>
              <w:jc w:val="right"/>
              <w:ind w:right="19"/>
              <w:spacing w:after="0"/>
              <w:rPr>
                <w:sz w:val="20"/>
                <w:szCs w:val="20"/>
                <w:color w:val="auto"/>
              </w:rPr>
            </w:pPr>
            <w:r>
              <w:rPr>
                <w:rFonts w:ascii="Arial" w:cs="Arial" w:eastAsia="Arial" w:hAnsi="Arial"/>
                <w:sz w:val="16"/>
                <w:szCs w:val="16"/>
                <w:color w:val="auto"/>
              </w:rPr>
              <w:t>1,021</w:t>
            </w:r>
          </w:p>
        </w:tc>
        <w:tc>
          <w:tcPr>
            <w:tcW w:w="180" w:type="dxa"/>
            <w:vAlign w:val="bottom"/>
            <w:shd w:val="clear" w:color="auto" w:fill="F7F7F7"/>
          </w:tcPr>
          <w:p>
            <w:pPr>
              <w:spacing w:after="0"/>
              <w:rPr>
                <w:sz w:val="15"/>
                <w:szCs w:val="15"/>
                <w:color w:val="auto"/>
              </w:rPr>
            </w:pPr>
          </w:p>
        </w:tc>
        <w:tc>
          <w:tcPr>
            <w:tcW w:w="840" w:type="dxa"/>
            <w:vAlign w:val="bottom"/>
            <w:vMerge w:val="restart"/>
            <w:shd w:val="clear" w:color="auto" w:fill="F7F7F7"/>
          </w:tcPr>
          <w:p>
            <w:pPr>
              <w:jc w:val="right"/>
              <w:ind w:right="3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16"/>
        </w:trPr>
        <w:tc>
          <w:tcPr>
            <w:tcW w:w="35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60" w:type="dxa"/>
            <w:vAlign w:val="bottom"/>
            <w:vMerge w:val="continue"/>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4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360"/>
              <w:spacing w:after="0" w:line="175" w:lineRule="exact"/>
              <w:rPr>
                <w:sz w:val="20"/>
                <w:szCs w:val="20"/>
                <w:color w:val="auto"/>
              </w:rPr>
            </w:pPr>
            <w:r>
              <w:rPr>
                <w:rFonts w:ascii="Arial" w:cs="Arial" w:eastAsia="Arial" w:hAnsi="Arial"/>
                <w:sz w:val="16"/>
                <w:szCs w:val="16"/>
                <w:color w:val="auto"/>
              </w:rPr>
              <w:t>Net loss (gain) on equity method</w:t>
            </w:r>
          </w:p>
        </w:tc>
        <w:tc>
          <w:tcPr>
            <w:tcW w:w="12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5"/>
                <w:szCs w:val="15"/>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3500" w:type="dxa"/>
            <w:vAlign w:val="bottom"/>
          </w:tcPr>
          <w:p>
            <w:pPr>
              <w:ind w:left="36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F7F7F7"/>
          </w:tcPr>
          <w:p>
            <w:pPr>
              <w:ind w:left="360"/>
              <w:spacing w:after="0" w:line="230" w:lineRule="exact"/>
              <w:rPr>
                <w:sz w:val="20"/>
                <w:szCs w:val="20"/>
                <w:color w:val="auto"/>
              </w:rPr>
            </w:pPr>
            <w:r>
              <w:rPr>
                <w:rFonts w:ascii="Arial" w:cs="Arial" w:eastAsia="Arial" w:hAnsi="Arial"/>
                <w:sz w:val="16"/>
                <w:szCs w:val="16"/>
                <w:color w:val="auto"/>
              </w:rPr>
              <w:t>Loss on embedded derivative</w:t>
            </w:r>
            <w:r>
              <w:rPr>
                <w:rFonts w:ascii="Arial" w:cs="Arial" w:eastAsia="Arial" w:hAnsi="Arial"/>
                <w:sz w:val="21"/>
                <w:szCs w:val="21"/>
                <w:color w:val="auto"/>
                <w:vertAlign w:val="superscript"/>
              </w:rPr>
              <w:t>(4)</w:t>
            </w:r>
          </w:p>
        </w:tc>
        <w:tc>
          <w:tcPr>
            <w:tcW w:w="12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94</w:t>
            </w:r>
          </w:p>
        </w:tc>
        <w:tc>
          <w:tcPr>
            <w:tcW w:w="18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29</w:t>
            </w:r>
          </w:p>
        </w:tc>
        <w:tc>
          <w:tcPr>
            <w:tcW w:w="180" w:type="dxa"/>
            <w:vAlign w:val="bottom"/>
            <w:shd w:val="clear" w:color="auto" w:fill="F7F7F7"/>
          </w:tcPr>
          <w:p>
            <w:pPr>
              <w:spacing w:after="0"/>
              <w:rPr>
                <w:sz w:val="20"/>
                <w:szCs w:val="20"/>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20"/>
                <w:szCs w:val="20"/>
                <w:color w:val="auto"/>
              </w:rPr>
            </w:pP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F7F7F7"/>
          </w:tcPr>
          <w:p>
            <w:pPr>
              <w:spacing w:after="0"/>
              <w:rPr>
                <w:sz w:val="20"/>
                <w:szCs w:val="20"/>
                <w:color w:val="auto"/>
              </w:rPr>
            </w:pP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Income tax effects and tax adjustments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350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12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638</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549</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471</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633</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441</w:t>
            </w:r>
          </w:p>
        </w:tc>
        <w:tc>
          <w:tcPr>
            <w:tcW w:w="180" w:type="dxa"/>
            <w:vAlign w:val="bottom"/>
            <w:shd w:val="clear" w:color="auto" w:fill="F7F7F7"/>
          </w:tcPr>
          <w:p>
            <w:pPr>
              <w:spacing w:after="0"/>
              <w:rPr>
                <w:sz w:val="19"/>
                <w:szCs w:val="19"/>
                <w:color w:val="auto"/>
              </w:rPr>
            </w:pP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455</w:t>
            </w:r>
          </w:p>
        </w:tc>
        <w:tc>
          <w:tcPr>
            <w:tcW w:w="180" w:type="dxa"/>
            <w:vAlign w:val="bottom"/>
            <w:shd w:val="clear" w:color="auto" w:fill="F7F7F7"/>
          </w:tcPr>
          <w:p>
            <w:pPr>
              <w:spacing w:after="0"/>
              <w:rPr>
                <w:sz w:val="19"/>
                <w:szCs w:val="19"/>
                <w:color w:val="auto"/>
              </w:rPr>
            </w:pP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335</w:t>
            </w:r>
          </w:p>
        </w:tc>
        <w:tc>
          <w:tcPr>
            <w:tcW w:w="180" w:type="dxa"/>
            <w:vAlign w:val="bottom"/>
            <w:shd w:val="clear" w:color="auto" w:fill="F7F7F7"/>
          </w:tcPr>
          <w:p>
            <w:pPr>
              <w:spacing w:after="0"/>
              <w:rPr>
                <w:sz w:val="19"/>
                <w:szCs w:val="19"/>
                <w:color w:val="auto"/>
              </w:rPr>
            </w:pP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F7F7F7"/>
          </w:tcPr>
          <w:p>
            <w:pPr>
              <w:ind w:left="120"/>
              <w:spacing w:after="0" w:line="175" w:lineRule="exact"/>
              <w:rPr>
                <w:sz w:val="20"/>
                <w:szCs w:val="20"/>
                <w:color w:val="auto"/>
              </w:rPr>
            </w:pPr>
            <w:r>
              <w:rPr>
                <w:rFonts w:ascii="Arial" w:cs="Arial" w:eastAsia="Arial" w:hAnsi="Arial"/>
                <w:sz w:val="16"/>
                <w:szCs w:val="16"/>
                <w:b w:val="1"/>
                <w:bCs w:val="1"/>
                <w:color w:val="auto"/>
              </w:rPr>
              <w:t>Diluted net income (loss) per share</w:t>
            </w:r>
          </w:p>
        </w:tc>
        <w:tc>
          <w:tcPr>
            <w:tcW w:w="12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8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76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840" w:type="dxa"/>
            <w:vAlign w:val="bottom"/>
            <w:shd w:val="clear" w:color="auto" w:fill="F7F7F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attributable to shareholders*:</w:t>
            </w:r>
          </w:p>
        </w:tc>
        <w:tc>
          <w:tcPr>
            <w:tcW w:w="12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8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760" w:type="dxa"/>
            <w:vAlign w:val="bottom"/>
            <w:shd w:val="clear" w:color="auto" w:fill="F7F7F7"/>
          </w:tcPr>
          <w:p>
            <w:pPr>
              <w:spacing w:after="0"/>
              <w:rPr>
                <w:sz w:val="18"/>
                <w:szCs w:val="18"/>
                <w:color w:val="auto"/>
              </w:rPr>
            </w:pPr>
          </w:p>
        </w:tc>
        <w:tc>
          <w:tcPr>
            <w:tcW w:w="180" w:type="dxa"/>
            <w:vAlign w:val="bottom"/>
            <w:shd w:val="clear" w:color="auto" w:fill="F7F7F7"/>
          </w:tcPr>
          <w:p>
            <w:pPr>
              <w:spacing w:after="0"/>
              <w:rPr>
                <w:sz w:val="18"/>
                <w:szCs w:val="18"/>
                <w:color w:val="auto"/>
              </w:rPr>
            </w:pPr>
          </w:p>
        </w:tc>
        <w:tc>
          <w:tcPr>
            <w:tcW w:w="84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360"/>
              <w:spacing w:after="0"/>
              <w:rPr>
                <w:sz w:val="20"/>
                <w:szCs w:val="20"/>
                <w:color w:val="auto"/>
              </w:rPr>
            </w:pPr>
            <w:r>
              <w:rPr>
                <w:rFonts w:ascii="Arial" w:cs="Arial" w:eastAsia="Arial" w:hAnsi="Arial"/>
                <w:sz w:val="16"/>
                <w:szCs w:val="16"/>
                <w:color w:val="auto"/>
              </w:rPr>
              <w:t>GAAP</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31"/>
        </w:trPr>
        <w:tc>
          <w:tcPr>
            <w:tcW w:w="3500" w:type="dxa"/>
            <w:vAlign w:val="bottom"/>
            <w:shd w:val="clear" w:color="auto" w:fill="F7F7F7"/>
          </w:tcPr>
          <w:p>
            <w:pPr>
              <w:ind w:left="360"/>
              <w:spacing w:after="0"/>
              <w:rPr>
                <w:sz w:val="20"/>
                <w:szCs w:val="20"/>
                <w:color w:val="auto"/>
              </w:rPr>
            </w:pPr>
            <w:r>
              <w:rPr>
                <w:rFonts w:ascii="Arial" w:cs="Arial" w:eastAsia="Arial" w:hAnsi="Arial"/>
                <w:sz w:val="16"/>
                <w:szCs w:val="16"/>
                <w:color w:val="auto"/>
              </w:rPr>
              <w:t>Non-GAAP</w:t>
            </w:r>
          </w:p>
        </w:tc>
        <w:tc>
          <w:tcPr>
            <w:tcW w:w="1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0.49</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0.42</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0.36</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0.48</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0.34</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7F7F7"/>
          </w:tcPr>
          <w:p>
            <w:pPr>
              <w:jc w:val="right"/>
              <w:ind w:right="39"/>
              <w:spacing w:after="0"/>
              <w:rPr>
                <w:sz w:val="20"/>
                <w:szCs w:val="20"/>
                <w:color w:val="auto"/>
              </w:rPr>
            </w:pPr>
            <w:r>
              <w:rPr>
                <w:rFonts w:ascii="Arial" w:cs="Arial" w:eastAsia="Arial" w:hAnsi="Arial"/>
                <w:sz w:val="16"/>
                <w:szCs w:val="16"/>
                <w:color w:val="auto"/>
              </w:rPr>
              <w:t>0.35</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0.25</w:t>
            </w:r>
          </w:p>
        </w:tc>
        <w:tc>
          <w:tcPr>
            <w:tcW w:w="1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*may include rounding</w:t>
      </w:r>
    </w:p>
    <w:p>
      <w:pPr>
        <w:spacing w:after="0" w:line="17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stock-based compensation expense and related payroll taxes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69"/>
        </w:trPr>
        <w:tc>
          <w:tcPr>
            <w:tcW w:w="3560" w:type="dxa"/>
            <w:vAlign w:val="bottom"/>
          </w:tcPr>
          <w:p>
            <w:pPr>
              <w:spacing w:after="0"/>
              <w:rPr>
                <w:sz w:val="14"/>
                <w:szCs w:val="14"/>
                <w:color w:val="auto"/>
              </w:rPr>
            </w:pP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Sep 30,</w:t>
            </w:r>
          </w:p>
        </w:tc>
        <w:tc>
          <w:tcPr>
            <w:tcW w:w="9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Jun 30,</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Mar 31,</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c>
          <w:tcPr>
            <w:tcW w:w="98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Sep 30,</w:t>
            </w:r>
          </w:p>
        </w:tc>
        <w:tc>
          <w:tcPr>
            <w:tcW w:w="9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Jun 30,</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Mar 31,</w:t>
            </w:r>
          </w:p>
        </w:tc>
        <w:tc>
          <w:tcPr>
            <w:tcW w:w="98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r>
      <w:tr>
        <w:trPr>
          <w:trHeight w:val="216"/>
        </w:trPr>
        <w:tc>
          <w:tcPr>
            <w:tcW w:w="3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r>
      <w:tr>
        <w:trPr>
          <w:trHeight w:val="222"/>
        </w:trPr>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gridSpan w:val="2"/>
          </w:tcPr>
          <w:p>
            <w:pPr>
              <w:jc w:val="right"/>
              <w:ind w:right="259"/>
              <w:spacing w:after="0"/>
              <w:rPr>
                <w:sz w:val="20"/>
                <w:szCs w:val="20"/>
                <w:color w:val="auto"/>
              </w:rPr>
            </w:pPr>
            <w:r>
              <w:rPr>
                <w:rFonts w:ascii="Arial" w:cs="Arial" w:eastAsia="Arial" w:hAnsi="Arial"/>
                <w:sz w:val="16"/>
                <w:szCs w:val="16"/>
                <w:color w:val="auto"/>
              </w:rPr>
              <w:t>(in US $ millions)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560" w:type="dxa"/>
            <w:vAlign w:val="bottom"/>
            <w:shd w:val="clear" w:color="auto" w:fill="F7F7F7"/>
          </w:tcPr>
          <w:p>
            <w:pPr>
              <w:ind w:left="2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w:t>
            </w:r>
          </w:p>
        </w:tc>
      </w:tr>
      <w:tr>
        <w:trPr>
          <w:trHeight w:val="229"/>
        </w:trPr>
        <w:tc>
          <w:tcPr>
            <w:tcW w:w="35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230"/>
        </w:trPr>
        <w:tc>
          <w:tcPr>
            <w:tcW w:w="35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104</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94</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97</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87</w:t>
            </w:r>
          </w:p>
        </w:tc>
        <w:tc>
          <w:tcPr>
            <w:tcW w:w="9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78</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85</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84</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81</w:t>
            </w:r>
          </w:p>
        </w:tc>
      </w:tr>
      <w:tr>
        <w:trPr>
          <w:trHeight w:val="228"/>
        </w:trPr>
        <w:tc>
          <w:tcPr>
            <w:tcW w:w="356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r>
      <w:tr>
        <w:trPr>
          <w:trHeight w:val="224"/>
        </w:trPr>
        <w:tc>
          <w:tcPr>
            <w:tcW w:w="3560" w:type="dxa"/>
            <w:vAlign w:val="bottom"/>
            <w:shd w:val="clear" w:color="auto" w:fill="F7F7F7"/>
          </w:tcPr>
          <w:p>
            <w:pPr>
              <w:spacing w:after="0"/>
              <w:rPr>
                <w:sz w:val="19"/>
                <w:szCs w:val="19"/>
                <w:color w:val="auto"/>
              </w:rPr>
            </w:pP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147</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133</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138</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125</w:t>
            </w:r>
          </w:p>
        </w:tc>
        <w:tc>
          <w:tcPr>
            <w:tcW w:w="9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116</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120</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123</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118</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Includes amortization of acquired intangibles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69"/>
        </w:trPr>
        <w:tc>
          <w:tcPr>
            <w:tcW w:w="3560" w:type="dxa"/>
            <w:vAlign w:val="bottom"/>
          </w:tcPr>
          <w:p>
            <w:pPr>
              <w:spacing w:after="0"/>
              <w:rPr>
                <w:sz w:val="14"/>
                <w:szCs w:val="14"/>
                <w:color w:val="auto"/>
              </w:rPr>
            </w:pP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Sep 30,</w:t>
            </w:r>
          </w:p>
        </w:tc>
        <w:tc>
          <w:tcPr>
            <w:tcW w:w="9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Jun 30,</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Mar 31,</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c>
          <w:tcPr>
            <w:tcW w:w="98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Sep 30,</w:t>
            </w:r>
          </w:p>
        </w:tc>
        <w:tc>
          <w:tcPr>
            <w:tcW w:w="94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Jun 30,</w:t>
            </w:r>
          </w:p>
        </w:tc>
        <w:tc>
          <w:tcPr>
            <w:tcW w:w="9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Mar 31,</w:t>
            </w:r>
          </w:p>
        </w:tc>
        <w:tc>
          <w:tcPr>
            <w:tcW w:w="98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Dec 31,</w:t>
            </w:r>
          </w:p>
        </w:tc>
      </w:tr>
      <w:tr>
        <w:trPr>
          <w:trHeight w:val="216"/>
        </w:trPr>
        <w:tc>
          <w:tcPr>
            <w:tcW w:w="3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r>
      <w:tr>
        <w:trPr>
          <w:trHeight w:val="222"/>
        </w:trPr>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gridSpan w:val="2"/>
          </w:tcPr>
          <w:p>
            <w:pPr>
              <w:jc w:val="right"/>
              <w:ind w:right="259"/>
              <w:spacing w:after="0"/>
              <w:rPr>
                <w:sz w:val="20"/>
                <w:szCs w:val="20"/>
                <w:color w:val="auto"/>
              </w:rPr>
            </w:pPr>
            <w:r>
              <w:rPr>
                <w:rFonts w:ascii="Arial" w:cs="Arial" w:eastAsia="Arial" w:hAnsi="Arial"/>
                <w:sz w:val="16"/>
                <w:szCs w:val="16"/>
                <w:color w:val="auto"/>
              </w:rPr>
              <w:t>(in US $ millions)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560" w:type="dxa"/>
            <w:vAlign w:val="bottom"/>
            <w:shd w:val="clear" w:color="auto" w:fill="F7F7F7"/>
          </w:tcPr>
          <w:p>
            <w:pPr>
              <w:ind w:left="6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shd w:val="clear" w:color="auto" w:fill="F7F7F7"/>
          </w:tcPr>
          <w:p>
            <w:pPr>
              <w:jc w:val="right"/>
              <w:ind w:right="99"/>
              <w:spacing w:after="0"/>
              <w:rPr>
                <w:sz w:val="20"/>
                <w:szCs w:val="20"/>
                <w:color w:val="auto"/>
              </w:rPr>
            </w:pPr>
            <w:r>
              <w:rPr>
                <w:rFonts w:ascii="Arial" w:cs="Arial" w:eastAsia="Arial" w:hAnsi="Arial"/>
                <w:sz w:val="16"/>
                <w:szCs w:val="16"/>
                <w:color w:val="auto"/>
              </w:rPr>
              <w:t>2</w:t>
            </w:r>
          </w:p>
        </w:tc>
        <w:tc>
          <w:tcPr>
            <w:tcW w:w="94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r>
      <w:tr>
        <w:trPr>
          <w:trHeight w:val="228"/>
        </w:trPr>
        <w:tc>
          <w:tcPr>
            <w:tcW w:w="3560" w:type="dxa"/>
            <w:vAlign w:val="bottom"/>
          </w:tcPr>
          <w:p>
            <w:pPr>
              <w:ind w:left="6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229"/>
        </w:trPr>
        <w:tc>
          <w:tcPr>
            <w:tcW w:w="3560" w:type="dxa"/>
            <w:vAlign w:val="bottom"/>
            <w:shd w:val="clear" w:color="auto" w:fill="F7F7F7"/>
          </w:tcPr>
          <w:p>
            <w:pPr>
              <w:ind w:left="6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shd w:val="clear" w:color="auto" w:fill="F7F7F7"/>
          </w:tcPr>
          <w:p>
            <w:pPr>
              <w:jc w:val="right"/>
              <w:ind w:right="9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shd w:val="clear" w:color="auto" w:fill="F7F7F7"/>
          </w:tcPr>
          <w:p>
            <w:pPr>
              <w:jc w:val="right"/>
              <w:ind w:right="79"/>
              <w:spacing w:after="0"/>
              <w:rPr>
                <w:sz w:val="20"/>
                <w:szCs w:val="20"/>
                <w:color w:val="auto"/>
              </w:rPr>
            </w:pPr>
            <w:r>
              <w:rPr>
                <w:rFonts w:ascii="Arial" w:cs="Arial" w:eastAsia="Arial" w:hAnsi="Arial"/>
                <w:sz w:val="16"/>
                <w:szCs w:val="16"/>
                <w:color w:val="auto"/>
              </w:rPr>
              <w:t>—</w:t>
            </w:r>
          </w:p>
        </w:tc>
      </w:tr>
      <w:tr>
        <w:trPr>
          <w:trHeight w:val="222"/>
        </w:trPr>
        <w:tc>
          <w:tcPr>
            <w:tcW w:w="35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r>
    </w:tbl>
    <w:p>
      <w:pPr>
        <w:spacing w:after="0" w:line="357" w:lineRule="exact"/>
        <w:rPr>
          <w:sz w:val="20"/>
          <w:szCs w:val="20"/>
          <w:color w:val="auto"/>
        </w:rPr>
      </w:pPr>
    </w:p>
    <w:p>
      <w:pPr>
        <w:ind w:firstLine="8"/>
        <w:spacing w:after="0" w:line="305" w:lineRule="auto"/>
        <w:tabs>
          <w:tab w:leader="none" w:pos="154"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impairment related costs associated with right-of-use assets and leasehold improvements of $3 million in the third quarter of 2025 and $10 million in the second quarter of 2025.</w:t>
      </w:r>
    </w:p>
    <w:p>
      <w:pPr>
        <w:spacing w:after="0" w:line="90" w:lineRule="exact"/>
        <w:rPr>
          <w:rFonts w:ascii="Arial" w:cs="Arial" w:eastAsia="Arial" w:hAnsi="Arial"/>
          <w:sz w:val="9"/>
          <w:szCs w:val="9"/>
          <w:color w:val="auto"/>
        </w:rPr>
      </w:pPr>
    </w:p>
    <w:p>
      <w:pPr>
        <w:ind w:firstLine="8"/>
        <w:spacing w:after="0" w:line="316"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loss on embedded derivative held to settle the Notes, initially with a $29 million unrealized loss during the third quarter of 2025, which then resulted in a $123 million realized loss during the fourth quarter of 2025.</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period-over-period comparisons are more meaningful than our sequential results due to seasonality in our business. While we believe that this seasonality has affected and will continue to affect our quarterly results, our rapid growth has partially masked seasonal trends to date. Our merchant solutions revenues are directionally correlated with our merchants' GMV. Our merchants' GMV typically increases during the fourth-quarter holiday season. As a result, we have historically generated higher merchant solutions revenues in our fourth quarter than in other quarters. As a result of the growth of our merchant solutions offerings, we believe that our business may become more seasonal in the future, and that historical patterns in our business may not be a reliable indicator of our future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and Gross Margin Trends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revenues experienced a seasonal decrease in our first quarter as consumers typically reduce their spending following the holiday season resulting in a seasonal decrease in GMV per merchant, which was not completely offset by Shopify Payments penetration and MRR growth. Subsequently, revenues have increased in each of the next three quarters as a result of merchant, MRR and overall GMV growth. Our merchants have processed additional GMV during the fourth-quarter holiday seasons, and as a result, we have generated higher subscription solutions and merchant solutions revenues in our fourth quarters compared to other quarters. Due to the continued growth of our merchant solutions offerings, we believe that our business may become more seasonal in the future.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gross margin is generally driven by the mix between our higher margin subscription solutions revenue and lower margin merchant solutions revenue. While our total revenues have increased in recent periods, the mix has shifted towards merchant solutions revenue, most notably in the fourth quarter due to higher order volumes facilitated during the holiday season and the resulting Shopify Payments revenue during this period. We expect this overall trend to continue over time.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expanding our operations internationally, we anticipate a growing proportion of our revenues and cost of sales transactions to be incurred in foreign currencies as compared to USD due to increased Shopify Payments, Shopify Capital, subscriptions and other billings in select countries in local currency. Fluctuations in foreign currencies relative to the USD may impact identified quarterly and yearly trends.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Excluding the items outlined in the tables above, operating expenses have increased in connection with revenue and operations growth. We note a significant portion of our operating expenses are incurred in foreign currencies which may impact the comparability of our quarterly and yearly trends.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(Loss) Gain on Equity and Equity Method Investments and Other Income Trends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Historically, there have been no consistent trends associated with (loss) gain on equity and equity method investments and other income as changes are impacted by fluctuations in the fair value of our equity investments in public companies with readily determinable fair values, observable changes or impairments associated with our equity investments in private companies without readily determinable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values, changes in our equity method investment based on our share of income and loss, including amortization of the basis difference, changes in the fair value of our investments in convertible notes of private companies, changes in the fair value of the embedded derivative previously held to settle the Notes, foreign exchange rates and interest rates. The results from these changes may fluctuate from period to period and may cause volatility to our earnings as well as impact comparability of our results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liquidity through operating cash flows and the proceeds from the exercise of stock options. Shopify maintains a short-form base shelf prospectus with the securities commissions in each of the provinces and territories of Canada, except Quebec. Concurrently with the filing of this Quarterly Report on Form 10-Q, we filed a new short-form base shelf prospectus with the Canadian securities regulators and a shelf registration statement on Form S-3 with the U.S. SEC. Once effective, the new shelf prospectus and registration statement will permit us to offer Class A subordinate voting shares, preferred shares, debt securities, warrants, subscription receipts, units, or any combination thereof, from time to time while the applicable shelf prospectus and registration statement remains effective. The type of securities and the specific terms thereof will be determined at the time of any offering and will be described in the applicable prospectus supplement to be filed separately with Canadian securities regulators and the SEC.</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cash requirements are for working capital and ongoing operations. Excluding current deferred revenue, working capital as of September 30, 2026 was $6.5 billion. Given the ongoing cash generated from operations and our existing cash and cash equivalents, we believe there is sufficient liquidity to meet our current and planned financial obligations over the next 12 months and into the foreseeable future. Our future cash requirements will depend on many factors, including but not limited to our growth rate, subscription renewal activity, the timing and extent of spending to support development of our platform, the expansion of sales and marketing activities, the macroeconomic conditions and overall levels of consumer spending on goods and potential strategic investments and acquisitions activity. Although we currently are not a party to any material undisclosed agreement and do not have any understanding with any third parties with respect to potential material investments in, or material acquisitions of, businesses or technologies, we may enter into these types of arrangements in the future, which could also require us to seek additional equity or debt financing. Additional funds may not be available on terms favorable to us or at all.</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2026, the Company's Board of Directors authorized an additional $3 billion of the Company's outstanding Class A subordinate voting shares, in addition to the $2 billion previously authorized, bringing its aggregate share repurchase authorization to $5 billion.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September 30, 2026, we repurchased $543 million of our Class A subordinate voting shares under our share repurchase program. As of September 30, 2026, a total of $2.5 billion remained available for future repurchases of our Class A subordinate voting shares. See "Note 11 - Shareholders' Equity" to the condensed consolidated financial statements included in this report for more information about our share repurchase program.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marketable securities decreased by $1.1 billion to $4.7 billion as of September 30, 2026 from $5.8 billion as of December 31, 2025, as a result of cash used in repurchases of Class A subordinate voting shares and the purchase and origination of loans and merchant cash advances, net of repayments, offset by cash provided by our operations and maturities of marketable securities, net of purchases. Cash equivalents and marketable securities include money market funds, term deposits, U.S. federal bonds and agency securities and corporate bonds and commercial paper, all maturing within 12 months from September 30, 2026.</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our total cash, cash equivalents and marketable securities as well as our operating, investing and financing activities for the nine months ended September 30, 2026 and 2025:</w:t>
      </w:r>
    </w:p>
    <w:p>
      <w:pPr>
        <w:spacing w:after="0" w:line="171"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20955</wp:posOffset>
            </wp:positionV>
            <wp:extent cx="2057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80" w:type="dxa"/>
            <w:vAlign w:val="bottom"/>
            <w:tcBorders>
              <w:bottom w:val="single" w:sz="8" w:color="auto"/>
            </w:tcBorders>
            <w:gridSpan w:val="2"/>
          </w:tcPr>
          <w:p>
            <w:pPr>
              <w:ind w:left="8600"/>
              <w:spacing w:after="0"/>
              <w:rPr>
                <w:sz w:val="20"/>
                <w:szCs w:val="20"/>
                <w:color w:val="auto"/>
              </w:rPr>
            </w:pPr>
            <w:r>
              <w:rPr>
                <w:rFonts w:ascii="Arial" w:cs="Arial" w:eastAsia="Arial" w:hAnsi="Arial"/>
                <w:sz w:val="16"/>
                <w:szCs w:val="16"/>
                <w:b w:val="1"/>
                <w:bCs w:val="1"/>
                <w:color w:val="auto"/>
              </w:rPr>
              <w:t>2026</w:t>
            </w: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2"/>
        </w:trPr>
        <w:tc>
          <w:tcPr>
            <w:tcW w:w="8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(in US $ millions)</w:t>
            </w:r>
          </w:p>
        </w:tc>
        <w:tc>
          <w:tcPr>
            <w:tcW w:w="980" w:type="dxa"/>
            <w:vAlign w:val="bottom"/>
          </w:tcPr>
          <w:p>
            <w:pPr>
              <w:spacing w:after="0"/>
              <w:rPr>
                <w:sz w:val="19"/>
                <w:szCs w:val="19"/>
                <w:color w:val="auto"/>
              </w:rPr>
            </w:pPr>
          </w:p>
        </w:tc>
      </w:tr>
      <w:tr>
        <w:trPr>
          <w:trHeight w:val="230"/>
        </w:trPr>
        <w:tc>
          <w:tcPr>
            <w:tcW w:w="8980" w:type="dxa"/>
            <w:vAlign w:val="bottom"/>
            <w:gridSpan w:val="2"/>
            <w:shd w:val="clear" w:color="auto" w:fill="F7F7F7"/>
          </w:tcPr>
          <w:p>
            <w:pPr>
              <w:ind w:left="120"/>
              <w:spacing w:after="0"/>
              <w:rPr>
                <w:sz w:val="20"/>
                <w:szCs w:val="20"/>
                <w:color w:val="auto"/>
              </w:rPr>
            </w:pPr>
            <w:r>
              <w:rPr>
                <w:rFonts w:ascii="Arial" w:cs="Arial" w:eastAsia="Arial" w:hAnsi="Arial"/>
                <w:sz w:val="16"/>
                <w:szCs w:val="16"/>
                <w:b w:val="1"/>
                <w:bCs w:val="1"/>
                <w:color w:val="auto"/>
              </w:rPr>
              <w:t>Cash, cash equivalents and marketable securities (end of period)</w:t>
            </w:r>
          </w:p>
        </w:tc>
        <w:tc>
          <w:tcPr>
            <w:tcW w:w="1280" w:type="dxa"/>
            <w:vAlign w:val="bottom"/>
            <w:shd w:val="clear" w:color="auto" w:fill="F7F7F7"/>
          </w:tcPr>
          <w:p>
            <w:pPr>
              <w:jc w:val="right"/>
              <w:ind w:right="699"/>
              <w:spacing w:after="0"/>
              <w:rPr>
                <w:sz w:val="20"/>
                <w:szCs w:val="20"/>
                <w:color w:val="auto"/>
              </w:rPr>
            </w:pPr>
            <w:r>
              <w:rPr>
                <w:rFonts w:ascii="Arial" w:cs="Arial" w:eastAsia="Arial" w:hAnsi="Arial"/>
                <w:sz w:val="16"/>
                <w:szCs w:val="16"/>
                <w:b w:val="1"/>
                <w:bCs w:val="1"/>
                <w:color w:val="auto"/>
              </w:rPr>
              <w:t>4,727</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b w:val="1"/>
                <w:bCs w:val="1"/>
                <w:color w:val="auto"/>
              </w:rPr>
              <w:t>6,349</w:t>
            </w:r>
          </w:p>
        </w:tc>
      </w:tr>
      <w:tr>
        <w:trPr>
          <w:trHeight w:val="228"/>
        </w:trPr>
        <w:tc>
          <w:tcPr>
            <w:tcW w:w="8980" w:type="dxa"/>
            <w:vAlign w:val="bottom"/>
            <w:gridSpan w:val="2"/>
          </w:tcPr>
          <w:p>
            <w:pPr>
              <w:ind w:left="120"/>
              <w:spacing w:after="0"/>
              <w:rPr>
                <w:sz w:val="20"/>
                <w:szCs w:val="20"/>
                <w:color w:val="auto"/>
              </w:rPr>
            </w:pPr>
            <w:r>
              <w:rPr>
                <w:rFonts w:ascii="Arial" w:cs="Arial" w:eastAsia="Arial" w:hAnsi="Arial"/>
                <w:sz w:val="16"/>
                <w:szCs w:val="16"/>
                <w:color w:val="auto"/>
              </w:rPr>
              <w:t>Net cash provided by (used in):</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8980" w:type="dxa"/>
            <w:vAlign w:val="bottom"/>
            <w:gridSpan w:val="2"/>
            <w:shd w:val="clear" w:color="auto" w:fill="F7F7F7"/>
          </w:tcPr>
          <w:p>
            <w:pPr>
              <w:ind w:left="560"/>
              <w:spacing w:after="0" w:line="231" w:lineRule="exact"/>
              <w:rPr>
                <w:sz w:val="20"/>
                <w:szCs w:val="20"/>
                <w:color w:val="auto"/>
              </w:rPr>
            </w:pPr>
            <w:r>
              <w:rPr>
                <w:rFonts w:ascii="Arial" w:cs="Arial" w:eastAsia="Arial" w:hAnsi="Arial"/>
                <w:sz w:val="16"/>
                <w:szCs w:val="16"/>
                <w:color w:val="auto"/>
              </w:rPr>
              <w:t>Operating activities</w:t>
            </w:r>
            <w:r>
              <w:rPr>
                <w:rFonts w:ascii="Arial" w:cs="Arial" w:eastAsia="Arial" w:hAnsi="Arial"/>
                <w:sz w:val="21"/>
                <w:szCs w:val="21"/>
                <w:color w:val="auto"/>
                <w:vertAlign w:val="superscript"/>
              </w:rPr>
              <w:t>(1)</w:t>
            </w:r>
          </w:p>
        </w:tc>
        <w:tc>
          <w:tcPr>
            <w:tcW w:w="1280" w:type="dxa"/>
            <w:vAlign w:val="bottom"/>
            <w:shd w:val="clear" w:color="auto" w:fill="F7F7F7"/>
          </w:tcPr>
          <w:p>
            <w:pPr>
              <w:jc w:val="right"/>
              <w:ind w:right="699"/>
              <w:spacing w:after="0"/>
              <w:rPr>
                <w:sz w:val="20"/>
                <w:szCs w:val="20"/>
                <w:color w:val="auto"/>
              </w:rPr>
            </w:pPr>
            <w:r>
              <w:rPr>
                <w:rFonts w:ascii="Arial" w:cs="Arial" w:eastAsia="Arial" w:hAnsi="Arial"/>
                <w:sz w:val="16"/>
                <w:szCs w:val="16"/>
                <w:color w:val="auto"/>
              </w:rPr>
              <w:t>1,957</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1,308</w:t>
            </w:r>
          </w:p>
        </w:tc>
      </w:tr>
      <w:tr>
        <w:trPr>
          <w:trHeight w:val="229"/>
        </w:trPr>
        <w:tc>
          <w:tcPr>
            <w:tcW w:w="8980" w:type="dxa"/>
            <w:vAlign w:val="bottom"/>
            <w:gridSpan w:val="2"/>
          </w:tcPr>
          <w:p>
            <w:pPr>
              <w:ind w:left="560"/>
              <w:spacing w:after="0" w:line="230" w:lineRule="exact"/>
              <w:rPr>
                <w:sz w:val="20"/>
                <w:szCs w:val="20"/>
                <w:color w:val="auto"/>
              </w:rPr>
            </w:pPr>
            <w:r>
              <w:rPr>
                <w:rFonts w:ascii="Arial" w:cs="Arial" w:eastAsia="Arial" w:hAnsi="Arial"/>
                <w:sz w:val="16"/>
                <w:szCs w:val="16"/>
                <w:color w:val="auto"/>
              </w:rPr>
              <w:t>Investing activities</w:t>
            </w:r>
            <w:r>
              <w:rPr>
                <w:rFonts w:ascii="Arial" w:cs="Arial" w:eastAsia="Arial" w:hAnsi="Arial"/>
                <w:sz w:val="21"/>
                <w:szCs w:val="21"/>
                <w:color w:val="auto"/>
                <w:vertAlign w:val="superscript"/>
              </w:rPr>
              <w:t>(1)</w:t>
            </w:r>
          </w:p>
        </w:tc>
        <w:tc>
          <w:tcPr>
            <w:tcW w:w="1280" w:type="dxa"/>
            <w:vAlign w:val="bottom"/>
          </w:tcPr>
          <w:p>
            <w:pPr>
              <w:jc w:val="right"/>
              <w:ind w:right="699"/>
              <w:spacing w:after="0"/>
              <w:rPr>
                <w:sz w:val="20"/>
                <w:szCs w:val="20"/>
                <w:color w:val="auto"/>
              </w:rPr>
            </w:pPr>
            <w:r>
              <w:rPr>
                <w:rFonts w:ascii="Arial" w:cs="Arial" w:eastAsia="Arial" w:hAnsi="Arial"/>
                <w:sz w:val="16"/>
                <w:szCs w:val="16"/>
                <w:color w:val="auto"/>
              </w:rPr>
              <w:t>821</w:t>
            </w:r>
          </w:p>
        </w:tc>
        <w:tc>
          <w:tcPr>
            <w:tcW w:w="98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30"/>
        </w:trPr>
        <w:tc>
          <w:tcPr>
            <w:tcW w:w="8980" w:type="dxa"/>
            <w:vAlign w:val="bottom"/>
            <w:gridSpan w:val="2"/>
            <w:shd w:val="clear" w:color="auto" w:fill="F7F7F7"/>
          </w:tcPr>
          <w:p>
            <w:pPr>
              <w:ind w:left="560"/>
              <w:spacing w:after="0"/>
              <w:rPr>
                <w:sz w:val="20"/>
                <w:szCs w:val="20"/>
                <w:color w:val="auto"/>
              </w:rPr>
            </w:pPr>
            <w:r>
              <w:rPr>
                <w:rFonts w:ascii="Arial" w:cs="Arial" w:eastAsia="Arial" w:hAnsi="Arial"/>
                <w:sz w:val="16"/>
                <w:szCs w:val="16"/>
                <w:color w:val="auto"/>
              </w:rPr>
              <w:t>Financing activities</w:t>
            </w:r>
          </w:p>
        </w:tc>
        <w:tc>
          <w:tcPr>
            <w:tcW w:w="1280" w:type="dxa"/>
            <w:vAlign w:val="bottom"/>
            <w:shd w:val="clear" w:color="auto" w:fill="F7F7F7"/>
          </w:tcPr>
          <w:p>
            <w:pPr>
              <w:jc w:val="right"/>
              <w:ind w:right="659"/>
              <w:spacing w:after="0"/>
              <w:rPr>
                <w:sz w:val="20"/>
                <w:szCs w:val="20"/>
                <w:color w:val="auto"/>
              </w:rPr>
            </w:pPr>
            <w:r>
              <w:rPr>
                <w:rFonts w:ascii="Arial" w:cs="Arial" w:eastAsia="Arial" w:hAnsi="Arial"/>
                <w:sz w:val="16"/>
                <w:szCs w:val="16"/>
                <w:color w:val="auto"/>
              </w:rPr>
              <w:t>(2,449)</w:t>
            </w:r>
          </w:p>
        </w:tc>
        <w:tc>
          <w:tcPr>
            <w:tcW w:w="98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127</w:t>
            </w:r>
          </w:p>
        </w:tc>
      </w:tr>
      <w:tr>
        <w:trPr>
          <w:trHeight w:val="228"/>
        </w:trPr>
        <w:tc>
          <w:tcPr>
            <w:tcW w:w="8980" w:type="dxa"/>
            <w:vAlign w:val="bottom"/>
            <w:gridSpan w:val="2"/>
          </w:tcPr>
          <w:p>
            <w:pPr>
              <w:ind w:left="120"/>
              <w:spacing w:after="0"/>
              <w:rPr>
                <w:sz w:val="20"/>
                <w:szCs w:val="20"/>
                <w:color w:val="auto"/>
              </w:rPr>
            </w:pPr>
            <w:r>
              <w:rPr>
                <w:rFonts w:ascii="Arial" w:cs="Arial" w:eastAsia="Arial" w:hAnsi="Arial"/>
                <w:sz w:val="16"/>
                <w:szCs w:val="16"/>
                <w:color w:val="auto"/>
              </w:rPr>
              <w:t>Effect of foreign exchange on cash and cash equivalents</w:t>
            </w:r>
          </w:p>
        </w:tc>
        <w:tc>
          <w:tcPr>
            <w:tcW w:w="1280" w:type="dxa"/>
            <w:vAlign w:val="bottom"/>
          </w:tcPr>
          <w:p>
            <w:pPr>
              <w:jc w:val="right"/>
              <w:ind w:right="65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8000" w:type="dxa"/>
            <w:vAlign w:val="bottom"/>
            <w:tcBorders>
              <w:top w:val="single" w:sz="8" w:color="F7F7F7"/>
            </w:tcBorders>
            <w:shd w:val="clear" w:color="auto" w:fill="F7F7F7"/>
          </w:tcPr>
          <w:p>
            <w:pPr>
              <w:ind w:left="120"/>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tcBorders>
              <w:top w:val="single" w:sz="8" w:color="auto"/>
            </w:tcBorders>
            <w:shd w:val="clear" w:color="auto" w:fill="F7F7F7"/>
          </w:tcPr>
          <w:p>
            <w:pPr>
              <w:spacing w:after="0"/>
              <w:rPr>
                <w:sz w:val="19"/>
                <w:szCs w:val="19"/>
                <w:color w:val="auto"/>
              </w:rPr>
            </w:pPr>
          </w:p>
        </w:tc>
        <w:tc>
          <w:tcPr>
            <w:tcW w:w="1280" w:type="dxa"/>
            <w:vAlign w:val="bottom"/>
            <w:tcBorders>
              <w:top w:val="single" w:sz="8" w:color="auto"/>
            </w:tcBorders>
            <w:shd w:val="clear" w:color="auto" w:fill="F7F7F7"/>
          </w:tcPr>
          <w:p>
            <w:pPr>
              <w:jc w:val="right"/>
              <w:ind w:right="699"/>
              <w:spacing w:after="0"/>
              <w:rPr>
                <w:sz w:val="20"/>
                <w:szCs w:val="20"/>
                <w:color w:val="auto"/>
              </w:rPr>
            </w:pPr>
            <w:r>
              <w:rPr>
                <w:rFonts w:ascii="Arial" w:cs="Arial" w:eastAsia="Arial" w:hAnsi="Arial"/>
                <w:sz w:val="16"/>
                <w:szCs w:val="16"/>
                <w:color w:val="auto"/>
              </w:rPr>
              <w:t>323</w:t>
            </w:r>
          </w:p>
        </w:tc>
        <w:tc>
          <w:tcPr>
            <w:tcW w:w="9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916</w:t>
            </w:r>
          </w:p>
        </w:tc>
      </w:tr>
      <w:tr>
        <w:trPr>
          <w:trHeight w:val="229"/>
        </w:trPr>
        <w:tc>
          <w:tcPr>
            <w:tcW w:w="8980" w:type="dxa"/>
            <w:vAlign w:val="bottom"/>
            <w:gridSpan w:val="2"/>
          </w:tcPr>
          <w:p>
            <w:pPr>
              <w:ind w:left="120"/>
              <w:spacing w:after="0" w:line="230" w:lineRule="exact"/>
              <w:rPr>
                <w:sz w:val="20"/>
                <w:szCs w:val="20"/>
                <w:color w:val="auto"/>
              </w:rPr>
            </w:pPr>
            <w:r>
              <w:rPr>
                <w:rFonts w:ascii="Arial" w:cs="Arial" w:eastAsia="Arial" w:hAnsi="Arial"/>
                <w:sz w:val="16"/>
                <w:szCs w:val="16"/>
                <w:color w:val="auto"/>
              </w:rPr>
              <w:t>Decrease in marketable securities</w:t>
            </w:r>
            <w:r>
              <w:rPr>
                <w:rFonts w:ascii="Arial" w:cs="Arial" w:eastAsia="Arial" w:hAnsi="Arial"/>
                <w:sz w:val="21"/>
                <w:szCs w:val="21"/>
                <w:color w:val="auto"/>
                <w:vertAlign w:val="superscript"/>
              </w:rPr>
              <w:t>(2)</w:t>
            </w:r>
          </w:p>
        </w:tc>
        <w:tc>
          <w:tcPr>
            <w:tcW w:w="1280" w:type="dxa"/>
            <w:vAlign w:val="bottom"/>
          </w:tcPr>
          <w:p>
            <w:pPr>
              <w:jc w:val="right"/>
              <w:ind w:right="659"/>
              <w:spacing w:after="0"/>
              <w:rPr>
                <w:sz w:val="20"/>
                <w:szCs w:val="20"/>
                <w:color w:val="auto"/>
              </w:rPr>
            </w:pPr>
            <w:r>
              <w:rPr>
                <w:rFonts w:ascii="Arial" w:cs="Arial" w:eastAsia="Arial" w:hAnsi="Arial"/>
                <w:sz w:val="16"/>
                <w:szCs w:val="16"/>
                <w:color w:val="auto"/>
              </w:rPr>
              <w:t>(1,374)</w:t>
            </w: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8000" w:type="dxa"/>
            <w:vAlign w:val="bottom"/>
            <w:tcBorders>
              <w:top w:val="single" w:sz="8" w:color="F7F7F7"/>
            </w:tcBorders>
            <w:shd w:val="clear" w:color="auto" w:fill="F7F7F7"/>
          </w:tcPr>
          <w:p>
            <w:pPr>
              <w:ind w:left="120"/>
              <w:spacing w:after="0"/>
              <w:rPr>
                <w:sz w:val="20"/>
                <w:szCs w:val="20"/>
                <w:color w:val="auto"/>
              </w:rPr>
            </w:pPr>
            <w:r>
              <w:rPr>
                <w:rFonts w:ascii="Arial" w:cs="Arial" w:eastAsia="Arial" w:hAnsi="Arial"/>
                <w:sz w:val="16"/>
                <w:szCs w:val="16"/>
                <w:b w:val="1"/>
                <w:bCs w:val="1"/>
                <w:color w:val="auto"/>
              </w:rPr>
              <w:t>Net (decrease) increase in cash, cash equivalents and marketable securities</w:t>
            </w:r>
          </w:p>
        </w:tc>
        <w:tc>
          <w:tcPr>
            <w:tcW w:w="980" w:type="dxa"/>
            <w:vAlign w:val="bottom"/>
            <w:tcBorders>
              <w:top w:val="single" w:sz="8" w:color="auto"/>
            </w:tcBorders>
            <w:shd w:val="clear" w:color="auto" w:fill="F7F7F7"/>
          </w:tcPr>
          <w:p>
            <w:pPr>
              <w:spacing w:after="0"/>
              <w:rPr>
                <w:sz w:val="19"/>
                <w:szCs w:val="19"/>
                <w:color w:val="auto"/>
              </w:rPr>
            </w:pPr>
          </w:p>
        </w:tc>
        <w:tc>
          <w:tcPr>
            <w:tcW w:w="1280" w:type="dxa"/>
            <w:vAlign w:val="bottom"/>
            <w:tcBorders>
              <w:top w:val="single" w:sz="8" w:color="auto"/>
            </w:tcBorders>
            <w:shd w:val="clear" w:color="auto" w:fill="F7F7F7"/>
          </w:tcPr>
          <w:p>
            <w:pPr>
              <w:jc w:val="right"/>
              <w:ind w:right="659"/>
              <w:spacing w:after="0"/>
              <w:rPr>
                <w:sz w:val="20"/>
                <w:szCs w:val="20"/>
                <w:color w:val="auto"/>
              </w:rPr>
            </w:pPr>
            <w:r>
              <w:rPr>
                <w:rFonts w:ascii="Arial" w:cs="Arial" w:eastAsia="Arial" w:hAnsi="Arial"/>
                <w:sz w:val="16"/>
                <w:szCs w:val="16"/>
                <w:b w:val="1"/>
                <w:bCs w:val="1"/>
                <w:color w:val="auto"/>
              </w:rPr>
              <w:t>(1,051)</w:t>
            </w:r>
          </w:p>
        </w:tc>
        <w:tc>
          <w:tcPr>
            <w:tcW w:w="980" w:type="dxa"/>
            <w:vAlign w:val="bottom"/>
            <w:tcBorders>
              <w:top w:val="single" w:sz="8" w:color="auto"/>
            </w:tcBorders>
            <w:shd w:val="clear" w:color="auto" w:fill="F7F7F7"/>
          </w:tcPr>
          <w:p>
            <w:pPr>
              <w:jc w:val="right"/>
              <w:spacing w:after="0"/>
              <w:rPr>
                <w:sz w:val="20"/>
                <w:szCs w:val="20"/>
                <w:color w:val="auto"/>
              </w:rPr>
            </w:pPr>
            <w:r>
              <w:rPr>
                <w:rFonts w:ascii="Arial" w:cs="Arial" w:eastAsia="Arial" w:hAnsi="Arial"/>
                <w:sz w:val="16"/>
                <w:szCs w:val="16"/>
                <w:b w:val="1"/>
                <w:bCs w:val="1"/>
                <w:color w:val="auto"/>
              </w:rPr>
              <w:t>870</w:t>
            </w:r>
          </w:p>
        </w:tc>
      </w:tr>
    </w:tbl>
    <w:p>
      <w:pPr>
        <w:spacing w:after="0" w:line="99" w:lineRule="exact"/>
        <w:rPr>
          <w:sz w:val="20"/>
          <w:szCs w:val="20"/>
          <w:color w:val="auto"/>
        </w:rPr>
      </w:pPr>
    </w:p>
    <w:p>
      <w:pPr>
        <w:ind w:right="260" w:firstLine="8"/>
        <w:spacing w:after="0" w:line="316"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Starting in April 2026, the cash flows associated with merchant cash advances are presented within investing cash flows on a basis consistent with loans, given the similar nature of the underlying lending activities.</w:t>
      </w:r>
    </w:p>
    <w:p>
      <w:pPr>
        <w:spacing w:after="0" w:line="6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Excludes $524 million and $676 million of marketable securities classified in "Long-term Investments" as of September 30, 2026 and 2025,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Merchant Cash Advances</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2025, Canada amended regulations that impacted merchant cash advance products. As a result, we transitioned our Shopify Capital product in Canada, from merchant cash advances to loans which are accounted for under ASC 310, starting in April 2026.</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Prompted by this transition, and concurrent with this product change for Canada, the cash flows associated with merchant cash advances are presented within investing cash flows on a basis consistent with loans, given the similar nature of the underlying lending activities. For the three months ended September 30, 2026, the changes described above resulted in a net cash use of $30 million presented in Investing activities after consideration of repayments and purchases and originations.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largest source of operating cash is from merchant solutions. Within merchant solutions, the largest source of cash flows are Shopify Payments processing fee arrangements, which are received on a daily basis as transactions are processed. We also generate cash flows from our subscription solutions with subscription revenues. These payments are typically paid to us at the beginning of the applicable subscription period, except for our Shopify Plus merchants who typically pay us at the end of their monthly billing cycle.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primary uses of cash from operating activities are for third-party payment processing fees, employee-related expenditures, marketing programs and outsourced hosting costs.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2026, net cash provided by operating activities was primarily the result of operating income, once adjusted for non-cash items and by changes in working capital resulting in a source of cash.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investing activities in the nine months ended September 30, 2026 was driven by $ 1.9 billion in maturities of marketable securities, net of purchases, partially offset by $702 million used for purchases and originations of loans and merchant cash advances, net of repayments and sales, $217 million used to purchase equity and other investments, $99 million used for the acquisition of intangible assets and $11 million used to purchase property and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in the nine months ended September 30, 2026 was driven by $2.5 billion used for repurchases of Class A subordinate voting shares, offset by $24 million proceeds from the issuance of Class A subordinate voting shares and Class B restricted voting shares as a result of stock options exercises.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commitments consist of our unconditional purchase obligations and obligations under our operating leases for office space. There have been no significant changes to our principal commitments, as compared to the principal commitments described in our 2025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retain a guarantee with respect to certain assigned leases. We have also entered into an indemnification agreement that governs the liability obligations of the purchaser in connection with these guarantees. These arrangements, and our obligations arising from such arrangements, are not expected to have a material impact on the current or future financial performance or financial condition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Loss Contingencies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not aware of any litigation matters or loss contingencies that would be expected to have a material adverse effect on the business, condensed consolidated financial position,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Predicting future events is inherently an imprecise activity and, as such, requires the use of significant judgment. Actual results may vary from our estimates in amounts that may be material to the financial statements. An accounting policy is deemed to be critical if it requires an accounting estimate to be made based on assumptions about matters that are highly uncertain at the time the estimate is made, and if different, applies estimates that reasonably could have been used or changes in the accounting estimates that are reasonably likely to occur periodically, which could materially impact our condensed consolidated financial statements.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critical accounting policies, estimates, and judgments are discussed in Part II — Item 7 "Management's Discussion and Analysis of Financial Condition and Results of Operations" of our 2025 Form 10-K as well as "Note 3 - Significant Accounting Policies" in the notes to the condensed consolidated financial statements included in Part I — Item 1 of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risks, as discussed in "Note 3 - Significant Accounting Policies" in our condensed consolidated financial statements and the accompanying notes for the fiscal quarter ended September 30, 2026, as well as in our audited consolidated financial statements and the accompanying notes for the fiscal year ended December 31, 2025. These risks primarily include foreign currency exchange risk, equity and other investments risk, interest rate risk, concentration of credit risk and inflation risk, as discussed below. We regularly assess these risks to minimize any adverse effects on our business as a result of those factors.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CAD and AUD. A significant proportion of operating expenses are also incurred in the aforementioned foreign currencies. We therefore are subject to foreign currency exchange risk related to these currencies and fluctuations in foreign currency exchange rates. To help mitigate the impacts associated with foreign currency fluctuations on future cash flows from operating expenses, we maintain a portfolio of foreign exchange derivative products designated as hedging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non-GAAP financial measures convert our revenues, cost of revenues, operating expenses and income from operations in the current reporting period using the comparative prior year period's monthly average exchange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Three months ended September 30,</w:t>
            </w: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GAAP Amounts as</w:t>
            </w: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Exchange Rate Effect</w:t>
            </w:r>
          </w:p>
        </w:tc>
        <w:tc>
          <w:tcPr>
            <w:tcW w:w="260" w:type="dxa"/>
            <w:vAlign w:val="bottom"/>
          </w:tcPr>
          <w:p>
            <w:pPr>
              <w:jc w:val="right"/>
              <w:ind w:right="47"/>
              <w:spacing w:after="0"/>
              <w:rPr>
                <w:sz w:val="20"/>
                <w:szCs w:val="20"/>
                <w:color w:val="auto"/>
              </w:rPr>
            </w:pPr>
            <w:r>
              <w:rPr>
                <w:rFonts w:ascii="Arial" w:cs="Arial" w:eastAsia="Arial" w:hAnsi="Arial"/>
                <w:sz w:val="11"/>
                <w:szCs w:val="11"/>
                <w:b w:val="1"/>
                <w:bCs w:val="1"/>
                <w:color w:val="auto"/>
                <w:w w:val="88"/>
              </w:rPr>
              <w:t>(1)</w:t>
            </w:r>
          </w:p>
        </w:tc>
        <w:tc>
          <w:tcPr>
            <w:tcW w:w="2140" w:type="dxa"/>
            <w:vAlign w:val="bottom"/>
            <w:gridSpan w:val="2"/>
          </w:tcPr>
          <w:p>
            <w:pPr>
              <w:jc w:val="center"/>
              <w:ind w:right="200"/>
              <w:spacing w:after="0" w:line="169" w:lineRule="exact"/>
              <w:rPr>
                <w:sz w:val="20"/>
                <w:szCs w:val="20"/>
                <w:color w:val="auto"/>
              </w:rPr>
            </w:pPr>
            <w:r>
              <w:rPr>
                <w:rFonts w:ascii="Arial" w:cs="Arial" w:eastAsia="Arial" w:hAnsi="Arial"/>
                <w:sz w:val="16"/>
                <w:szCs w:val="16"/>
                <w:b w:val="1"/>
                <w:bCs w:val="1"/>
                <w:color w:val="auto"/>
              </w:rPr>
              <w:t>At Prior Period Effective</w:t>
            </w:r>
          </w:p>
        </w:tc>
        <w:tc>
          <w:tcPr>
            <w:tcW w:w="20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GAAP Amounts as</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17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right="200"/>
              <w:spacing w:after="0" w:line="216" w:lineRule="exact"/>
              <w:rPr>
                <w:sz w:val="20"/>
                <w:szCs w:val="20"/>
                <w:color w:val="auto"/>
              </w:rPr>
            </w:pPr>
            <w:r>
              <w:rPr>
                <w:rFonts w:ascii="Arial" w:cs="Arial" w:eastAsia="Arial" w:hAnsi="Arial"/>
                <w:sz w:val="16"/>
                <w:szCs w:val="16"/>
                <w:b w:val="1"/>
                <w:bCs w:val="1"/>
                <w:color w:val="auto"/>
                <w:w w:val="95"/>
              </w:rPr>
              <w:t>Rates</w:t>
            </w:r>
            <w:r>
              <w:rPr>
                <w:rFonts w:ascii="Arial" w:cs="Arial" w:eastAsia="Arial" w:hAnsi="Arial"/>
                <w:sz w:val="21"/>
                <w:szCs w:val="21"/>
                <w:b w:val="1"/>
                <w:bCs w:val="1"/>
                <w:color w:val="auto"/>
                <w:w w:val="95"/>
                <w:vertAlign w:val="superscript"/>
              </w:rPr>
              <w:t>(2)</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20" w:type="dxa"/>
            <w:vAlign w:val="bottom"/>
            <w:gridSpan w:val="4"/>
          </w:tcPr>
          <w:p>
            <w:pPr>
              <w:jc w:val="center"/>
              <w:ind w:right="20"/>
              <w:spacing w:after="0"/>
              <w:rPr>
                <w:sz w:val="20"/>
                <w:szCs w:val="20"/>
                <w:color w:val="auto"/>
              </w:rPr>
            </w:pPr>
            <w:r>
              <w:rPr>
                <w:rFonts w:ascii="Arial" w:cs="Arial" w:eastAsia="Arial" w:hAnsi="Arial"/>
                <w:sz w:val="16"/>
                <w:szCs w:val="16"/>
                <w:color w:val="auto"/>
              </w:rPr>
              <w:t>(in US $ millions)</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Revenues</w:t>
            </w:r>
          </w:p>
        </w:tc>
        <w:tc>
          <w:tcPr>
            <w:tcW w:w="20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3,742</w:t>
            </w:r>
          </w:p>
        </w:tc>
        <w:tc>
          <w:tcPr>
            <w:tcW w:w="1720" w:type="dxa"/>
            <w:vAlign w:val="bottom"/>
            <w:shd w:val="clear" w:color="auto" w:fill="F7F7F7"/>
          </w:tcPr>
          <w:p>
            <w:pPr>
              <w:spacing w:after="0"/>
              <w:rPr>
                <w:sz w:val="20"/>
                <w:szCs w:val="20"/>
                <w:color w:val="auto"/>
              </w:rPr>
            </w:pPr>
          </w:p>
        </w:tc>
        <w:tc>
          <w:tcPr>
            <w:tcW w:w="260" w:type="dxa"/>
            <w:vAlign w:val="bottom"/>
            <w:shd w:val="clear" w:color="auto" w:fill="F7F7F7"/>
          </w:tcPr>
          <w:p>
            <w:pPr>
              <w:jc w:val="right"/>
              <w:ind w:right="27"/>
              <w:spacing w:after="0"/>
              <w:rPr>
                <w:sz w:val="20"/>
                <w:szCs w:val="20"/>
                <w:color w:val="auto"/>
              </w:rPr>
            </w:pPr>
            <w:r>
              <w:rPr>
                <w:rFonts w:ascii="Arial" w:cs="Arial" w:eastAsia="Arial" w:hAnsi="Arial"/>
                <w:sz w:val="16"/>
                <w:szCs w:val="16"/>
                <w:color w:val="auto"/>
              </w:rPr>
              <w:t>4</w:t>
            </w:r>
          </w:p>
        </w:tc>
        <w:tc>
          <w:tcPr>
            <w:tcW w:w="1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3,746</w:t>
            </w:r>
          </w:p>
        </w:tc>
        <w:tc>
          <w:tcPr>
            <w:tcW w:w="180" w:type="dxa"/>
            <w:vAlign w:val="bottom"/>
            <w:shd w:val="clear" w:color="auto" w:fill="F7F7F7"/>
          </w:tcPr>
          <w:p>
            <w:pPr>
              <w:spacing w:after="0"/>
              <w:rPr>
                <w:sz w:val="20"/>
                <w:szCs w:val="20"/>
                <w:color w:val="auto"/>
              </w:rPr>
            </w:pPr>
          </w:p>
        </w:tc>
        <w:tc>
          <w:tcPr>
            <w:tcW w:w="20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0" w:type="dxa"/>
            <w:vAlign w:val="bottom"/>
          </w:tcPr>
          <w:p>
            <w:pPr>
              <w:jc w:val="right"/>
              <w:spacing w:after="0"/>
              <w:rPr>
                <w:sz w:val="20"/>
                <w:szCs w:val="20"/>
                <w:color w:val="auto"/>
              </w:rPr>
            </w:pPr>
            <w:r>
              <w:rPr>
                <w:rFonts w:ascii="Arial" w:cs="Arial" w:eastAsia="Arial" w:hAnsi="Arial"/>
                <w:sz w:val="16"/>
                <w:szCs w:val="16"/>
                <w:color w:val="auto"/>
              </w:rPr>
              <w:t>(1,961)</w:t>
            </w:r>
          </w:p>
        </w:tc>
        <w:tc>
          <w:tcPr>
            <w:tcW w:w="1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1960" w:type="dxa"/>
            <w:vAlign w:val="bottom"/>
          </w:tcPr>
          <w:p>
            <w:pPr>
              <w:jc w:val="right"/>
              <w:spacing w:after="0"/>
              <w:rPr>
                <w:sz w:val="20"/>
                <w:szCs w:val="20"/>
                <w:color w:val="auto"/>
              </w:rPr>
            </w:pPr>
            <w:r>
              <w:rPr>
                <w:rFonts w:ascii="Arial" w:cs="Arial" w:eastAsia="Arial" w:hAnsi="Arial"/>
                <w:sz w:val="16"/>
                <w:szCs w:val="16"/>
                <w:color w:val="auto"/>
              </w:rPr>
              <w:t>(1,964)</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29"/>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Operating expenses</w:t>
            </w: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(1,213)</w:t>
            </w:r>
          </w:p>
        </w:tc>
        <w:tc>
          <w:tcPr>
            <w:tcW w:w="1720" w:type="dxa"/>
            <w:vAlign w:val="bottom"/>
            <w:tcBorders>
              <w:bottom w:val="single" w:sz="8" w:color="auto"/>
            </w:tcBorders>
            <w:shd w:val="clear" w:color="auto" w:fill="F7F7F7"/>
          </w:tcPr>
          <w:p>
            <w:pPr>
              <w:spacing w:after="0"/>
              <w:rPr>
                <w:sz w:val="19"/>
                <w:szCs w:val="19"/>
                <w:color w:val="auto"/>
              </w:rPr>
            </w:pPr>
          </w:p>
        </w:tc>
        <w:tc>
          <w:tcPr>
            <w:tcW w:w="2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w w:val="91"/>
              </w:rPr>
              <w:t>(3)</w:t>
            </w:r>
          </w:p>
        </w:tc>
        <w:tc>
          <w:tcPr>
            <w:tcW w:w="1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(1,216)</w:t>
            </w:r>
          </w:p>
        </w:tc>
        <w:tc>
          <w:tcPr>
            <w:tcW w:w="180" w:type="dxa"/>
            <w:vAlign w:val="bottom"/>
            <w:shd w:val="clear" w:color="auto" w:fill="F7F7F7"/>
          </w:tcPr>
          <w:p>
            <w:pPr>
              <w:spacing w:after="0"/>
              <w:rPr>
                <w:sz w:val="19"/>
                <w:szCs w:val="19"/>
                <w:color w:val="auto"/>
              </w:rPr>
            </w:pP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22"/>
        </w:trPr>
        <w:tc>
          <w:tcPr>
            <w:tcW w:w="3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960" w:type="dxa"/>
            <w:vAlign w:val="bottom"/>
          </w:tcPr>
          <w:p>
            <w:pPr>
              <w:jc w:val="right"/>
              <w:spacing w:after="0"/>
              <w:rPr>
                <w:sz w:val="20"/>
                <w:szCs w:val="20"/>
                <w:color w:val="auto"/>
              </w:rPr>
            </w:pPr>
            <w:r>
              <w:rPr>
                <w:rFonts w:ascii="Arial" w:cs="Arial" w:eastAsia="Arial" w:hAnsi="Arial"/>
                <w:sz w:val="16"/>
                <w:szCs w:val="16"/>
                <w:color w:val="auto"/>
              </w:rPr>
              <w:t>566</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529"/>
        </w:trPr>
        <w:tc>
          <w:tcPr>
            <w:tcW w:w="30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Nine months ended September 30,</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GAAP Amounts as</w:t>
            </w: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Exchange Rate Effect</w:t>
            </w:r>
          </w:p>
        </w:tc>
        <w:tc>
          <w:tcPr>
            <w:tcW w:w="260" w:type="dxa"/>
            <w:vAlign w:val="bottom"/>
          </w:tcPr>
          <w:p>
            <w:pPr>
              <w:jc w:val="right"/>
              <w:ind w:right="47"/>
              <w:spacing w:after="0"/>
              <w:rPr>
                <w:sz w:val="20"/>
                <w:szCs w:val="20"/>
                <w:color w:val="auto"/>
              </w:rPr>
            </w:pPr>
            <w:r>
              <w:rPr>
                <w:rFonts w:ascii="Arial" w:cs="Arial" w:eastAsia="Arial" w:hAnsi="Arial"/>
                <w:sz w:val="11"/>
                <w:szCs w:val="11"/>
                <w:b w:val="1"/>
                <w:bCs w:val="1"/>
                <w:color w:val="auto"/>
                <w:w w:val="88"/>
              </w:rPr>
              <w:t>(1)</w:t>
            </w:r>
          </w:p>
        </w:tc>
        <w:tc>
          <w:tcPr>
            <w:tcW w:w="2140" w:type="dxa"/>
            <w:vAlign w:val="bottom"/>
            <w:gridSpan w:val="2"/>
          </w:tcPr>
          <w:p>
            <w:pPr>
              <w:jc w:val="center"/>
              <w:ind w:right="200"/>
              <w:spacing w:after="0" w:line="169" w:lineRule="exact"/>
              <w:rPr>
                <w:sz w:val="20"/>
                <w:szCs w:val="20"/>
                <w:color w:val="auto"/>
              </w:rPr>
            </w:pPr>
            <w:r>
              <w:rPr>
                <w:rFonts w:ascii="Arial" w:cs="Arial" w:eastAsia="Arial" w:hAnsi="Arial"/>
                <w:sz w:val="16"/>
                <w:szCs w:val="16"/>
                <w:b w:val="1"/>
                <w:bCs w:val="1"/>
                <w:color w:val="auto"/>
              </w:rPr>
              <w:t>At Prior Period Effective</w:t>
            </w:r>
          </w:p>
        </w:tc>
        <w:tc>
          <w:tcPr>
            <w:tcW w:w="20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GAAP Amounts as</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17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right="200"/>
              <w:spacing w:after="0" w:line="216" w:lineRule="exact"/>
              <w:rPr>
                <w:sz w:val="20"/>
                <w:szCs w:val="20"/>
                <w:color w:val="auto"/>
              </w:rPr>
            </w:pPr>
            <w:r>
              <w:rPr>
                <w:rFonts w:ascii="Arial" w:cs="Arial" w:eastAsia="Arial" w:hAnsi="Arial"/>
                <w:sz w:val="16"/>
                <w:szCs w:val="16"/>
                <w:b w:val="1"/>
                <w:bCs w:val="1"/>
                <w:color w:val="auto"/>
                <w:w w:val="95"/>
              </w:rPr>
              <w:t>Rates</w:t>
            </w:r>
            <w:r>
              <w:rPr>
                <w:rFonts w:ascii="Arial" w:cs="Arial" w:eastAsia="Arial" w:hAnsi="Arial"/>
                <w:sz w:val="21"/>
                <w:szCs w:val="21"/>
                <w:b w:val="1"/>
                <w:bCs w:val="1"/>
                <w:color w:val="auto"/>
                <w:w w:val="95"/>
                <w:vertAlign w:val="superscript"/>
              </w:rPr>
              <w:t>(2)</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20" w:type="dxa"/>
            <w:vAlign w:val="bottom"/>
            <w:gridSpan w:val="4"/>
          </w:tcPr>
          <w:p>
            <w:pPr>
              <w:jc w:val="center"/>
              <w:ind w:right="20"/>
              <w:spacing w:after="0"/>
              <w:rPr>
                <w:sz w:val="20"/>
                <w:szCs w:val="20"/>
                <w:color w:val="auto"/>
              </w:rPr>
            </w:pPr>
            <w:r>
              <w:rPr>
                <w:rFonts w:ascii="Arial" w:cs="Arial" w:eastAsia="Arial" w:hAnsi="Arial"/>
                <w:sz w:val="16"/>
                <w:szCs w:val="16"/>
                <w:color w:val="auto"/>
              </w:rPr>
              <w:t>(in US $ millions)</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Revenues</w:t>
            </w:r>
          </w:p>
        </w:tc>
        <w:tc>
          <w:tcPr>
            <w:tcW w:w="200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10,495</w:t>
            </w:r>
          </w:p>
        </w:tc>
        <w:tc>
          <w:tcPr>
            <w:tcW w:w="1980" w:type="dxa"/>
            <w:vAlign w:val="bottom"/>
            <w:gridSpan w:val="2"/>
            <w:shd w:val="clear" w:color="auto" w:fill="F7F7F7"/>
          </w:tcPr>
          <w:p>
            <w:pPr>
              <w:jc w:val="right"/>
              <w:spacing w:after="0"/>
              <w:rPr>
                <w:sz w:val="20"/>
                <w:szCs w:val="20"/>
                <w:color w:val="auto"/>
              </w:rPr>
            </w:pPr>
            <w:r>
              <w:rPr>
                <w:rFonts w:ascii="Arial" w:cs="Arial" w:eastAsia="Arial" w:hAnsi="Arial"/>
                <w:sz w:val="16"/>
                <w:szCs w:val="16"/>
                <w:color w:val="auto"/>
              </w:rPr>
              <w:t>(66)</w:t>
            </w:r>
          </w:p>
        </w:tc>
        <w:tc>
          <w:tcPr>
            <w:tcW w:w="19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10,429</w:t>
            </w:r>
          </w:p>
        </w:tc>
        <w:tc>
          <w:tcPr>
            <w:tcW w:w="180" w:type="dxa"/>
            <w:vAlign w:val="bottom"/>
            <w:shd w:val="clear" w:color="auto" w:fill="F7F7F7"/>
          </w:tcPr>
          <w:p>
            <w:pPr>
              <w:spacing w:after="0"/>
              <w:rPr>
                <w:sz w:val="20"/>
                <w:szCs w:val="20"/>
                <w:color w:val="auto"/>
              </w:rPr>
            </w:pPr>
          </w:p>
        </w:tc>
        <w:tc>
          <w:tcPr>
            <w:tcW w:w="20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28"/>
        </w:trPr>
        <w:tc>
          <w:tcPr>
            <w:tcW w:w="3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0" w:type="dxa"/>
            <w:vAlign w:val="bottom"/>
          </w:tcPr>
          <w:p>
            <w:pPr>
              <w:jc w:val="right"/>
              <w:spacing w:after="0"/>
              <w:rPr>
                <w:sz w:val="20"/>
                <w:szCs w:val="20"/>
                <w:color w:val="auto"/>
              </w:rPr>
            </w:pPr>
            <w:r>
              <w:rPr>
                <w:rFonts w:ascii="Arial" w:cs="Arial" w:eastAsia="Arial" w:hAnsi="Arial"/>
                <w:sz w:val="16"/>
                <w:szCs w:val="16"/>
                <w:color w:val="auto"/>
              </w:rPr>
              <w:t>(5,460)</w:t>
            </w:r>
          </w:p>
        </w:tc>
        <w:tc>
          <w:tcPr>
            <w:tcW w:w="1980" w:type="dxa"/>
            <w:vAlign w:val="bottom"/>
            <w:gridSpan w:val="2"/>
          </w:tcPr>
          <w:p>
            <w:pPr>
              <w:jc w:val="right"/>
              <w:ind w:right="27"/>
              <w:spacing w:after="0"/>
              <w:rPr>
                <w:sz w:val="20"/>
                <w:szCs w:val="20"/>
                <w:color w:val="auto"/>
              </w:rPr>
            </w:pPr>
            <w:r>
              <w:rPr>
                <w:rFonts w:ascii="Arial" w:cs="Arial" w:eastAsia="Arial" w:hAnsi="Arial"/>
                <w:sz w:val="16"/>
                <w:szCs w:val="16"/>
                <w:color w:val="auto"/>
              </w:rPr>
              <w:t>23</w:t>
            </w:r>
          </w:p>
        </w:tc>
        <w:tc>
          <w:tcPr>
            <w:tcW w:w="1960" w:type="dxa"/>
            <w:vAlign w:val="bottom"/>
          </w:tcPr>
          <w:p>
            <w:pPr>
              <w:jc w:val="right"/>
              <w:spacing w:after="0"/>
              <w:rPr>
                <w:sz w:val="20"/>
                <w:szCs w:val="20"/>
                <w:color w:val="auto"/>
              </w:rPr>
            </w:pPr>
            <w:r>
              <w:rPr>
                <w:rFonts w:ascii="Arial" w:cs="Arial" w:eastAsia="Arial" w:hAnsi="Arial"/>
                <w:sz w:val="16"/>
                <w:szCs w:val="16"/>
                <w:color w:val="auto"/>
              </w:rPr>
              <w:t>(5,437)</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30"/>
        </w:trPr>
        <w:tc>
          <w:tcPr>
            <w:tcW w:w="3060" w:type="dxa"/>
            <w:vAlign w:val="bottom"/>
            <w:shd w:val="clear" w:color="auto" w:fill="F7F7F7"/>
          </w:tcPr>
          <w:p>
            <w:pPr>
              <w:ind w:left="20"/>
              <w:spacing w:after="0"/>
              <w:rPr>
                <w:sz w:val="20"/>
                <w:szCs w:val="20"/>
                <w:color w:val="auto"/>
              </w:rPr>
            </w:pPr>
            <w:r>
              <w:rPr>
                <w:rFonts w:ascii="Arial" w:cs="Arial" w:eastAsia="Arial" w:hAnsi="Arial"/>
                <w:sz w:val="16"/>
                <w:szCs w:val="16"/>
                <w:color w:val="auto"/>
              </w:rPr>
              <w:t>Operating expenses</w:t>
            </w: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(3,597)</w:t>
            </w:r>
          </w:p>
        </w:tc>
        <w:tc>
          <w:tcPr>
            <w:tcW w:w="1720" w:type="dxa"/>
            <w:vAlign w:val="bottom"/>
            <w:tcBorders>
              <w:bottom w:val="single" w:sz="8" w:color="auto"/>
            </w:tcBorders>
            <w:shd w:val="clear" w:color="auto" w:fill="F7F7F7"/>
          </w:tcPr>
          <w:p>
            <w:pPr>
              <w:spacing w:after="0"/>
              <w:rPr>
                <w:sz w:val="19"/>
                <w:szCs w:val="19"/>
                <w:color w:val="auto"/>
              </w:rPr>
            </w:pPr>
          </w:p>
        </w:tc>
        <w:tc>
          <w:tcPr>
            <w:tcW w:w="260" w:type="dxa"/>
            <w:vAlign w:val="bottom"/>
            <w:tcBorders>
              <w:bottom w:val="single" w:sz="8" w:color="auto"/>
            </w:tcBorders>
            <w:shd w:val="clear" w:color="auto" w:fill="F7F7F7"/>
          </w:tcPr>
          <w:p>
            <w:pPr>
              <w:jc w:val="right"/>
              <w:ind w:right="27"/>
              <w:spacing w:after="0"/>
              <w:rPr>
                <w:sz w:val="20"/>
                <w:szCs w:val="20"/>
                <w:color w:val="auto"/>
              </w:rPr>
            </w:pPr>
            <w:r>
              <w:rPr>
                <w:rFonts w:ascii="Arial" w:cs="Arial" w:eastAsia="Arial" w:hAnsi="Arial"/>
                <w:sz w:val="16"/>
                <w:szCs w:val="16"/>
                <w:color w:val="auto"/>
              </w:rPr>
              <w:t>9</w:t>
            </w:r>
          </w:p>
        </w:tc>
        <w:tc>
          <w:tcPr>
            <w:tcW w:w="1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(3,588)</w:t>
            </w:r>
          </w:p>
        </w:tc>
        <w:tc>
          <w:tcPr>
            <w:tcW w:w="180" w:type="dxa"/>
            <w:vAlign w:val="bottom"/>
            <w:shd w:val="clear" w:color="auto" w:fill="F7F7F7"/>
          </w:tcPr>
          <w:p>
            <w:pPr>
              <w:spacing w:after="0"/>
              <w:rPr>
                <w:sz w:val="19"/>
                <w:szCs w:val="19"/>
                <w:color w:val="auto"/>
              </w:rPr>
            </w:pPr>
          </w:p>
        </w:tc>
        <w:tc>
          <w:tcPr>
            <w:tcW w:w="2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22"/>
        </w:trPr>
        <w:tc>
          <w:tcPr>
            <w:tcW w:w="3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960" w:type="dxa"/>
            <w:vAlign w:val="bottom"/>
          </w:tcPr>
          <w:p>
            <w:pPr>
              <w:jc w:val="right"/>
              <w:spacing w:after="0"/>
              <w:rPr>
                <w:sz w:val="20"/>
                <w:szCs w:val="20"/>
                <w:color w:val="auto"/>
              </w:rPr>
            </w:pPr>
            <w:r>
              <w:rPr>
                <w:rFonts w:ascii="Arial" w:cs="Arial" w:eastAsia="Arial" w:hAnsi="Arial"/>
                <w:sz w:val="16"/>
                <w:szCs w:val="16"/>
                <w:color w:val="auto"/>
              </w:rPr>
              <w:t>1,404</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20" w:firstLine="8"/>
        <w:spacing w:after="0" w:line="316"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Represents the increase or decrease in GAAP amounts reported resulting from using the comparative period's effective foreign exchange rates. The exchange rate effect is primarily driven by fluctuations in EUR, AUD, CAD, and GBP foreign exchange rates.</w:t>
      </w:r>
    </w:p>
    <w:p>
      <w:pPr>
        <w:spacing w:after="0" w:line="6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the outcome that would have resulted if the comparative period's effective foreign exchange rates are applied to the current reporting period.</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effect of foreign exchange rates on our condensed consolidated statements of operations and comprehensive income disclosure is a supplement to our condensed consolidated financial statements, which are prepared and presented in accordance with U.S. GAAP. We have provided the above non-GAAP disclosure as we believe it presents a clear comparison of our period to period operating results by removing the impact of fluctuations in foreign exchange rates and to assist investors in understanding our financial and operating performance. Non-GAAP financial measures are not recognized measures for financial statement presentation under U.S. GAAP, do not have standardized meanings and may not be comparable to similar measures presented by other public companies. Such non-GAAP financial measures should be considered as a supplement to, and not as a substitute for, or superior to, the corresponding measures calculated in accordance with U.S. GAAP.</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effects on revenues, cost of revenues, operating expenses and income from operations of a 10% strengthening of all foreign currencies the Company transacts in versus the USD without considering the impact of the Company's hedging activities and without factoring in any potential changes in demand for the Company's solutions as a result of fluctuations in exchange rates: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Nine months ended September 30,</w:t>
            </w:r>
          </w:p>
        </w:tc>
        <w:tc>
          <w:tcPr>
            <w:tcW w:w="1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23"/>
        </w:trPr>
        <w:tc>
          <w:tcPr>
            <w:tcW w:w="30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c>
          <w:tcPr>
            <w:tcW w:w="1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320" w:type="dxa"/>
            <w:vAlign w:val="bottom"/>
            <w:tcBorders>
              <w:bottom w:val="single" w:sz="8" w:color="auto"/>
            </w:tcBorders>
          </w:tcPr>
          <w:p>
            <w:pPr>
              <w:spacing w:after="0"/>
              <w:rPr>
                <w:sz w:val="19"/>
                <w:szCs w:val="19"/>
                <w:color w:val="auto"/>
              </w:rPr>
            </w:pPr>
          </w:p>
        </w:tc>
      </w:tr>
      <w:tr>
        <w:trPr>
          <w:trHeight w:val="169"/>
        </w:trPr>
        <w:tc>
          <w:tcPr>
            <w:tcW w:w="304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GAAP Amounts</w:t>
            </w:r>
          </w:p>
        </w:tc>
        <w:tc>
          <w:tcPr>
            <w:tcW w:w="13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Exchange Rate</w:t>
            </w:r>
          </w:p>
        </w:tc>
        <w:tc>
          <w:tcPr>
            <w:tcW w:w="1500" w:type="dxa"/>
            <w:vAlign w:val="bottom"/>
            <w:gridSpan w:val="2"/>
          </w:tcPr>
          <w:p>
            <w:pPr>
              <w:jc w:val="right"/>
              <w:ind w:right="220"/>
              <w:spacing w:after="0" w:line="169" w:lineRule="exact"/>
              <w:rPr>
                <w:sz w:val="20"/>
                <w:szCs w:val="20"/>
                <w:color w:val="auto"/>
              </w:rPr>
            </w:pPr>
            <w:r>
              <w:rPr>
                <w:rFonts w:ascii="Arial" w:cs="Arial" w:eastAsia="Arial" w:hAnsi="Arial"/>
                <w:sz w:val="16"/>
                <w:szCs w:val="16"/>
                <w:b w:val="1"/>
                <w:bCs w:val="1"/>
                <w:color w:val="auto"/>
              </w:rPr>
              <w:t>At 10% Stronger</w:t>
            </w:r>
          </w:p>
        </w:tc>
        <w:tc>
          <w:tcPr>
            <w:tcW w:w="13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GAAP Amounts</w:t>
            </w:r>
          </w:p>
        </w:tc>
        <w:tc>
          <w:tcPr>
            <w:tcW w:w="13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Exchange Rate</w:t>
            </w:r>
          </w:p>
        </w:tc>
        <w:tc>
          <w:tcPr>
            <w:tcW w:w="13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At 10% Stronger</w:t>
            </w:r>
          </w:p>
        </w:tc>
      </w:tr>
      <w:tr>
        <w:trPr>
          <w:trHeight w:val="216"/>
        </w:trPr>
        <w:tc>
          <w:tcPr>
            <w:tcW w:w="3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As Reported</w:t>
            </w: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1"/>
              </w:rPr>
              <w:t>Effect</w:t>
            </w:r>
            <w:r>
              <w:rPr>
                <w:rFonts w:ascii="Arial" w:cs="Arial" w:eastAsia="Arial" w:hAnsi="Arial"/>
                <w:sz w:val="21"/>
                <w:szCs w:val="21"/>
                <w:b w:val="1"/>
                <w:bCs w:val="1"/>
                <w:color w:val="auto"/>
                <w:w w:val="91"/>
                <w:vertAlign w:val="superscript"/>
              </w:rPr>
              <w:t>(1)(2)</w:t>
            </w:r>
          </w:p>
        </w:tc>
        <w:tc>
          <w:tcPr>
            <w:tcW w:w="1500" w:type="dxa"/>
            <w:vAlign w:val="bottom"/>
            <w:tcBorders>
              <w:bottom w:val="single" w:sz="8" w:color="auto"/>
            </w:tcBorders>
            <w:gridSpan w:val="2"/>
          </w:tcPr>
          <w:p>
            <w:pPr>
              <w:ind w:left="380"/>
              <w:spacing w:after="0" w:line="216" w:lineRule="exact"/>
              <w:rPr>
                <w:sz w:val="20"/>
                <w:szCs w:val="20"/>
                <w:color w:val="auto"/>
              </w:rPr>
            </w:pPr>
            <w:r>
              <w:rPr>
                <w:rFonts w:ascii="Arial" w:cs="Arial" w:eastAsia="Arial" w:hAnsi="Arial"/>
                <w:sz w:val="16"/>
                <w:szCs w:val="16"/>
                <w:b w:val="1"/>
                <w:bCs w:val="1"/>
                <w:color w:val="auto"/>
              </w:rPr>
              <w:t>Rates</w:t>
            </w:r>
            <w:r>
              <w:rPr>
                <w:rFonts w:ascii="Arial" w:cs="Arial" w:eastAsia="Arial" w:hAnsi="Arial"/>
                <w:sz w:val="21"/>
                <w:szCs w:val="21"/>
                <w:b w:val="1"/>
                <w:bCs w:val="1"/>
                <w:color w:val="auto"/>
                <w:vertAlign w:val="superscript"/>
              </w:rPr>
              <w:t>(3)</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As Reported</w:t>
            </w: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Effect</w:t>
            </w:r>
            <w:r>
              <w:rPr>
                <w:rFonts w:ascii="Arial" w:cs="Arial" w:eastAsia="Arial" w:hAnsi="Arial"/>
                <w:sz w:val="21"/>
                <w:szCs w:val="21"/>
                <w:b w:val="1"/>
                <w:bCs w:val="1"/>
                <w:color w:val="auto"/>
                <w:w w:val="88"/>
                <w:vertAlign w:val="superscript"/>
              </w:rPr>
              <w:t>(1)(2)</w:t>
            </w:r>
          </w:p>
        </w:tc>
        <w:tc>
          <w:tcPr>
            <w:tcW w:w="132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Rates</w:t>
            </w:r>
            <w:r>
              <w:rPr>
                <w:rFonts w:ascii="Arial" w:cs="Arial" w:eastAsia="Arial" w:hAnsi="Arial"/>
                <w:sz w:val="21"/>
                <w:szCs w:val="21"/>
                <w:b w:val="1"/>
                <w:bCs w:val="1"/>
                <w:color w:val="auto"/>
                <w:vertAlign w:val="superscript"/>
              </w:rPr>
              <w:t>(3)</w:t>
            </w:r>
          </w:p>
        </w:tc>
      </w:tr>
      <w:tr>
        <w:trPr>
          <w:trHeight w:val="222"/>
        </w:trPr>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60" w:type="dxa"/>
            <w:vAlign w:val="bottom"/>
            <w:gridSpan w:val="3"/>
          </w:tcPr>
          <w:p>
            <w:pPr>
              <w:jc w:val="right"/>
              <w:ind w:right="739"/>
              <w:spacing w:after="0"/>
              <w:rPr>
                <w:sz w:val="20"/>
                <w:szCs w:val="20"/>
                <w:color w:val="auto"/>
              </w:rPr>
            </w:pPr>
            <w:r>
              <w:rPr>
                <w:rFonts w:ascii="Arial" w:cs="Arial" w:eastAsia="Arial" w:hAnsi="Arial"/>
                <w:sz w:val="16"/>
                <w:szCs w:val="16"/>
                <w:color w:val="auto"/>
              </w:rPr>
              <w:t>(in US $ millions)</w:t>
            </w: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3040" w:type="dxa"/>
            <w:vAlign w:val="bottom"/>
            <w:shd w:val="clear" w:color="auto" w:fill="F7F7F7"/>
          </w:tcPr>
          <w:p>
            <w:pPr>
              <w:ind w:left="20"/>
              <w:spacing w:after="0"/>
              <w:rPr>
                <w:sz w:val="20"/>
                <w:szCs w:val="20"/>
                <w:color w:val="auto"/>
              </w:rPr>
            </w:pPr>
            <w:r>
              <w:rPr>
                <w:rFonts w:ascii="Arial" w:cs="Arial" w:eastAsia="Arial" w:hAnsi="Arial"/>
                <w:sz w:val="16"/>
                <w:szCs w:val="16"/>
                <w:color w:val="auto"/>
              </w:rPr>
              <w:t>Revenues</w:t>
            </w:r>
          </w:p>
        </w:tc>
        <w:tc>
          <w:tcPr>
            <w:tcW w:w="134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10,495</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254</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10,749</w:t>
            </w:r>
          </w:p>
        </w:tc>
        <w:tc>
          <w:tcPr>
            <w:tcW w:w="180" w:type="dxa"/>
            <w:vAlign w:val="bottom"/>
            <w:shd w:val="clear" w:color="auto" w:fill="F7F7F7"/>
          </w:tcPr>
          <w:p>
            <w:pPr>
              <w:spacing w:after="0"/>
              <w:rPr>
                <w:sz w:val="20"/>
                <w:szCs w:val="20"/>
                <w:color w:val="auto"/>
              </w:rPr>
            </w:pPr>
          </w:p>
        </w:tc>
        <w:tc>
          <w:tcPr>
            <w:tcW w:w="1360" w:type="dxa"/>
            <w:vAlign w:val="bottom"/>
            <w:shd w:val="clear" w:color="auto" w:fill="F7F7F7"/>
          </w:tcPr>
          <w:p>
            <w:pPr>
              <w:jc w:val="right"/>
              <w:ind w:right="19"/>
              <w:spacing w:after="0"/>
              <w:rPr>
                <w:sz w:val="20"/>
                <w:szCs w:val="20"/>
                <w:color w:val="auto"/>
              </w:rPr>
            </w:pPr>
            <w:r>
              <w:rPr>
                <w:rFonts w:ascii="Arial" w:cs="Arial" w:eastAsia="Arial" w:hAnsi="Arial"/>
                <w:sz w:val="16"/>
                <w:szCs w:val="16"/>
                <w:color w:val="auto"/>
              </w:rPr>
              <w:t>7,884</w:t>
            </w:r>
          </w:p>
        </w:tc>
        <w:tc>
          <w:tcPr>
            <w:tcW w:w="13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181</w:t>
            </w:r>
          </w:p>
        </w:tc>
        <w:tc>
          <w:tcPr>
            <w:tcW w:w="13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8,065</w:t>
            </w:r>
          </w:p>
        </w:tc>
      </w:tr>
      <w:tr>
        <w:trPr>
          <w:trHeight w:val="228"/>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340" w:type="dxa"/>
            <w:vAlign w:val="bottom"/>
          </w:tcPr>
          <w:p>
            <w:pPr>
              <w:jc w:val="right"/>
              <w:spacing w:after="0"/>
              <w:rPr>
                <w:sz w:val="20"/>
                <w:szCs w:val="20"/>
                <w:color w:val="auto"/>
              </w:rPr>
            </w:pPr>
            <w:r>
              <w:rPr>
                <w:rFonts w:ascii="Arial" w:cs="Arial" w:eastAsia="Arial" w:hAnsi="Arial"/>
                <w:sz w:val="16"/>
                <w:szCs w:val="16"/>
                <w:color w:val="auto"/>
              </w:rPr>
              <w:t>(5,460)</w:t>
            </w: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c>
          <w:tcPr>
            <w:tcW w:w="1320" w:type="dxa"/>
            <w:vAlign w:val="bottom"/>
          </w:tcPr>
          <w:p>
            <w:pPr>
              <w:jc w:val="right"/>
              <w:spacing w:after="0"/>
              <w:rPr>
                <w:sz w:val="20"/>
                <w:szCs w:val="20"/>
                <w:color w:val="auto"/>
              </w:rPr>
            </w:pPr>
            <w:r>
              <w:rPr>
                <w:rFonts w:ascii="Arial" w:cs="Arial" w:eastAsia="Arial" w:hAnsi="Arial"/>
                <w:sz w:val="16"/>
                <w:szCs w:val="16"/>
                <w:color w:val="auto"/>
              </w:rPr>
              <w:t>(5,573)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(4,022)</w:t>
            </w: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1320" w:type="dxa"/>
            <w:vAlign w:val="bottom"/>
          </w:tcPr>
          <w:p>
            <w:pPr>
              <w:jc w:val="right"/>
              <w:spacing w:after="0"/>
              <w:rPr>
                <w:sz w:val="20"/>
                <w:szCs w:val="20"/>
                <w:color w:val="auto"/>
              </w:rPr>
            </w:pPr>
            <w:r>
              <w:rPr>
                <w:rFonts w:ascii="Arial" w:cs="Arial" w:eastAsia="Arial" w:hAnsi="Arial"/>
                <w:sz w:val="16"/>
                <w:szCs w:val="16"/>
                <w:color w:val="auto"/>
              </w:rPr>
              <w:t>(4,105)</w:t>
            </w:r>
          </w:p>
        </w:tc>
      </w:tr>
      <w:tr>
        <w:trPr>
          <w:trHeight w:val="230"/>
        </w:trPr>
        <w:tc>
          <w:tcPr>
            <w:tcW w:w="3040" w:type="dxa"/>
            <w:vAlign w:val="bottom"/>
            <w:shd w:val="clear" w:color="auto" w:fill="F7F7F7"/>
          </w:tcPr>
          <w:p>
            <w:pPr>
              <w:ind w:left="20"/>
              <w:spacing w:after="0"/>
              <w:rPr>
                <w:sz w:val="20"/>
                <w:szCs w:val="20"/>
                <w:color w:val="auto"/>
              </w:rPr>
            </w:pPr>
            <w:r>
              <w:rPr>
                <w:rFonts w:ascii="Arial" w:cs="Arial" w:eastAsia="Arial" w:hAnsi="Arial"/>
                <w:sz w:val="16"/>
                <w:szCs w:val="16"/>
                <w:color w:val="auto"/>
              </w:rPr>
              <w:t>Operating expenses</w:t>
            </w:r>
          </w:p>
        </w:tc>
        <w:tc>
          <w:tcPr>
            <w:tcW w:w="13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(3,597)</w:t>
            </w: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(86)</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(3,683)</w:t>
            </w:r>
          </w:p>
        </w:tc>
        <w:tc>
          <w:tcPr>
            <w:tcW w:w="180" w:type="dxa"/>
            <w:vAlign w:val="bottom"/>
            <w:shd w:val="clear" w:color="auto" w:fill="F7F7F7"/>
          </w:tcPr>
          <w:p>
            <w:pPr>
              <w:spacing w:after="0"/>
              <w:rPr>
                <w:sz w:val="19"/>
                <w:szCs w:val="19"/>
                <w:color w:val="auto"/>
              </w:rPr>
            </w:pPr>
          </w:p>
        </w:tc>
        <w:tc>
          <w:tcPr>
            <w:tcW w:w="13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(3,025)</w:t>
            </w:r>
          </w:p>
        </w:tc>
        <w:tc>
          <w:tcPr>
            <w:tcW w:w="13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(83)</w:t>
            </w:r>
          </w:p>
        </w:tc>
        <w:tc>
          <w:tcPr>
            <w:tcW w:w="13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(3,108)</w:t>
            </w:r>
          </w:p>
        </w:tc>
      </w:tr>
      <w:tr>
        <w:trPr>
          <w:trHeight w:val="222"/>
        </w:trPr>
        <w:tc>
          <w:tcPr>
            <w:tcW w:w="30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c>
          <w:tcPr>
            <w:tcW w:w="1320" w:type="dxa"/>
            <w:vAlign w:val="bottom"/>
          </w:tcPr>
          <w:p>
            <w:pPr>
              <w:jc w:val="right"/>
              <w:spacing w:after="0"/>
              <w:rPr>
                <w:sz w:val="20"/>
                <w:szCs w:val="20"/>
                <w:color w:val="auto"/>
              </w:rPr>
            </w:pPr>
            <w:r>
              <w:rPr>
                <w:rFonts w:ascii="Arial" w:cs="Arial" w:eastAsia="Arial" w:hAnsi="Arial"/>
                <w:sz w:val="16"/>
                <w:szCs w:val="16"/>
                <w:color w:val="auto"/>
              </w:rPr>
              <w:t>1,493</w:t>
            </w: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837</w:t>
            </w: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Pr>
          <w:p>
            <w:pPr>
              <w:jc w:val="right"/>
              <w:spacing w:after="0"/>
              <w:rPr>
                <w:sz w:val="20"/>
                <w:szCs w:val="20"/>
                <w:color w:val="auto"/>
              </w:rPr>
            </w:pPr>
            <w:r>
              <w:rPr>
                <w:rFonts w:ascii="Arial" w:cs="Arial" w:eastAsia="Arial" w:hAnsi="Arial"/>
                <w:sz w:val="16"/>
                <w:szCs w:val="16"/>
                <w:color w:val="auto"/>
              </w:rPr>
              <w:t>852</w:t>
            </w:r>
          </w:p>
        </w:tc>
      </w:tr>
    </w:tbl>
    <w:p>
      <w:pPr>
        <w:spacing w:after="0" w:line="263" w:lineRule="exact"/>
        <w:rPr>
          <w:sz w:val="20"/>
          <w:szCs w:val="20"/>
          <w:color w:val="auto"/>
        </w:rPr>
      </w:pPr>
    </w:p>
    <w:p>
      <w:pPr>
        <w:ind w:firstLine="8"/>
        <w:spacing w:after="0" w:line="305" w:lineRule="auto"/>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 10% weakening of the foreign currencies versus the USD would have an equal and opposite impact on the Company's revenues, cost of revenues, operating expenses and income (loss) from operations as presented in the table.</w:t>
      </w:r>
    </w:p>
    <w:p>
      <w:pPr>
        <w:spacing w:after="0" w:line="76"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Represents the increase or decrease in GAAP amounts reported resulting from a 10% strengthening in foreign exchange rates relative to the USD.</w:t>
      </w:r>
    </w:p>
    <w:p>
      <w:pPr>
        <w:spacing w:after="0" w:line="163" w:lineRule="exact"/>
        <w:rPr>
          <w:rFonts w:ascii="Arial" w:cs="Arial" w:eastAsia="Arial" w:hAnsi="Arial"/>
          <w:sz w:val="9"/>
          <w:szCs w:val="9"/>
          <w:color w:val="auto"/>
        </w:rPr>
      </w:pPr>
    </w:p>
    <w:p>
      <w:pPr>
        <w:ind w:firstLine="8"/>
        <w:spacing w:after="0" w:line="316"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Represents the outcome that would have resulted had the foreign exchange rates relative to the USD in those periods been 10% stronger than they actually were, excluding the impact of our hedging program and without factoring in any potential changes in demand for the Company's solutions as a result of changes in exchange rates.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 Risk</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hold equity and other investments that are subject to market-related risks that could substantially reduce or increase the fair value of our holdings. As of September 30, 2026, we had equity and other investments in public and private companies and our equity method investment totaled $5.4 billion. Our equity and other investments with readily determinable fair values, representing $2.6 billion of our investments as of September 30, 2026, are recorded at fair value, which is subject to market price volatility. Our equity investments in private companies, representing $ 1.7 billion of our investments as of September 30, 2026,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Our equity method investment in Flexport, representing $538 million of our investments as of September 30, 2026, is subject to market-related risks based on our share of income or loss, including amortization of the basis difference, from this investment which may cause volatility to our earnings. Our debt investments in convertible notes of private companies are recorded at fair value representing $599 million of our investments as of September 30, 2026, which are impacted by the underlying entities' valuations and interest rates. Our investment option derivative to purchase Series B common shares in Klaviyo, representing $10 million of our investments as of September 30, 2026, is impacted by market price volatility and interest rates.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marketable securities greater than one year, and less than 3 years, representing $524 million of our investments as of September 30, 2026, are recorded at carrying value and any changes in the fair value due to the interest rate are not recorded until the investment is sold as they are classified as "held to maturity".</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from these changes may fluctuate from period to period and may cause volatility to our earnings as well as impact comparability of our results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cash, cash equivalents and marketable securities in our cash management program totaling $4.7 billion as of September 30, 2026. The cash and cash equivalents are held for operations and working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 purposes. Our investments within cash, cash equivalents and marketable securities are made for capital preservation purposes. We do not enter into these types of investments for trading or speculative purposes.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equivalents and our portfolio of marketable securities are subject to market risk due to changes in interest rates. Fixed rate securities may have their market value adversely affected due to a rise in interest rates and macroeconomic conditions. Our future investment income may fall short of our expectations due to changes in interest rates or we may suffer losses in principal if we are forced to sell securities that decline in market value due to changes in interest rates. However, because we classify our debt securities as "held to maturity", no gains or losses are recognized due to changes in interest rates unless such securities are sold prior to maturity or declines in fair value are determined to be other than temporary.</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holds convertible notes in private companies. These investments are classified as available-for-sale debt securities, for which we have elected to account for under the fair value option. These investments are carried at fair value at each balance sheet date and any movements in the fair value are recognized in "Net income" in the condensed consolidated statements of operations and comprehensive income. The underlying entity's valuation includes inputs such as interest rates which impact the market value of the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inflation risk that could have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 Furthermore, our merchants are also subject to risks associated with inflationary pressures that could impact their business and financial condition. These pressures could subsequently result in impacts to our GMV and further affect our business, particularly if economic growth has slowed across many of the regions in which we operate.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control systems, no matter how well designed, have inherent limitations. Accordingly, even disclosure controls and procedures and internal controls over financial reporting determined to be effective can only provide reasonable assurance of achieving their control objectives with respect to financial statement preparation and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of the Company, under the supervision of the Chief Executive Officer and Chief Financial Officer, is responsible for establishing and maintaining disclosure controls and procedures (as defined by the SEC) in Rule 13a-15(e) under the Exchange Act for the Company to ensure that material information relating to the Company, including its consolidated subsidiaries, that is required to be made known to the Chief Executive Officer and Chief Financial Officer by others within the Company and disclosed by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in reports filed or submitted by it under the Exchange Act is (i) recorded, processed, summarized and reported within the time periods specified in the SEC's rules and forms; and (ii) accumulated and communicated to the Company's management, including its Chief Executive Officer and Chief Financial Officer, to allow timely decisions regarding required disclosure.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including the Chief Executive Officer and Chief Financial Officer, have evaluated the effectiveness of the Company's disclosure controls and procedures and have concluded that the Company's disclosure controls and procedures were effective as of September 30, 2026.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identified in connection with the evaluation required by Exchange Act Rules 13a-15(d) or 15d-15(d)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set forth under "Note 9 - Contingencies — Litigation and Loss Contingencies" to the condensed consolidated financial statements included in Part I — Item 1 of this Quarterly Report on Form 10-Q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risks and uncertainties that may affect our business, results of operations and financial condition including, not limited to, those described in Part I — Item 1A "Risk Factors" in the Company's 2025 Form 10-K. Current global economic and geopolitical events and conditions may amplify many of these risks. These risks are not the only risks that may affect us. Additional risks that we are not aware of or do not believe are material at the time of this filing may also become important factors that adversely affect our business. There have been no material changes to the Company’s risk factors from those disclosed in the 2025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for the three months ended September 30, 2026 was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700" w:type="dxa"/>
            <w:vAlign w:val="bottom"/>
          </w:tcPr>
          <w:p>
            <w:pPr>
              <w:jc w:val="center"/>
              <w:ind w:left="85"/>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243"/>
        </w:trPr>
        <w:tc>
          <w:tcPr>
            <w:tcW w:w="6060" w:type="dxa"/>
            <w:vAlign w:val="bottom"/>
          </w:tcPr>
          <w:p>
            <w:pPr>
              <w:jc w:val="center"/>
              <w:ind w:left="4299"/>
              <w:spacing w:after="0"/>
              <w:rPr>
                <w:sz w:val="20"/>
                <w:szCs w:val="20"/>
                <w:color w:val="auto"/>
              </w:rPr>
            </w:pPr>
            <w:r>
              <w:rPr>
                <w:rFonts w:ascii="Arial" w:cs="Arial" w:eastAsia="Arial" w:hAnsi="Arial"/>
                <w:sz w:val="16"/>
                <w:szCs w:val="16"/>
                <w:b w:val="1"/>
                <w:bCs w:val="1"/>
                <w:color w:val="auto"/>
              </w:rPr>
              <w:t>Total Number of</w:t>
            </w:r>
          </w:p>
        </w:tc>
        <w:tc>
          <w:tcPr>
            <w:tcW w:w="1720" w:type="dxa"/>
            <w:vAlign w:val="bottom"/>
            <w:gridSpan w:val="2"/>
          </w:tcPr>
          <w:p>
            <w:pPr>
              <w:jc w:val="right"/>
              <w:ind w:right="93"/>
              <w:spacing w:after="0"/>
              <w:rPr>
                <w:sz w:val="20"/>
                <w:szCs w:val="20"/>
                <w:color w:val="auto"/>
              </w:rPr>
            </w:pPr>
            <w:r>
              <w:rPr>
                <w:rFonts w:ascii="Arial" w:cs="Arial" w:eastAsia="Arial" w:hAnsi="Arial"/>
                <w:sz w:val="16"/>
                <w:szCs w:val="16"/>
                <w:b w:val="1"/>
                <w:bCs w:val="1"/>
                <w:color w:val="auto"/>
              </w:rPr>
              <w:t>Average Price Paid</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Shares Purchased</w:t>
            </w:r>
          </w:p>
        </w:tc>
        <w:tc>
          <w:tcPr>
            <w:tcW w:w="1700" w:type="dxa"/>
            <w:vAlign w:val="bottom"/>
          </w:tcPr>
          <w:p>
            <w:pPr>
              <w:jc w:val="center"/>
              <w:ind w:left="85"/>
              <w:spacing w:after="0"/>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94"/>
        </w:trPr>
        <w:tc>
          <w:tcPr>
            <w:tcW w:w="6060" w:type="dxa"/>
            <w:vAlign w:val="bottom"/>
            <w:vMerge w:val="restart"/>
          </w:tcPr>
          <w:p>
            <w:pPr>
              <w:jc w:val="center"/>
              <w:ind w:left="4299"/>
              <w:spacing w:after="0"/>
              <w:rPr>
                <w:sz w:val="20"/>
                <w:szCs w:val="20"/>
                <w:color w:val="auto"/>
              </w:rPr>
            </w:pPr>
            <w:r>
              <w:rPr>
                <w:rFonts w:ascii="Arial" w:cs="Arial" w:eastAsia="Arial" w:hAnsi="Arial"/>
                <w:sz w:val="16"/>
                <w:szCs w:val="16"/>
                <w:b w:val="1"/>
                <w:bCs w:val="1"/>
                <w:color w:val="auto"/>
              </w:rPr>
              <w:t>Shares Purchased</w:t>
            </w:r>
          </w:p>
        </w:tc>
        <w:tc>
          <w:tcPr>
            <w:tcW w:w="1160" w:type="dxa"/>
            <w:vAlign w:val="bottom"/>
            <w:vMerge w:val="restart"/>
          </w:tcPr>
          <w:p>
            <w:pPr>
              <w:ind w:left="420"/>
              <w:spacing w:after="0"/>
              <w:rPr>
                <w:sz w:val="20"/>
                <w:szCs w:val="20"/>
                <w:color w:val="auto"/>
              </w:rPr>
            </w:pPr>
            <w:r>
              <w:rPr>
                <w:rFonts w:ascii="Arial" w:cs="Arial" w:eastAsia="Arial" w:hAnsi="Arial"/>
                <w:sz w:val="16"/>
                <w:szCs w:val="16"/>
                <w:b w:val="1"/>
                <w:bCs w:val="1"/>
                <w:color w:val="auto"/>
                <w:w w:val="97"/>
              </w:rPr>
              <w:t>per Share</w:t>
            </w:r>
          </w:p>
        </w:tc>
        <w:tc>
          <w:tcPr>
            <w:tcW w:w="560" w:type="dxa"/>
            <w:vAlign w:val="bottom"/>
          </w:tcPr>
          <w:p>
            <w:pPr>
              <w:jc w:val="right"/>
              <w:ind w:right="373"/>
              <w:spacing w:after="0" w:line="95" w:lineRule="exact"/>
              <w:rPr>
                <w:sz w:val="20"/>
                <w:szCs w:val="20"/>
                <w:color w:val="auto"/>
              </w:rPr>
            </w:pPr>
            <w:r>
              <w:rPr>
                <w:rFonts w:ascii="Arial" w:cs="Arial" w:eastAsia="Arial" w:hAnsi="Arial"/>
                <w:sz w:val="9"/>
                <w:szCs w:val="9"/>
                <w:b w:val="1"/>
                <w:bCs w:val="1"/>
                <w:color w:val="auto"/>
              </w:rPr>
              <w:t>(2)</w:t>
            </w:r>
          </w:p>
        </w:tc>
        <w:tc>
          <w:tcPr>
            <w:tcW w:w="16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as Part of Publicly</w:t>
            </w:r>
          </w:p>
        </w:tc>
        <w:tc>
          <w:tcPr>
            <w:tcW w:w="1700" w:type="dxa"/>
            <w:vAlign w:val="bottom"/>
          </w:tcPr>
          <w:p>
            <w:pPr>
              <w:jc w:val="center"/>
              <w:ind w:left="85"/>
              <w:spacing w:after="0" w:line="95" w:lineRule="exact"/>
              <w:rPr>
                <w:sz w:val="20"/>
                <w:szCs w:val="20"/>
                <w:color w:val="auto"/>
              </w:rPr>
            </w:pPr>
            <w:r>
              <w:rPr>
                <w:rFonts w:ascii="Arial" w:cs="Arial" w:eastAsia="Arial" w:hAnsi="Arial"/>
                <w:sz w:val="10"/>
                <w:szCs w:val="10"/>
                <w:b w:val="1"/>
                <w:bCs w:val="1"/>
                <w:color w:val="auto"/>
              </w:rPr>
              <w:t>May Yet be</w:t>
            </w:r>
          </w:p>
        </w:tc>
        <w:tc>
          <w:tcPr>
            <w:tcW w:w="0" w:type="dxa"/>
            <w:vAlign w:val="bottom"/>
          </w:tcPr>
          <w:p>
            <w:pPr>
              <w:spacing w:after="0"/>
              <w:rPr>
                <w:sz w:val="1"/>
                <w:szCs w:val="1"/>
                <w:color w:val="auto"/>
              </w:rPr>
            </w:pPr>
          </w:p>
        </w:tc>
      </w:tr>
      <w:tr>
        <w:trPr>
          <w:trHeight w:val="148"/>
        </w:trPr>
        <w:tc>
          <w:tcPr>
            <w:tcW w:w="60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Announced</w:t>
            </w:r>
          </w:p>
        </w:tc>
        <w:tc>
          <w:tcPr>
            <w:tcW w:w="1700" w:type="dxa"/>
            <w:vAlign w:val="bottom"/>
          </w:tcPr>
          <w:p>
            <w:pPr>
              <w:jc w:val="center"/>
              <w:ind w:left="85"/>
              <w:spacing w:after="0" w:line="148" w:lineRule="exact"/>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0"/>
                <w:szCs w:val="20"/>
                <w:color w:val="auto"/>
              </w:rPr>
            </w:pPr>
            <w:r>
              <w:rPr>
                <w:rFonts w:ascii="Arial" w:cs="Arial" w:eastAsia="Arial" w:hAnsi="Arial"/>
                <w:sz w:val="16"/>
                <w:szCs w:val="16"/>
                <w:b w:val="1"/>
                <w:bCs w:val="1"/>
                <w:color w:val="auto"/>
              </w:rPr>
              <w:t>Period Ended</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1700" w:type="dxa"/>
            <w:vAlign w:val="bottom"/>
          </w:tcPr>
          <w:p>
            <w:pPr>
              <w:jc w:val="center"/>
              <w:ind w:left="85"/>
              <w:spacing w:after="0"/>
              <w:rPr>
                <w:sz w:val="20"/>
                <w:szCs w:val="20"/>
                <w:color w:val="auto"/>
              </w:rPr>
            </w:pPr>
            <w:r>
              <w:rPr>
                <w:rFonts w:ascii="Arial" w:cs="Arial" w:eastAsia="Arial" w:hAnsi="Arial"/>
                <w:sz w:val="16"/>
                <w:szCs w:val="16"/>
                <w:b w:val="1"/>
                <w:bCs w:val="1"/>
                <w:color w:val="auto"/>
                <w:w w:val="98"/>
              </w:rPr>
              <w:t>the Programs</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(in US $ millions, except share and share price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shd w:val="clear" w:color="auto" w:fill="F7F7F7"/>
          </w:tcPr>
          <w:p>
            <w:pPr>
              <w:ind w:left="20"/>
              <w:spacing w:after="0"/>
              <w:rPr>
                <w:sz w:val="20"/>
                <w:szCs w:val="20"/>
                <w:color w:val="auto"/>
              </w:rPr>
            </w:pPr>
            <w:r>
              <w:rPr>
                <w:rFonts w:ascii="Arial" w:cs="Arial" w:eastAsia="Arial" w:hAnsi="Arial"/>
                <w:sz w:val="16"/>
                <w:szCs w:val="16"/>
                <w:color w:val="auto"/>
              </w:rPr>
              <w:t>July 31, 2026</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2,938,885</w:t>
            </w:r>
          </w:p>
        </w:tc>
        <w:tc>
          <w:tcPr>
            <w:tcW w:w="720" w:type="dxa"/>
            <w:vAlign w:val="bottom"/>
            <w:shd w:val="clear" w:color="auto" w:fill="F7F7F7"/>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122.13</w:t>
            </w:r>
          </w:p>
        </w:tc>
        <w:tc>
          <w:tcPr>
            <w:tcW w:w="15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2,938,885</w:t>
            </w:r>
          </w:p>
        </w:tc>
        <w:tc>
          <w:tcPr>
            <w:tcW w:w="820" w:type="dxa"/>
            <w:vAlign w:val="bottom"/>
            <w:shd w:val="clear" w:color="auto" w:fill="F7F7F7"/>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2,708</w:t>
            </w:r>
          </w:p>
        </w:tc>
      </w:tr>
      <w:tr>
        <w:trPr>
          <w:trHeight w:val="229"/>
        </w:trPr>
        <w:tc>
          <w:tcPr>
            <w:tcW w:w="4480" w:type="dxa"/>
            <w:vAlign w:val="bottom"/>
          </w:tcPr>
          <w:p>
            <w:pPr>
              <w:ind w:left="20"/>
              <w:spacing w:after="0"/>
              <w:rPr>
                <w:sz w:val="20"/>
                <w:szCs w:val="20"/>
                <w:color w:val="auto"/>
              </w:rPr>
            </w:pPr>
            <w:r>
              <w:rPr>
                <w:rFonts w:ascii="Arial" w:cs="Arial" w:eastAsia="Arial" w:hAnsi="Arial"/>
                <w:sz w:val="16"/>
                <w:szCs w:val="16"/>
                <w:color w:val="auto"/>
              </w:rPr>
              <w:t>August 31, 2026</w:t>
            </w:r>
          </w:p>
        </w:tc>
        <w:tc>
          <w:tcPr>
            <w:tcW w:w="1500" w:type="dxa"/>
            <w:vAlign w:val="bottom"/>
          </w:tcPr>
          <w:p>
            <w:pPr>
              <w:jc w:val="right"/>
              <w:spacing w:after="0"/>
              <w:rPr>
                <w:sz w:val="20"/>
                <w:szCs w:val="20"/>
                <w:color w:val="auto"/>
              </w:rPr>
            </w:pPr>
            <w:r>
              <w:rPr>
                <w:rFonts w:ascii="Arial" w:cs="Arial" w:eastAsia="Arial" w:hAnsi="Arial"/>
                <w:sz w:val="16"/>
                <w:szCs w:val="16"/>
                <w:color w:val="auto"/>
              </w:rPr>
              <w:t>671,001</w:t>
            </w:r>
          </w:p>
        </w:tc>
        <w:tc>
          <w:tcPr>
            <w:tcW w:w="7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139.14</w:t>
            </w:r>
          </w:p>
        </w:tc>
        <w:tc>
          <w:tcPr>
            <w:tcW w:w="1520" w:type="dxa"/>
            <w:vAlign w:val="bottom"/>
          </w:tcPr>
          <w:p>
            <w:pPr>
              <w:jc w:val="right"/>
              <w:spacing w:after="0"/>
              <w:rPr>
                <w:sz w:val="20"/>
                <w:szCs w:val="20"/>
                <w:color w:val="auto"/>
              </w:rPr>
            </w:pPr>
            <w:r>
              <w:rPr>
                <w:rFonts w:ascii="Arial" w:cs="Arial" w:eastAsia="Arial" w:hAnsi="Arial"/>
                <w:sz w:val="16"/>
                <w:szCs w:val="16"/>
                <w:color w:val="auto"/>
              </w:rPr>
              <w:t>671,001</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2,615</w:t>
            </w:r>
          </w:p>
        </w:tc>
      </w:tr>
      <w:tr>
        <w:trPr>
          <w:trHeight w:val="229"/>
        </w:trPr>
        <w:tc>
          <w:tcPr>
            <w:tcW w:w="4480" w:type="dxa"/>
            <w:vAlign w:val="bottom"/>
            <w:shd w:val="clear" w:color="auto" w:fill="F7F7F7"/>
          </w:tcPr>
          <w:p>
            <w:pPr>
              <w:ind w:left="20"/>
              <w:spacing w:after="0"/>
              <w:rPr>
                <w:sz w:val="20"/>
                <w:szCs w:val="20"/>
                <w:color w:val="auto"/>
              </w:rPr>
            </w:pPr>
            <w:r>
              <w:rPr>
                <w:rFonts w:ascii="Arial" w:cs="Arial" w:eastAsia="Arial" w:hAnsi="Arial"/>
                <w:sz w:val="16"/>
                <w:szCs w:val="16"/>
                <w:color w:val="auto"/>
              </w:rPr>
              <w:t>September 30, 2026</w:t>
            </w:r>
          </w:p>
        </w:tc>
        <w:tc>
          <w:tcPr>
            <w:tcW w:w="15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675,962</w:t>
            </w:r>
          </w:p>
        </w:tc>
        <w:tc>
          <w:tcPr>
            <w:tcW w:w="720" w:type="dxa"/>
            <w:vAlign w:val="bottom"/>
            <w:tcBorders>
              <w:bottom w:val="single" w:sz="8" w:color="auto"/>
            </w:tcBorders>
            <w:shd w:val="clear" w:color="auto" w:fill="F7F7F7"/>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F7F7F7"/>
          </w:tcPr>
          <w:p>
            <w:pPr>
              <w:jc w:val="right"/>
              <w:ind w:right="179"/>
              <w:spacing w:after="0"/>
              <w:rPr>
                <w:sz w:val="20"/>
                <w:szCs w:val="20"/>
                <w:color w:val="auto"/>
              </w:rPr>
            </w:pPr>
            <w:r>
              <w:rPr>
                <w:rFonts w:ascii="Arial" w:cs="Arial" w:eastAsia="Arial" w:hAnsi="Arial"/>
                <w:sz w:val="16"/>
                <w:szCs w:val="16"/>
                <w:color w:val="auto"/>
              </w:rPr>
              <w:t>134.50</w:t>
            </w:r>
          </w:p>
        </w:tc>
        <w:tc>
          <w:tcPr>
            <w:tcW w:w="15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675,962</w:t>
            </w:r>
          </w:p>
        </w:tc>
        <w:tc>
          <w:tcPr>
            <w:tcW w:w="820" w:type="dxa"/>
            <w:vAlign w:val="bottom"/>
            <w:tcBorders>
              <w:bottom w:val="single" w:sz="8" w:color="auto"/>
            </w:tcBorders>
            <w:shd w:val="clear" w:color="auto" w:fill="F7F7F7"/>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2,524</w:t>
            </w:r>
          </w:p>
        </w:tc>
      </w:tr>
      <w:tr>
        <w:trPr>
          <w:trHeight w:val="223"/>
        </w:trPr>
        <w:tc>
          <w:tcPr>
            <w:tcW w:w="44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4,285,848</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4,285,848</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61" w:lineRule="exact"/>
        <w:rPr>
          <w:sz w:val="20"/>
          <w:szCs w:val="20"/>
          <w:color w:val="auto"/>
        </w:rPr>
      </w:pPr>
    </w:p>
    <w:p>
      <w:pPr>
        <w:jc w:val="both"/>
        <w:ind w:firstLine="8"/>
        <w:spacing w:after="0" w:line="493"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jc w:val="both"/>
        <w:spacing w:after="0" w:line="285" w:lineRule="auto"/>
        <w:rPr>
          <w:sz w:val="20"/>
          <w:szCs w:val="20"/>
          <w:color w:val="auto"/>
        </w:rPr>
      </w:pPr>
      <w:r>
        <w:rPr>
          <w:rFonts w:ascii="Arial" w:cs="Arial" w:eastAsia="Arial" w:hAnsi="Arial"/>
          <w:sz w:val="14"/>
          <w:szCs w:val="14"/>
          <w:color w:val="auto"/>
        </w:rPr>
        <w:t>In the second quarter of 2026, the Company's Board of Directors authorized an additional $3 billion of the Company's outstanding Class A subordinate voting shares, in addition to the $2 billion previously authorized, bringing its aggregate repurchase authorization to $5 billion.</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spacing w:after="0" w:line="10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During the three months ended September 30, 2026, we repurchased $543 million of our Class A subordinate voting shares under our share repurchase program. As of September 30, 2026, a total of $2.5 billion remained available for future repurchases of our Class A subordinate voting shares.</w:t>
      </w:r>
    </w:p>
    <w:p>
      <w:pPr>
        <w:spacing w:after="0" w:line="9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Excludes broker commissions and excise tax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Incorporated by Reference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 w:type="dxa"/>
            <w:vAlign w:val="bottom"/>
            <w:gridSpan w:val="3"/>
            <w:vMerge w:val="restart"/>
          </w:tcPr>
          <w:p>
            <w:pPr>
              <w:ind w:left="180"/>
              <w:spacing w:after="0"/>
              <w:rPr>
                <w:sz w:val="20"/>
                <w:szCs w:val="20"/>
                <w:color w:val="auto"/>
              </w:rPr>
            </w:pPr>
            <w:r>
              <w:rPr>
                <w:rFonts w:ascii="Arial" w:cs="Arial" w:eastAsia="Arial" w:hAnsi="Arial"/>
                <w:sz w:val="16"/>
                <w:szCs w:val="16"/>
                <w:color w:val="auto"/>
              </w:rPr>
              <w:t>No.</w:t>
            </w:r>
          </w:p>
        </w:tc>
        <w:tc>
          <w:tcPr>
            <w:tcW w:w="20" w:type="dxa"/>
            <w:vAlign w:val="bottom"/>
          </w:tcPr>
          <w:p>
            <w:pPr>
              <w:spacing w:after="0"/>
              <w:rPr>
                <w:sz w:val="13"/>
                <w:szCs w:val="13"/>
                <w:color w:val="auto"/>
              </w:rPr>
            </w:pPr>
          </w:p>
        </w:tc>
        <w:tc>
          <w:tcPr>
            <w:tcW w:w="5020" w:type="dxa"/>
            <w:vAlign w:val="bottom"/>
            <w:gridSpan w:val="5"/>
            <w:vMerge w:val="restart"/>
          </w:tcPr>
          <w:p>
            <w:pPr>
              <w:ind w:left="1820"/>
              <w:spacing w:after="0"/>
              <w:rPr>
                <w:sz w:val="20"/>
                <w:szCs w:val="20"/>
                <w:color w:val="auto"/>
              </w:rPr>
            </w:pPr>
            <w:r>
              <w:rPr>
                <w:rFonts w:ascii="Arial" w:cs="Arial" w:eastAsia="Arial" w:hAnsi="Arial"/>
                <w:sz w:val="16"/>
                <w:szCs w:val="16"/>
                <w:color w:val="auto"/>
              </w:rPr>
              <w:t>Exhibit Description</w:t>
            </w:r>
          </w:p>
        </w:tc>
        <w:tc>
          <w:tcPr>
            <w:tcW w:w="1560" w:type="dxa"/>
            <w:vAlign w:val="bottom"/>
          </w:tcPr>
          <w:p>
            <w:pPr>
              <w:jc w:val="center"/>
              <w:spacing w:after="0" w:line="158" w:lineRule="exact"/>
              <w:rPr>
                <w:sz w:val="20"/>
                <w:szCs w:val="20"/>
                <w:color w:val="auto"/>
              </w:rPr>
            </w:pPr>
            <w:r>
              <w:rPr>
                <w:rFonts w:ascii="Arial" w:cs="Arial" w:eastAsia="Arial" w:hAnsi="Arial"/>
                <w:sz w:val="16"/>
                <w:szCs w:val="16"/>
                <w:color w:val="auto"/>
              </w:rPr>
              <w:t>Filed or Furnished</w:t>
            </w:r>
          </w:p>
        </w:tc>
        <w:tc>
          <w:tcPr>
            <w:tcW w:w="680" w:type="dxa"/>
            <w:vAlign w:val="bottom"/>
            <w:vMerge w:val="restart"/>
          </w:tcPr>
          <w:p>
            <w:pPr>
              <w:ind w:left="160"/>
              <w:spacing w:after="0"/>
              <w:rPr>
                <w:sz w:val="20"/>
                <w:szCs w:val="20"/>
                <w:color w:val="auto"/>
              </w:rPr>
            </w:pPr>
            <w:r>
              <w:rPr>
                <w:rFonts w:ascii="Arial" w:cs="Arial" w:eastAsia="Arial" w:hAnsi="Arial"/>
                <w:sz w:val="16"/>
                <w:szCs w:val="16"/>
                <w:color w:val="auto"/>
              </w:rPr>
              <w:t>Form</w:t>
            </w:r>
          </w:p>
        </w:tc>
        <w:tc>
          <w:tcPr>
            <w:tcW w:w="880" w:type="dxa"/>
            <w:vAlign w:val="bottom"/>
            <w:vMerge w:val="restart"/>
          </w:tcPr>
          <w:p>
            <w:pPr>
              <w:ind w:left="160"/>
              <w:spacing w:after="0"/>
              <w:rPr>
                <w:sz w:val="20"/>
                <w:szCs w:val="20"/>
                <w:color w:val="auto"/>
              </w:rPr>
            </w:pPr>
            <w:r>
              <w:rPr>
                <w:rFonts w:ascii="Arial" w:cs="Arial" w:eastAsia="Arial" w:hAnsi="Arial"/>
                <w:sz w:val="16"/>
                <w:szCs w:val="16"/>
                <w:color w:val="auto"/>
              </w:rPr>
              <w:t>File No.</w:t>
            </w:r>
          </w:p>
        </w:tc>
        <w:tc>
          <w:tcPr>
            <w:tcW w:w="920" w:type="dxa"/>
            <w:vAlign w:val="bottom"/>
            <w:vMerge w:val="restart"/>
          </w:tcPr>
          <w:p>
            <w:pPr>
              <w:ind w:left="180"/>
              <w:spacing w:after="0"/>
              <w:rPr>
                <w:sz w:val="20"/>
                <w:szCs w:val="20"/>
                <w:color w:val="auto"/>
              </w:rPr>
            </w:pPr>
            <w:r>
              <w:rPr>
                <w:rFonts w:ascii="Arial" w:cs="Arial" w:eastAsia="Arial" w:hAnsi="Arial"/>
                <w:sz w:val="16"/>
                <w:szCs w:val="16"/>
                <w:color w:val="auto"/>
              </w:rPr>
              <w:t>Exhibit</w:t>
            </w:r>
          </w:p>
        </w:tc>
        <w:tc>
          <w:tcPr>
            <w:tcW w:w="1360" w:type="dxa"/>
            <w:vAlign w:val="bottom"/>
            <w:vMerge w:val="restart"/>
          </w:tcPr>
          <w:p>
            <w:pPr>
              <w:ind w:left="280"/>
              <w:spacing w:after="0"/>
              <w:rPr>
                <w:sz w:val="20"/>
                <w:szCs w:val="20"/>
                <w:color w:val="auto"/>
              </w:rPr>
            </w:pPr>
            <w:r>
              <w:rPr>
                <w:rFonts w:ascii="Arial" w:cs="Arial" w:eastAsia="Arial" w:hAnsi="Arial"/>
                <w:sz w:val="16"/>
                <w:szCs w:val="16"/>
                <w:color w:val="auto"/>
              </w:rPr>
              <w:t>Date Filed</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5"/>
            <w:vMerge w:val="continue"/>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with this 10-Q</w:t>
            </w:r>
          </w:p>
        </w:tc>
        <w:tc>
          <w:tcPr>
            <w:tcW w:w="6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0" w:type="dxa"/>
            <w:vAlign w:val="bottom"/>
            <w:gridSpan w:val="3"/>
          </w:tcPr>
          <w:p>
            <w:pPr>
              <w:ind w:left="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260" w:type="dxa"/>
            <w:vAlign w:val="bottom"/>
          </w:tcPr>
          <w:p>
            <w:pPr>
              <w:spacing w:after="0"/>
              <w:rPr>
                <w:sz w:val="15"/>
                <w:szCs w:val="15"/>
                <w:color w:val="auto"/>
              </w:rPr>
            </w:pPr>
          </w:p>
        </w:tc>
        <w:tc>
          <w:tcPr>
            <w:tcW w:w="5040" w:type="dxa"/>
            <w:vAlign w:val="bottom"/>
            <w:gridSpan w:val="6"/>
          </w:tcPr>
          <w:p>
            <w:pPr>
              <w:spacing w:after="0"/>
              <w:rPr>
                <w:sz w:val="20"/>
                <w:szCs w:val="20"/>
                <w:color w:val="auto"/>
              </w:rPr>
            </w:pPr>
            <w:r>
              <w:rPr>
                <w:rFonts w:ascii="Arial" w:cs="Arial" w:eastAsia="Arial" w:hAnsi="Arial"/>
                <w:sz w:val="16"/>
                <w:szCs w:val="16"/>
                <w:color w:val="0000FF"/>
              </w:rPr>
              <w:t>Certification of the Chief Executive Officer and the Chief Financial</w:t>
            </w: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68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Officer pursuant to Section 302 of the Sarbanes-Oxley Act of 2002</w:t>
            </w:r>
          </w:p>
        </w:tc>
        <w:tc>
          <w:tcPr>
            <w:tcW w:w="6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gridSpan w:val="4"/>
          </w:tcPr>
          <w:p>
            <w:pPr>
              <w:ind w:left="20"/>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p>
        </w:tc>
        <w:tc>
          <w:tcPr>
            <w:tcW w:w="5040" w:type="dxa"/>
            <w:vAlign w:val="bottom"/>
            <w:gridSpan w:val="6"/>
          </w:tcPr>
          <w:p>
            <w:pPr>
              <w:spacing w:after="0"/>
              <w:rPr>
                <w:sz w:val="20"/>
                <w:szCs w:val="20"/>
                <w:color w:val="auto"/>
              </w:rPr>
            </w:pPr>
            <w:r>
              <w:rPr>
                <w:rFonts w:ascii="Arial" w:cs="Arial" w:eastAsia="Arial" w:hAnsi="Arial"/>
                <w:sz w:val="16"/>
                <w:szCs w:val="16"/>
                <w:color w:val="0000FF"/>
              </w:rPr>
              <w:t>Certification of the Chief Executive Officer and the Chief Financial</w:t>
            </w: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340" w:type="dxa"/>
            <w:vAlign w:val="bottom"/>
            <w:gridSpan w:val="3"/>
          </w:tcPr>
          <w:p>
            <w:pPr>
              <w:spacing w:after="0" w:line="142" w:lineRule="exact"/>
              <w:rPr>
                <w:sz w:val="20"/>
                <w:szCs w:val="20"/>
                <w:color w:val="auto"/>
              </w:rPr>
            </w:pPr>
            <w:r>
              <w:rPr>
                <w:rFonts w:ascii="Arial" w:cs="Arial" w:eastAsia="Arial" w:hAnsi="Arial"/>
                <w:sz w:val="16"/>
                <w:szCs w:val="16"/>
                <w:color w:val="0000FF"/>
              </w:rPr>
              <w:t>to</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1440" w:type="dxa"/>
            <w:vAlign w:val="bottom"/>
            <w:tcBorders>
              <w:top w:val="single" w:sz="8" w:color="0000FF"/>
            </w:tcBorders>
            <w:gridSpan w:val="3"/>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Arial" w:cs="Arial" w:eastAsia="Arial" w:hAnsi="Arial"/>
                <w:sz w:val="16"/>
                <w:szCs w:val="16"/>
                <w:color w:val="auto"/>
              </w:rPr>
              <w:t>The following financial statements from the Company's Quarterly</w:t>
            </w: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Report on Form 10-Q for the quarter ended September 30, 2026,</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formatted in Inline XBRL: (i) Condensed Consolidated Balance</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Sheets, (ii) Condensed Consolidated Statements of Operations and</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Comprehensive Income, (iii) Condensed Consolidated Statements of</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Changes in Shareholders' Equity, (iv) Condensed Consolidated</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Statements of Cash Flows and (v) Notes to the Condensed</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gridSpan w:val="6"/>
          </w:tcPr>
          <w:p>
            <w:pPr>
              <w:spacing w:after="0" w:line="162" w:lineRule="exact"/>
              <w:rPr>
                <w:sz w:val="20"/>
                <w:szCs w:val="20"/>
                <w:color w:val="auto"/>
              </w:rPr>
            </w:pPr>
            <w:r>
              <w:rPr>
                <w:rFonts w:ascii="Arial" w:cs="Arial" w:eastAsia="Arial" w:hAnsi="Arial"/>
                <w:sz w:val="16"/>
                <w:szCs w:val="16"/>
                <w:color w:val="auto"/>
              </w:rPr>
              <w:t>Consolidated Financial Statements, tagged as blocks of text and</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Arial" w:cs="Arial" w:eastAsia="Arial" w:hAnsi="Arial"/>
                <w:sz w:val="16"/>
                <w:szCs w:val="16"/>
                <w:color w:val="auto"/>
              </w:rPr>
              <w:t>including detailed tags</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4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104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40" w:type="dxa"/>
            <w:vAlign w:val="bottom"/>
            <w:gridSpan w:val="6"/>
          </w:tcPr>
          <w:p>
            <w:pPr>
              <w:spacing w:after="0" w:line="177" w:lineRule="exact"/>
              <w:rPr>
                <w:sz w:val="20"/>
                <w:szCs w:val="20"/>
                <w:color w:val="auto"/>
              </w:rPr>
            </w:pPr>
            <w:r>
              <w:rPr>
                <w:rFonts w:ascii="Arial" w:cs="Arial" w:eastAsia="Arial" w:hAnsi="Arial"/>
                <w:sz w:val="16"/>
                <w:szCs w:val="16"/>
                <w:color w:val="auto"/>
              </w:rPr>
              <w:t>The cover page from the Company's Quarterly Report on Form 10-Q</w:t>
            </w:r>
          </w:p>
        </w:tc>
        <w:tc>
          <w:tcPr>
            <w:tcW w:w="1560" w:type="dxa"/>
            <w:vAlign w:val="bottom"/>
          </w:tcPr>
          <w:p>
            <w:pPr>
              <w:jc w:val="center"/>
              <w:spacing w:after="0" w:line="177" w:lineRule="exact"/>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gridSpan w:val="6"/>
          </w:tcPr>
          <w:p>
            <w:pPr>
              <w:spacing w:after="0"/>
              <w:rPr>
                <w:sz w:val="20"/>
                <w:szCs w:val="20"/>
                <w:color w:val="auto"/>
              </w:rPr>
            </w:pPr>
            <w:r>
              <w:rPr>
                <w:rFonts w:ascii="Arial" w:cs="Arial" w:eastAsia="Arial" w:hAnsi="Arial"/>
                <w:sz w:val="16"/>
                <w:szCs w:val="16"/>
                <w:color w:val="auto"/>
              </w:rPr>
              <w:t>for the quarter ended September 30, 2026, formatted in Inline XBRL</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60" w:right="320" w:hanging="634"/>
        <w:spacing w:after="0" w:line="218"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16"/>
          <w:szCs w:val="16"/>
          <w:color w:val="auto"/>
        </w:rPr>
        <w:t>These certifications are not deemed filed by the SEC and are not to be incorporated by reference in any filing we make under the Securities Act of 1933 or the Securities Exchange Act of 1934, irrespective of any general incorporation language in any filings.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3, 2026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Shopify Inc.</w:t>
      </w:r>
    </w:p>
    <w:p>
      <w:pPr>
        <w:spacing w:after="0" w:line="200" w:lineRule="exact"/>
        <w:rPr>
          <w:sz w:val="20"/>
          <w:szCs w:val="20"/>
          <w:color w:val="auto"/>
        </w:rPr>
      </w:pPr>
    </w:p>
    <w:p>
      <w:pPr>
        <w:spacing w:after="0" w:line="3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77470</wp:posOffset>
            </wp:positionV>
            <wp:extent cx="1491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2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Jeff Hoffmeister</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Tobias Lütke, certify that:</w:t>
      </w:r>
    </w:p>
    <w:p>
      <w:pPr>
        <w:spacing w:after="0" w:line="225"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Shopify Inc.;</w:t>
      </w:r>
    </w:p>
    <w:p>
      <w:pPr>
        <w:spacing w:after="0" w:line="225"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580" w:firstLine="8"/>
        <w:spacing w:after="0" w:line="318" w:lineRule="auto"/>
        <w:tabs>
          <w:tab w:leader="none" w:pos="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7"/>
          <w:szCs w:val="17"/>
          <w:color w:val="auto"/>
        </w:rPr>
      </w:pPr>
    </w:p>
    <w:p>
      <w:pPr>
        <w:ind w:right="20" w:firstLine="8"/>
        <w:spacing w:after="0" w:line="260"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issuer and have:</w:t>
      </w:r>
    </w:p>
    <w:p>
      <w:pPr>
        <w:spacing w:after="0" w:line="234" w:lineRule="exact"/>
        <w:rPr>
          <w:rFonts w:ascii="Arial" w:cs="Arial" w:eastAsia="Arial" w:hAnsi="Arial"/>
          <w:sz w:val="18"/>
          <w:szCs w:val="18"/>
          <w:color w:val="auto"/>
        </w:rPr>
      </w:pPr>
    </w:p>
    <w:p>
      <w:pPr>
        <w:jc w:val="both"/>
        <w:ind w:left="660" w:right="100" w:hanging="4"/>
        <w:spacing w:after="0" w:line="268"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100" w:hanging="4"/>
        <w:spacing w:after="0" w:line="268"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660" w:right="260" w:hanging="4"/>
        <w:spacing w:after="0" w:line="268"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7" w:lineRule="exact"/>
        <w:rPr>
          <w:rFonts w:ascii="Arial" w:cs="Arial" w:eastAsia="Arial" w:hAnsi="Arial"/>
          <w:sz w:val="18"/>
          <w:szCs w:val="18"/>
          <w:color w:val="auto"/>
        </w:rPr>
      </w:pPr>
    </w:p>
    <w:p>
      <w:pPr>
        <w:ind w:right="40" w:firstLine="8"/>
        <w:spacing w:after="0" w:line="287"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79" w:lineRule="exact"/>
        <w:rPr>
          <w:rFonts w:ascii="Arial" w:cs="Arial" w:eastAsia="Arial" w:hAnsi="Arial"/>
          <w:sz w:val="18"/>
          <w:szCs w:val="18"/>
          <w:color w:val="auto"/>
        </w:rPr>
      </w:pPr>
    </w:p>
    <w:p>
      <w:pPr>
        <w:ind w:left="660" w:right="20" w:hanging="4"/>
        <w:spacing w:after="0" w:line="287"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9" w:lineRule="exact"/>
        <w:rPr>
          <w:rFonts w:ascii="Arial" w:cs="Arial" w:eastAsia="Arial" w:hAnsi="Arial"/>
          <w:sz w:val="18"/>
          <w:szCs w:val="18"/>
          <w:color w:val="auto"/>
        </w:rPr>
      </w:pPr>
    </w:p>
    <w:p>
      <w:pPr>
        <w:ind w:left="660" w:right="520" w:hanging="4"/>
        <w:spacing w:after="0" w:line="287"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3, 2026</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Tobias Lütke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85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Tobias Lütke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9"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Jeff Hoffmeister, certify that:</w:t>
      </w:r>
    </w:p>
    <w:p>
      <w:pPr>
        <w:spacing w:after="0" w:line="225"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Shopify Inc.;</w:t>
      </w:r>
    </w:p>
    <w:p>
      <w:pPr>
        <w:spacing w:after="0" w:line="225" w:lineRule="exact"/>
        <w:rPr>
          <w:rFonts w:ascii="Arial" w:cs="Arial" w:eastAsia="Arial" w:hAnsi="Arial"/>
          <w:sz w:val="18"/>
          <w:szCs w:val="18"/>
          <w:color w:val="auto"/>
        </w:rPr>
      </w:pPr>
    </w:p>
    <w:p>
      <w:pPr>
        <w:ind w:right="80" w:firstLine="8"/>
        <w:spacing w:after="0" w:line="268"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560" w:firstLine="8"/>
        <w:spacing w:after="0" w:line="318" w:lineRule="auto"/>
        <w:tabs>
          <w:tab w:leader="none" w:pos="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7"/>
          <w:szCs w:val="17"/>
          <w:color w:val="auto"/>
        </w:rPr>
      </w:pPr>
    </w:p>
    <w:p>
      <w:pPr>
        <w:ind w:firstLine="8"/>
        <w:spacing w:after="0" w:line="260"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issuer and have:</w:t>
      </w:r>
    </w:p>
    <w:p>
      <w:pPr>
        <w:spacing w:after="0" w:line="234" w:lineRule="exact"/>
        <w:rPr>
          <w:rFonts w:ascii="Arial" w:cs="Arial" w:eastAsia="Arial" w:hAnsi="Arial"/>
          <w:sz w:val="18"/>
          <w:szCs w:val="18"/>
          <w:color w:val="auto"/>
        </w:rPr>
      </w:pPr>
    </w:p>
    <w:p>
      <w:pPr>
        <w:jc w:val="both"/>
        <w:ind w:left="660" w:right="80" w:hanging="4"/>
        <w:spacing w:after="0" w:line="268" w:lineRule="auto"/>
        <w:tabs>
          <w:tab w:leader="none" w:pos="9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80" w:hanging="4"/>
        <w:spacing w:after="0" w:line="268" w:lineRule="auto"/>
        <w:tabs>
          <w:tab w:leader="none" w:pos="9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100" w:hanging="4"/>
        <w:spacing w:after="0" w:line="268"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660" w:right="240" w:hanging="4"/>
        <w:spacing w:after="0" w:line="268" w:lineRule="auto"/>
        <w:tabs>
          <w:tab w:leader="none" w:pos="9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7" w:lineRule="exact"/>
        <w:rPr>
          <w:rFonts w:ascii="Arial" w:cs="Arial" w:eastAsia="Arial" w:hAnsi="Arial"/>
          <w:sz w:val="18"/>
          <w:szCs w:val="18"/>
          <w:color w:val="auto"/>
        </w:rPr>
      </w:pPr>
    </w:p>
    <w:p>
      <w:pPr>
        <w:ind w:right="20" w:firstLine="8"/>
        <w:spacing w:after="0" w:line="287"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79" w:lineRule="exact"/>
        <w:rPr>
          <w:rFonts w:ascii="Arial" w:cs="Arial" w:eastAsia="Arial" w:hAnsi="Arial"/>
          <w:sz w:val="18"/>
          <w:szCs w:val="18"/>
          <w:color w:val="auto"/>
        </w:rPr>
      </w:pPr>
    </w:p>
    <w:p>
      <w:pPr>
        <w:ind w:left="660" w:hanging="4"/>
        <w:spacing w:after="0" w:line="287" w:lineRule="auto"/>
        <w:tabs>
          <w:tab w:leader="none" w:pos="9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4"/>
        <w:spacing w:after="0" w:line="287" w:lineRule="auto"/>
        <w:tabs>
          <w:tab w:leader="none" w:pos="9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3, 2026</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85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Hoffmeister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20"/>
          </w:cols>
          <w:pgMar w:left="320" w:top="1376"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the quarterly report of Shopify Inc. (the "Company") on Form 10-Q for the quarter ended September 30, 2026, as filed with the Securities and Exchange Commission on the date hereof (the "Report"), I, Tobias Lütke, Chief Executive Officer of the Company, certify, pursuant to 18 U.S.C. section 1350, as adopted pursuant to Section 906 of the Sarbanes-Oxley Act of 2002, that, to my knowledge:</w:t>
      </w:r>
    </w:p>
    <w:p>
      <w:pPr>
        <w:spacing w:after="0" w:line="171"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3, 2026</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Tobias Lütke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60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Tobias Lütke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sectPr>
          <w:pgSz w:w="11900" w:h="16838" w:orient="portrait"/>
          <w:cols w:equalWidth="0" w:num="1">
            <w:col w:w="11240"/>
          </w:cols>
          <w:pgMar w:left="320" w:top="890" w:right="339" w:bottom="1440" w:gutter="0" w:footer="0" w:header="0"/>
        </w:sectPr>
      </w:pPr>
    </w:p>
    <w:bookmarkStart w:id="54" w:name="page55"/>
    <w:bookmarkEnd w:id="54"/>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quarterly report of Shopify Inc. (the "Company") on Form 10-Q for the quarter ended September 30, 2026, as filed with the Securities and Exchange Commission on the date hereof (the "Report"), I, Jeff Hoffmeister, Chief Financial Officer of the Company, certify, pursuant to 18 U.S.C. section 1350, as adopted pursuant to Section 906 of the Sarbanes-Oxley Act of 2002, that, to my knowledge:</w:t>
      </w:r>
    </w:p>
    <w:p>
      <w:pPr>
        <w:spacing w:after="0" w:line="171"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360" w:firstLine="8"/>
        <w:spacing w:after="0" w:line="287"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3, 2026</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7603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Hoffmeister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sectPr>
      <w:pgSz w:w="11900" w:h="16838" w:orient="portrait"/>
      <w:cols w:equalWidth="0" w:num="1">
        <w:col w:w="11200"/>
      </w:cols>
      <w:pgMar w:left="320" w:top="11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2026-11-03T07:14:45Z</dcterms:created>
  <dcterms:modified xsi:type="dcterms:W3CDTF">2026-11-03T07:14:45Z</dcterms:modified>
</cp:coreProperties>
</file>