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333" w:before="0" w:after="0"/>
        <w:jc w:val="left"/>
        <w:rPr>
          <w:rFonts w:ascii="Adelle Sans;sans-serif" w:hAnsi="Adelle Sans;sans-serif"/>
          <w:b/>
          <w:color w:val="000000"/>
          <w:sz w:val="20"/>
        </w:rPr>
      </w:pPr>
      <w:r>
        <w:rPr>
          <w:rFonts w:ascii="Adelle Sans;sans-serif" w:hAnsi="Adelle Sans;sans-serif"/>
          <w:b/>
          <w:color w:val="000000"/>
          <w:sz w:val="20"/>
        </w:rPr>
        <w:t>UNITED STATES</w:t>
      </w:r>
    </w:p>
    <w:p>
      <w:pPr>
        <w:pStyle w:val="TextBody"/>
        <w:bidi w:val="0"/>
        <w:spacing w:lineRule="auto" w:line="333" w:before="0" w:after="0"/>
        <w:jc w:val="center"/>
        <w:rPr>
          <w:rFonts w:ascii="Adelle Sans;sans-serif" w:hAnsi="Adelle Sans;sans-serif"/>
          <w:b/>
          <w:color w:val="000000"/>
          <w:sz w:val="20"/>
        </w:rPr>
      </w:pPr>
      <w:r>
        <w:rPr>
          <w:rFonts w:ascii="Adelle Sans;sans-serif" w:hAnsi="Adelle Sans;sans-serif"/>
          <w:b/>
          <w:color w:val="000000"/>
          <w:sz w:val="20"/>
        </w:rPr>
        <w:t>SECURITIES AND EXCHANGE COMMISSION</w:t>
      </w:r>
    </w:p>
    <w:p>
      <w:pPr>
        <w:pStyle w:val="TextBody"/>
        <w:bidi w:val="0"/>
        <w:spacing w:lineRule="auto" w:line="333" w:before="0" w:after="0"/>
        <w:jc w:val="center"/>
        <w:rPr>
          <w:rFonts w:ascii="Adelle Sans;sans-serif" w:hAnsi="Adelle Sans;sans-serif"/>
          <w:b/>
          <w:color w:val="000000"/>
          <w:sz w:val="20"/>
        </w:rPr>
      </w:pPr>
      <w:r>
        <w:rPr>
          <w:rFonts w:ascii="Adelle Sans;sans-serif" w:hAnsi="Adelle Sans;sans-serif"/>
          <w:b/>
          <w:color w:val="000000"/>
          <w:sz w:val="20"/>
        </w:rPr>
        <w:t>Washington, D.C. 20549</w:t>
      </w:r>
    </w:p>
    <w:p>
      <w:pPr>
        <w:pStyle w:val="TextBody"/>
        <w:bidi w:val="0"/>
        <w:spacing w:lineRule="auto" w:line="333" w:before="0" w:after="0"/>
        <w:jc w:val="center"/>
        <w:rPr>
          <w:rFonts w:ascii="Adelle Sans;sans-serif" w:hAnsi="Adelle Sans;sans-serif"/>
          <w:b w:val="false"/>
          <w:color w:val="000000"/>
          <w:sz w:val="20"/>
          <w:u w:val="single"/>
        </w:rPr>
      </w:pPr>
      <w:r>
        <w:rPr>
          <w:rFonts w:ascii="Adelle Sans;sans-serif" w:hAnsi="Adelle Sans;sans-serif"/>
          <w:b w:val="false"/>
          <w:color w:val="000000"/>
          <w:sz w:val="20"/>
          <w:u w:val="single"/>
        </w:rPr>
        <w:t>________________________________________________</w:t>
      </w:r>
    </w:p>
    <w:p>
      <w:pPr>
        <w:pStyle w:val="TextBody"/>
        <w:bidi w:val="0"/>
        <w:spacing w:lineRule="auto" w:line="333" w:before="120" w:after="283"/>
        <w:jc w:val="center"/>
        <w:rPr>
          <w:rFonts w:ascii="Adelle Sans;sans-serif" w:hAnsi="Adelle Sans;sans-serif"/>
          <w:b/>
          <w:color w:val="000000"/>
          <w:sz w:val="20"/>
        </w:rPr>
      </w:pPr>
      <w:r>
        <w:rPr>
          <w:rFonts w:ascii="Adelle Sans;sans-serif" w:hAnsi="Adelle Sans;sans-serif"/>
          <w:b/>
          <w:color w:val="000000"/>
          <w:sz w:val="20"/>
        </w:rPr>
        <w:t>FORM 8-K</w:t>
      </w:r>
    </w:p>
    <w:p>
      <w:pPr>
        <w:pStyle w:val="TextBody"/>
        <w:bidi w:val="0"/>
        <w:spacing w:lineRule="auto" w:line="333" w:before="0" w:after="0"/>
        <w:jc w:val="center"/>
        <w:rPr>
          <w:rFonts w:ascii="Adelle Sans;sans-serif" w:hAnsi="Adelle Sans;sans-serif"/>
          <w:b w:val="false"/>
          <w:color w:val="000000"/>
          <w:sz w:val="20"/>
          <w:u w:val="single"/>
        </w:rPr>
      </w:pPr>
      <w:r>
        <w:rPr>
          <w:rFonts w:ascii="Adelle Sans;sans-serif" w:hAnsi="Adelle Sans;sans-serif"/>
          <w:b w:val="false"/>
          <w:color w:val="000000"/>
          <w:sz w:val="20"/>
          <w:u w:val="single"/>
        </w:rPr>
        <w:t>________________________________________________</w:t>
      </w:r>
    </w:p>
    <w:p>
      <w:pPr>
        <w:pStyle w:val="TextBody"/>
        <w:bidi w:val="0"/>
        <w:spacing w:lineRule="auto" w:line="333" w:before="0" w:after="0"/>
        <w:jc w:val="center"/>
        <w:rPr>
          <w:color w:val="000000"/>
        </w:rPr>
      </w:pPr>
      <w:r>
        <w:rPr>
          <w:color w:val="000000"/>
        </w:rPr>
        <w:t> </w:t>
      </w:r>
    </w:p>
    <w:p>
      <w:pPr>
        <w:pStyle w:val="TextBody"/>
        <w:bidi w:val="0"/>
        <w:spacing w:lineRule="auto" w:line="333" w:before="0" w:after="0"/>
        <w:jc w:val="center"/>
        <w:rPr>
          <w:rFonts w:ascii="Adelle Sans;sans-serif" w:hAnsi="Adelle Sans;sans-serif"/>
          <w:b/>
          <w:color w:val="000000"/>
          <w:sz w:val="20"/>
        </w:rPr>
      </w:pPr>
      <w:r>
        <w:rPr>
          <w:rFonts w:ascii="Adelle Sans;sans-serif" w:hAnsi="Adelle Sans;sans-serif"/>
          <w:b/>
          <w:color w:val="000000"/>
          <w:sz w:val="20"/>
        </w:rPr>
        <w:t>CURRENT REPORT</w:t>
      </w:r>
    </w:p>
    <w:p>
      <w:pPr>
        <w:pStyle w:val="TextBody"/>
        <w:bidi w:val="0"/>
        <w:spacing w:lineRule="auto" w:line="333" w:before="0" w:after="0"/>
        <w:jc w:val="center"/>
        <w:rPr>
          <w:rFonts w:ascii="Adelle Sans;sans-serif" w:hAnsi="Adelle Sans;sans-serif"/>
          <w:b/>
          <w:color w:val="000000"/>
          <w:sz w:val="20"/>
        </w:rPr>
      </w:pPr>
      <w:r>
        <w:rPr>
          <w:rFonts w:ascii="Adelle Sans;sans-serif" w:hAnsi="Adelle Sans;sans-serif"/>
          <w:b/>
          <w:color w:val="000000"/>
          <w:sz w:val="20"/>
        </w:rPr>
        <w:t>Pursuant to Section 13 or 15(d) of the</w:t>
      </w:r>
    </w:p>
    <w:p>
      <w:pPr>
        <w:pStyle w:val="TextBody"/>
        <w:bidi w:val="0"/>
        <w:spacing w:lineRule="auto" w:line="333" w:before="0" w:after="0"/>
        <w:jc w:val="center"/>
        <w:rPr>
          <w:rFonts w:ascii="Adelle Sans;sans-serif" w:hAnsi="Adelle Sans;sans-serif"/>
          <w:b/>
          <w:color w:val="000000"/>
          <w:sz w:val="20"/>
        </w:rPr>
      </w:pPr>
      <w:r>
        <w:rPr>
          <w:rFonts w:ascii="Adelle Sans;sans-serif" w:hAnsi="Adelle Sans;sans-serif"/>
          <w:b/>
          <w:color w:val="000000"/>
          <w:sz w:val="20"/>
        </w:rPr>
        <w:t>Securities Exchange Act of 1934</w:t>
      </w:r>
    </w:p>
    <w:p>
      <w:pPr>
        <w:pStyle w:val="TextBody"/>
        <w:bidi w:val="0"/>
        <w:spacing w:lineRule="auto" w:line="333" w:before="0" w:after="0"/>
        <w:jc w:val="center"/>
        <w:rPr/>
      </w:pPr>
      <w:r>
        <w:rPr>
          <w:rFonts w:ascii="Adelle Sans;sans-serif" w:hAnsi="Adelle Sans;sans-serif"/>
          <w:b w:val="false"/>
          <w:color w:val="000000"/>
          <w:sz w:val="16"/>
        </w:rPr>
        <w:t xml:space="preserve">Date of Report (Date of earliest event reported): </w:t>
      </w:r>
      <w:r>
        <w:rPr>
          <w:rFonts w:ascii="Adelle Sans;sans-serif" w:hAnsi="Adelle Sans;sans-serif"/>
          <w:b/>
          <w:color w:val="000000"/>
          <w:sz w:val="16"/>
        </w:rPr>
        <w:t>August 5, 2026</w:t>
      </w:r>
    </w:p>
    <w:p>
      <w:pPr>
        <w:pStyle w:val="TextBody"/>
        <w:bidi w:val="0"/>
        <w:spacing w:before="120" w:after="283"/>
        <w:jc w:val="center"/>
        <w:rPr/>
      </w:pPr>
      <w:r>
        <w:rPr/>
        <w:drawing>
          <wp:inline distT="0" distB="0" distL="0" distR="0">
            <wp:extent cx="1638300" cy="4667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38300" cy="466725"/>
                    </a:xfrm>
                    <a:prstGeom prst="rect">
                      <a:avLst/>
                    </a:prstGeom>
                  </pic:spPr>
                </pic:pic>
              </a:graphicData>
            </a:graphic>
          </wp:inline>
        </w:drawing>
      </w:r>
      <w:bookmarkStart w:id="0" w:name="i-1"/>
      <w:bookmarkEnd w:id="0"/>
    </w:p>
    <w:p>
      <w:pPr>
        <w:pStyle w:val="TextBody"/>
        <w:bidi w:val="0"/>
        <w:spacing w:lineRule="auto" w:line="333" w:before="0" w:after="0"/>
        <w:jc w:val="center"/>
        <w:rPr>
          <w:rFonts w:ascii="Adelle Sans;sans-serif" w:hAnsi="Adelle Sans;sans-serif"/>
          <w:b w:val="false"/>
          <w:color w:val="000000"/>
          <w:sz w:val="20"/>
          <w:u w:val="single"/>
        </w:rPr>
      </w:pPr>
      <w:r>
        <w:rPr>
          <w:rFonts w:ascii="Adelle Sans;sans-serif" w:hAnsi="Adelle Sans;sans-serif"/>
          <w:b w:val="false"/>
          <w:color w:val="000000"/>
          <w:sz w:val="20"/>
          <w:u w:val="single"/>
        </w:rPr>
        <w:t>________________________________________________</w:t>
      </w:r>
    </w:p>
    <w:p>
      <w:pPr>
        <w:pStyle w:val="TextBody"/>
        <w:bidi w:val="0"/>
        <w:spacing w:lineRule="auto" w:line="288" w:before="0" w:after="0"/>
        <w:jc w:val="center"/>
        <w:rPr>
          <w:rFonts w:ascii="Adelle Sans;sans-serif" w:hAnsi="Adelle Sans;sans-serif"/>
          <w:b/>
          <w:color w:val="000000"/>
          <w:sz w:val="20"/>
        </w:rPr>
      </w:pPr>
      <w:r>
        <w:rPr>
          <w:rFonts w:ascii="Adelle Sans;sans-serif" w:hAnsi="Adelle Sans;sans-serif"/>
          <w:b/>
          <w:color w:val="000000"/>
          <w:sz w:val="20"/>
        </w:rPr>
        <w:t>Shopify Inc.</w:t>
      </w:r>
    </w:p>
    <w:p>
      <w:pPr>
        <w:pStyle w:val="TextBody"/>
        <w:bidi w:val="0"/>
        <w:spacing w:lineRule="auto" w:line="333" w:before="0" w:after="0"/>
        <w:jc w:val="center"/>
        <w:rPr/>
      </w:pPr>
      <w:r>
        <w:rPr>
          <w:rFonts w:ascii="Adelle Sans;sans-serif" w:hAnsi="Adelle Sans;sans-serif"/>
          <w:b w:val="false"/>
          <w:color w:val="000000"/>
          <w:sz w:val="16"/>
        </w:rPr>
        <w:t>(Exact name of registrant as specified in its charter)</w:t>
        <w:br/>
      </w:r>
      <w:r>
        <w:rPr>
          <w:rFonts w:ascii="Adelle Sans;sans-serif" w:hAnsi="Adelle Sans;sans-serif"/>
          <w:b w:val="false"/>
          <w:color w:val="000000"/>
          <w:sz w:val="20"/>
          <w:u w:val="single"/>
        </w:rPr>
        <w:t>________________________________________________</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795"/>
        <w:gridCol w:w="694"/>
        <w:gridCol w:w="694"/>
        <w:gridCol w:w="694"/>
        <w:gridCol w:w="694"/>
        <w:gridCol w:w="732"/>
        <w:gridCol w:w="407"/>
        <w:gridCol w:w="353"/>
        <w:gridCol w:w="353"/>
        <w:gridCol w:w="407"/>
        <w:gridCol w:w="374"/>
        <w:gridCol w:w="353"/>
        <w:gridCol w:w="407"/>
        <w:gridCol w:w="358"/>
        <w:gridCol w:w="363"/>
        <w:gridCol w:w="393"/>
        <w:gridCol w:w="393"/>
        <w:gridCol w:w="393"/>
        <w:gridCol w:w="393"/>
        <w:gridCol w:w="393"/>
        <w:gridCol w:w="562"/>
      </w:tblGrid>
      <w:tr>
        <w:trPr/>
        <w:tc>
          <w:tcPr>
            <w:tcW w:w="795"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r>
      <w:tr>
        <w:trPr/>
        <w:tc>
          <w:tcPr>
            <w:tcW w:w="430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6"/>
              </w:rPr>
            </w:pPr>
            <w:r>
              <w:rPr>
                <w:rFonts w:ascii="Adelle Sans;sans-serif" w:hAnsi="Adelle Sans;sans-serif"/>
                <w:b/>
                <w:color w:val="000000"/>
                <w:sz w:val="16"/>
              </w:rPr>
              <w:t>Canada</w:t>
            </w:r>
          </w:p>
        </w:tc>
        <w:tc>
          <w:tcPr>
            <w:tcW w:w="33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6"/>
              </w:rPr>
            </w:pPr>
            <w:r>
              <w:rPr>
                <w:rFonts w:ascii="Adelle Sans;sans-serif" w:hAnsi="Adelle Sans;sans-serif"/>
                <w:b/>
                <w:color w:val="000000"/>
                <w:sz w:val="16"/>
              </w:rPr>
              <w:t>001-37400</w:t>
            </w:r>
          </w:p>
        </w:tc>
        <w:tc>
          <w:tcPr>
            <w:tcW w:w="252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6"/>
              </w:rPr>
            </w:pPr>
            <w:r>
              <w:rPr>
                <w:rFonts w:ascii="Adelle Sans;sans-serif" w:hAnsi="Adelle Sans;sans-serif"/>
                <w:b/>
                <w:color w:val="000000"/>
                <w:sz w:val="16"/>
              </w:rPr>
              <w:t>98-0486686</w:t>
            </w:r>
          </w:p>
        </w:tc>
      </w:tr>
      <w:tr>
        <w:trPr/>
        <w:tc>
          <w:tcPr>
            <w:tcW w:w="430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(State or other jurisdiction of incorporation or organization)</w:t>
            </w:r>
          </w:p>
        </w:tc>
        <w:tc>
          <w:tcPr>
            <w:tcW w:w="33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(Commission File Number)</w:t>
            </w:r>
          </w:p>
        </w:tc>
        <w:tc>
          <w:tcPr>
            <w:tcW w:w="252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(IRS Employer Identification No.)</w:t>
            </w:r>
          </w:p>
        </w:tc>
      </w:tr>
      <w:tr>
        <w:trPr/>
        <w:tc>
          <w:tcPr>
            <w:tcW w:w="2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6"/>
              </w:rPr>
            </w:pPr>
            <w:r>
              <w:rPr>
                <w:rFonts w:ascii="Adelle Sans;sans-serif" w:hAnsi="Adelle Sans;sans-serif"/>
                <w:b/>
                <w:color w:val="000000"/>
                <w:sz w:val="16"/>
              </w:rPr>
              <w:t>8488 Rozita Lee Ave, Bldg 3 Suite 100</w:t>
            </w:r>
          </w:p>
        </w:tc>
        <w:tc>
          <w:tcPr>
            <w:tcW w:w="252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color w:val="000000"/>
                <w:sz w:val="16"/>
              </w:rPr>
            </w:pPr>
            <w:r>
              <w:rPr>
                <w:rFonts w:ascii="Adelle Sans;sans-serif" w:hAnsi="Adelle Sans;sans-serif"/>
                <w:b/>
                <w:color w:val="000000"/>
                <w:sz w:val="16"/>
              </w:rPr>
              <w:t>Las Vegas,</w:t>
            </w:r>
          </w:p>
        </w:tc>
        <w:tc>
          <w:tcPr>
            <w:tcW w:w="1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16"/>
              </w:rPr>
            </w:pPr>
            <w:r>
              <w:rPr>
                <w:rFonts w:ascii="Adelle Sans;sans-serif" w:hAnsi="Adelle Sans;sans-serif"/>
                <w:b/>
                <w:color w:val="000000"/>
                <w:sz w:val="16"/>
              </w:rPr>
              <w:t>Nevada</w:t>
            </w:r>
          </w:p>
        </w:tc>
        <w:tc>
          <w:tcPr>
            <w:tcW w:w="112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delle Sans;sans-serif" w:hAnsi="Adelle Sans;sans-serif"/>
                <w:b/>
                <w:color w:val="000000"/>
                <w:sz w:val="16"/>
              </w:rPr>
            </w:pPr>
            <w:r>
              <w:rPr>
                <w:rFonts w:ascii="Adelle Sans;sans-serif" w:hAnsi="Adelle Sans;sans-serif"/>
                <w:b/>
                <w:color w:val="000000"/>
                <w:sz w:val="16"/>
              </w:rPr>
              <w:t>89113</w:t>
            </w:r>
          </w:p>
        </w:tc>
        <w:tc>
          <w:tcPr>
            <w:tcW w:w="252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16"/>
              </w:rPr>
            </w:pPr>
            <w:r>
              <w:rPr>
                <w:rFonts w:ascii="Adelle Sans;sans-serif" w:hAnsi="Adelle Sans;sans-serif"/>
                <w:b w:val="false"/>
                <w:color w:val="000000"/>
                <w:sz w:val="16"/>
              </w:rPr>
              <w:t>(Address of principal executive office, including zip code)</w:t>
            </w:r>
          </w:p>
        </w:tc>
      </w:tr>
      <w:tr>
        <w:trPr/>
        <w:tc>
          <w:tcPr>
            <w:tcW w:w="10205" w:type="dxa"/>
            <w:gridSpan w:val="2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333" w:before="0" w:after="0"/>
        <w:jc w:val="center"/>
        <w:rPr/>
      </w:pPr>
      <w:r>
        <w:rPr>
          <w:rFonts w:ascii="Adelle Sans;sans-serif" w:hAnsi="Adelle Sans;sans-serif"/>
          <w:b/>
          <w:color w:val="000000"/>
          <w:sz w:val="16"/>
        </w:rPr>
        <w:t>Registrant’s Telephone Number, Including Area Code:</w:t>
      </w:r>
      <w:r>
        <w:rPr>
          <w:color w:val="000000"/>
        </w:rPr>
        <w:t xml:space="preserve"> </w:t>
      </w:r>
      <w:r>
        <w:rPr>
          <w:rFonts w:ascii="Adelle Sans;sans-serif" w:hAnsi="Adelle Sans;sans-serif"/>
          <w:b/>
          <w:color w:val="000000"/>
          <w:sz w:val="16"/>
        </w:rPr>
        <w:t>(613) 241-2828 x 1045</w:t>
      </w:r>
    </w:p>
    <w:p>
      <w:pPr>
        <w:pStyle w:val="TextBody"/>
        <w:bidi w:val="0"/>
        <w:spacing w:lineRule="auto" w:line="333" w:before="0" w:after="0"/>
        <w:jc w:val="center"/>
        <w:rPr>
          <w:color w:val="000000"/>
        </w:rPr>
      </w:pPr>
      <w:r>
        <w:rPr>
          <w:color w:val="000000"/>
        </w:rPr>
        <w:t> </w:t>
      </w:r>
    </w:p>
    <w:p>
      <w:pPr>
        <w:pStyle w:val="TextBody"/>
        <w:bidi w:val="0"/>
        <w:spacing w:lineRule="auto" w:line="333" w:before="0" w:after="0"/>
        <w:jc w:val="center"/>
        <w:rPr>
          <w:rFonts w:ascii="Adelle Sans;sans-serif" w:hAnsi="Adelle Sans;sans-serif"/>
          <w:b w:val="false"/>
          <w:color w:val="000000"/>
          <w:sz w:val="20"/>
          <w:u w:val="single"/>
        </w:rPr>
      </w:pPr>
      <w:r>
        <w:rPr>
          <w:rFonts w:ascii="Adelle Sans;sans-serif" w:hAnsi="Adelle Sans;sans-serif"/>
          <w:b w:val="false"/>
          <w:color w:val="000000"/>
          <w:sz w:val="20"/>
          <w:u w:val="single"/>
        </w:rPr>
        <w:t>________________________________________________</w:t>
      </w:r>
    </w:p>
    <w:p>
      <w:pPr>
        <w:pStyle w:val="TextBody"/>
        <w:bidi w:val="0"/>
        <w:spacing w:before="0" w:after="0"/>
        <w:jc w:val="left"/>
        <w:rPr/>
      </w:pPr>
      <w:r>
        <w:rPr/>
      </w:r>
    </w:p>
    <w:p>
      <w:pPr>
        <w:pStyle w:val="TextBody"/>
        <w:bidi w:val="0"/>
        <w:spacing w:lineRule="auto" w:line="333" w:before="0" w:after="0"/>
        <w:jc w:val="left"/>
        <w:rPr>
          <w:rFonts w:ascii="Adelle Sans;sans-serif" w:hAnsi="Adelle Sans;sans-serif"/>
          <w:b w:val="false"/>
          <w:color w:val="000000"/>
          <w:sz w:val="20"/>
        </w:rPr>
      </w:pPr>
      <w:r>
        <w:rPr>
          <w:rFonts w:ascii="Adelle Sans;sans-serif" w:hAnsi="Adelle Sans;sans-serif"/>
          <w:b w:val="false"/>
          <w:color w:val="000000"/>
          <w:sz w:val="20"/>
        </w:rPr>
        <w:t>Check the appropriate box below if the Form 8-K is intended to simultaneously satisfy the filing obligation of the registrant under any of the following provisions: </w:t>
      </w:r>
    </w:p>
    <w:tbl>
      <w:tblPr>
        <w:tblW w:w="941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558"/>
        <w:gridCol w:w="2558"/>
        <w:gridCol w:w="36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8" w:type="dxa"/>
            <w:tcBorders/>
            <w:vAlign w:val="center"/>
          </w:tcPr>
          <w:p>
            <w:pPr>
              <w:pStyle w:val="TableContents"/>
              <w:bidi w:val="0"/>
              <w:spacing w:before="0" w:after="283"/>
              <w:jc w:val="left"/>
              <w:rPr>
                <w:sz w:val="4"/>
                <w:szCs w:val="4"/>
              </w:rPr>
            </w:pPr>
            <w:r>
              <w:rPr>
                <w:sz w:val="4"/>
                <w:szCs w:val="4"/>
              </w:rPr>
            </w:r>
          </w:p>
        </w:tc>
        <w:tc>
          <w:tcPr>
            <w:tcW w:w="2558" w:type="dxa"/>
            <w:tcBorders/>
            <w:vAlign w:val="center"/>
          </w:tcPr>
          <w:p>
            <w:pPr>
              <w:pStyle w:val="TableContents"/>
              <w:bidi w:val="0"/>
              <w:spacing w:before="0" w:after="283"/>
              <w:jc w:val="left"/>
              <w:rPr>
                <w:sz w:val="4"/>
                <w:szCs w:val="4"/>
              </w:rPr>
            </w:pPr>
            <w:r>
              <w:rPr>
                <w:sz w:val="4"/>
                <w:szCs w:val="4"/>
              </w:rPr>
            </w:r>
          </w:p>
        </w:tc>
        <w:tc>
          <w:tcPr>
            <w:tcW w:w="36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20"/>
              </w:rPr>
            </w:pPr>
            <w:r>
              <w:rPr>
                <w:rFonts w:ascii="Adelle Sans;sans-serif" w:hAnsi="Adelle Sans;sans-serif"/>
                <w:b w:val="false"/>
                <w:color w:val="000000"/>
                <w:sz w:val="20"/>
              </w:rPr>
              <w:t>Written communications pursuant to Rule 425 under the Securities Act (17 CFR 230.425)</w:t>
            </w:r>
          </w:p>
        </w:tc>
      </w:tr>
    </w:tbl>
    <w:tbl>
      <w:tblPr>
        <w:tblW w:w="94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561"/>
        <w:gridCol w:w="2561"/>
        <w:gridCol w:w="36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1" w:type="dxa"/>
            <w:tcBorders/>
            <w:vAlign w:val="center"/>
          </w:tcPr>
          <w:p>
            <w:pPr>
              <w:pStyle w:val="TableContents"/>
              <w:bidi w:val="0"/>
              <w:spacing w:before="0" w:after="283"/>
              <w:jc w:val="left"/>
              <w:rPr>
                <w:sz w:val="4"/>
                <w:szCs w:val="4"/>
              </w:rPr>
            </w:pPr>
            <w:r>
              <w:rPr>
                <w:sz w:val="4"/>
                <w:szCs w:val="4"/>
              </w:rPr>
            </w:r>
          </w:p>
        </w:tc>
        <w:tc>
          <w:tcPr>
            <w:tcW w:w="2561" w:type="dxa"/>
            <w:tcBorders/>
            <w:vAlign w:val="center"/>
          </w:tcPr>
          <w:p>
            <w:pPr>
              <w:pStyle w:val="TableContents"/>
              <w:bidi w:val="0"/>
              <w:spacing w:before="0" w:after="283"/>
              <w:jc w:val="left"/>
              <w:rPr>
                <w:sz w:val="4"/>
                <w:szCs w:val="4"/>
              </w:rPr>
            </w:pPr>
            <w:r>
              <w:rPr>
                <w:sz w:val="4"/>
                <w:szCs w:val="4"/>
              </w:rPr>
            </w:r>
          </w:p>
        </w:tc>
        <w:tc>
          <w:tcPr>
            <w:tcW w:w="36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20"/>
              </w:rPr>
            </w:pPr>
            <w:r>
              <w:rPr>
                <w:rFonts w:ascii="Adelle Sans;sans-serif" w:hAnsi="Adelle Sans;sans-serif"/>
                <w:b w:val="false"/>
                <w:color w:val="000000"/>
                <w:sz w:val="20"/>
              </w:rPr>
              <w:t>Soliciting material pursuant to Rule 14a-12 under the Exchange Act (17 CFR 240.14a-12)</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20"/>
              </w:rPr>
            </w:pPr>
            <w:r>
              <w:rPr>
                <w:rFonts w:ascii="Adelle Sans;sans-serif" w:hAnsi="Adelle Sans;sans-serif"/>
                <w:b w:val="false"/>
                <w:color w:val="000000"/>
                <w:sz w:val="20"/>
              </w:rPr>
              <w:t>Pre-commencement communications pursuant to Rule 14d-2(b) under the Exchange Act (17 CFR 240.14d-2(b))</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20"/>
              </w:rPr>
            </w:pPr>
            <w:r>
              <w:rPr>
                <w:rFonts w:ascii="Adelle Sans;sans-serif" w:hAnsi="Adelle Sans;sans-serif"/>
                <w:b w:val="false"/>
                <w:color w:val="000000"/>
                <w:sz w:val="20"/>
              </w:rPr>
              <w:t>Pre-commencement communications pursuant to Rule 13e-4(c) under the Exchange Act (17 CFR 240.13e-4(c)</w:t>
            </w:r>
          </w:p>
        </w:tc>
      </w:tr>
    </w:tbl>
    <w:tbl>
      <w:tblPr>
        <w:tblW w:w="10205" w:type="dxa"/>
        <w:jc w:val="left"/>
        <w:tblInd w:w="0" w:type="dxa"/>
        <w:tblLayout w:type="fixed"/>
        <w:tblCellMar>
          <w:top w:w="28" w:type="dxa"/>
          <w:left w:w="28" w:type="dxa"/>
          <w:bottom w:w="28" w:type="dxa"/>
          <w:right w:w="28" w:type="dxa"/>
        </w:tblCellMar>
      </w:tblPr>
      <w:tblGrid>
        <w:gridCol w:w="1275"/>
        <w:gridCol w:w="1120"/>
        <w:gridCol w:w="1029"/>
        <w:gridCol w:w="317"/>
        <w:gridCol w:w="317"/>
        <w:gridCol w:w="317"/>
        <w:gridCol w:w="370"/>
        <w:gridCol w:w="368"/>
        <w:gridCol w:w="317"/>
        <w:gridCol w:w="317"/>
        <w:gridCol w:w="317"/>
        <w:gridCol w:w="317"/>
        <w:gridCol w:w="1126"/>
        <w:gridCol w:w="1126"/>
        <w:gridCol w:w="1572"/>
      </w:tblGrid>
      <w:tr>
        <w:trPr/>
        <w:tc>
          <w:tcPr>
            <w:tcW w:w="1275"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20"/>
              </w:rPr>
            </w:pPr>
            <w:r>
              <w:rPr>
                <w:rFonts w:ascii="Adelle Sans;sans-serif" w:hAnsi="Adelle Sans;sans-serif"/>
                <w:b w:val="false"/>
                <w:color w:val="000000"/>
                <w:sz w:val="20"/>
              </w:rPr>
              <w:t>Securities registered pursuant to Section 12(b) of the Act:</w:t>
            </w:r>
          </w:p>
        </w:tc>
      </w:tr>
      <w:tr>
        <w:trPr/>
        <w:tc>
          <w:tcPr>
            <w:tcW w:w="3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20"/>
              </w:rPr>
            </w:pPr>
            <w:r>
              <w:rPr>
                <w:rFonts w:ascii="Adelle Sans;sans-serif" w:hAnsi="Adelle Sans;sans-serif"/>
                <w:b w:val="false"/>
                <w:color w:val="000000"/>
                <w:sz w:val="20"/>
              </w:rPr>
              <w:t>Title of each class</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20"/>
              </w:rPr>
            </w:pPr>
            <w:r>
              <w:rPr>
                <w:rFonts w:ascii="Adelle Sans;sans-serif" w:hAnsi="Adelle Sans;sans-serif"/>
                <w:b w:val="false"/>
                <w:color w:val="000000"/>
                <w:sz w:val="20"/>
              </w:rPr>
              <w:t>Trading</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val="false"/>
                <w:color w:val="000000"/>
                <w:sz w:val="20"/>
              </w:rPr>
            </w:pPr>
            <w:r>
              <w:rPr>
                <w:rFonts w:ascii="Adelle Sans;sans-serif" w:hAnsi="Adelle Sans;sans-serif"/>
                <w:b w:val="false"/>
                <w:color w:val="000000"/>
                <w:sz w:val="20"/>
              </w:rPr>
              <w:t>Name of each exchange on which registered</w:t>
            </w:r>
          </w:p>
        </w:tc>
      </w:tr>
      <w:tr>
        <w:trPr/>
        <w:tc>
          <w:tcPr>
            <w:tcW w:w="3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20"/>
              </w:rPr>
            </w:pPr>
            <w:r>
              <w:rPr>
                <w:rFonts w:ascii="Adelle Sans;sans-serif" w:hAnsi="Adelle Sans;sans-serif"/>
                <w:b/>
                <w:color w:val="000000"/>
                <w:sz w:val="20"/>
              </w:rPr>
              <w:t>Class A Subordinate Voting Shares</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20"/>
              </w:rPr>
            </w:pPr>
            <w:r>
              <w:rPr>
                <w:rFonts w:ascii="Adelle Sans;sans-serif" w:hAnsi="Adelle Sans;sans-serif"/>
                <w:b/>
                <w:color w:val="000000"/>
                <w:sz w:val="20"/>
              </w:rPr>
              <w:t>SHOP</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20"/>
              </w:rPr>
            </w:pPr>
            <w:r>
              <w:rPr>
                <w:rFonts w:ascii="Adelle Sans;sans-serif" w:hAnsi="Adelle Sans;sans-serif"/>
                <w:b/>
                <w:color w:val="000000"/>
                <w:sz w:val="20"/>
              </w:rPr>
              <w:t>The Nasdaq Global Select Market</w:t>
            </w:r>
          </w:p>
        </w:tc>
      </w:tr>
    </w:tbl>
    <w:p>
      <w:pPr>
        <w:pStyle w:val="TextBody"/>
        <w:bidi w:val="0"/>
        <w:spacing w:before="0" w:after="0"/>
        <w:jc w:val="left"/>
        <w:rPr/>
      </w:pPr>
      <w:r>
        <w:rPr/>
      </w:r>
    </w:p>
    <w:p>
      <w:pPr>
        <w:pStyle w:val="TextBody"/>
        <w:bidi w:val="0"/>
        <w:spacing w:lineRule="auto" w:line="240" w:before="0" w:after="0"/>
        <w:jc w:val="left"/>
        <w:rPr>
          <w:rFonts w:ascii="Adelle Sans;sans-serif" w:hAnsi="Adelle Sans;sans-serif"/>
          <w:b w:val="false"/>
          <w:color w:val="000000"/>
          <w:sz w:val="20"/>
        </w:rPr>
      </w:pPr>
      <w:r>
        <w:rPr>
          <w:rFonts w:ascii="Adelle Sans;sans-serif" w:hAnsi="Adelle Sans;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333" w:before="0" w:after="120"/>
        <w:jc w:val="left"/>
        <w:rPr>
          <w:rFonts w:ascii="Adelle Sans;sans-serif" w:hAnsi="Adelle Sans;sans-serif"/>
          <w:b w:val="false"/>
          <w:color w:val="000000"/>
          <w:sz w:val="20"/>
        </w:rPr>
      </w:pPr>
      <w:r>
        <w:rPr>
          <w:rFonts w:ascii="Adelle Sans;sans-serif" w:hAnsi="Adelle Sans;sans-serif"/>
          <w:b w:val="false"/>
          <w:color w:val="000000"/>
          <w:sz w:val="20"/>
        </w:rPr>
        <w:t>Emerging growth company ☐</w:t>
      </w:r>
    </w:p>
    <w:p>
      <w:pPr>
        <w:pStyle w:val="TextBody"/>
        <w:bidi w:val="0"/>
        <w:spacing w:lineRule="auto" w:line="333" w:before="0" w:after="120"/>
        <w:jc w:val="both"/>
        <w:rPr>
          <w:rFonts w:ascii="Adelle Sans;sans-serif" w:hAnsi="Adelle Sans;sans-serif"/>
          <w:b w:val="false"/>
          <w:color w:val="000000"/>
          <w:sz w:val="20"/>
        </w:rPr>
      </w:pPr>
      <w:r>
        <w:rPr>
          <w:rFonts w:ascii="Adelle Sans;sans-serif" w:hAnsi="Adelle Sans;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319" w:before="0" w:after="0"/>
        <w:ind w:left="0" w:right="0" w:hanging="1350"/>
        <w:jc w:val="both"/>
        <w:rPr>
          <w:rFonts w:ascii="Adelle Sans;sans-serif" w:hAnsi="Adelle Sans;sans-serif"/>
          <w:b/>
          <w:color w:val="000000"/>
          <w:sz w:val="20"/>
        </w:rPr>
      </w:pPr>
      <w:r>
        <w:rPr>
          <w:rFonts w:ascii="Adelle Sans;sans-serif" w:hAnsi="Adelle Sans;sans-serif"/>
          <w:b/>
          <w:color w:val="000000"/>
          <w:sz w:val="20"/>
        </w:rPr>
        <w:t>Item 2.02.    Results of Operations and Financial Condition.</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 xml:space="preserve">On August 5, 2026, Shopify Inc. (the "Company") issued a press release announcing its financial results for the quarter ended June 30, 2026. A copy of the press release is furnished as Exhibit 99.1 to this report. </w:t>
      </w:r>
    </w:p>
    <w:p>
      <w:pPr>
        <w:pStyle w:val="TextBody"/>
        <w:bidi w:val="0"/>
        <w:spacing w:before="0" w:after="0"/>
        <w:jc w:val="both"/>
        <w:rPr/>
      </w:pPr>
      <w:r>
        <w:rPr/>
      </w:r>
    </w:p>
    <w:p>
      <w:pPr>
        <w:pStyle w:val="TextBody"/>
        <w:bidi w:val="0"/>
        <w:spacing w:lineRule="auto" w:line="288" w:before="0" w:after="0"/>
        <w:jc w:val="both"/>
        <w:rPr>
          <w:rFonts w:ascii="Adelle Sans;sans-serif" w:hAnsi="Adelle Sans;sans-serif"/>
          <w:b w:val="false"/>
          <w:color w:val="000000"/>
          <w:sz w:val="20"/>
        </w:rPr>
      </w:pPr>
      <w:r>
        <w:rPr>
          <w:rFonts w:ascii="Adelle Sans;sans-serif" w:hAnsi="Adelle Sans;sans-serif"/>
          <w:b w:val="false"/>
          <w:color w:val="000000"/>
          <w:sz w:val="20"/>
        </w:rPr>
        <w:t>The information furnished with this Item 2.02, including Exhibit 99.1, shall not be deemed "filed" for the purposes of Section 18 of the Securities Exchange Act of 1934, as amended (the "Exchange Act"), or otherwise subject to the liabilities of that section, nor shall it be deemed incorporated by reference into any other filing under the Securities Act of 1933, as amended, or the Exchange Act, except as expressly set forth by specific reference in such a filing.</w:t>
      </w:r>
    </w:p>
    <w:p>
      <w:pPr>
        <w:pStyle w:val="TextBody"/>
        <w:bidi w:val="0"/>
        <w:spacing w:before="0" w:after="0"/>
        <w:jc w:val="both"/>
        <w:rPr/>
      </w:pPr>
      <w:r>
        <w:rPr/>
      </w:r>
    </w:p>
    <w:p>
      <w:pPr>
        <w:pStyle w:val="TextBody"/>
        <w:bidi w:val="0"/>
        <w:spacing w:lineRule="auto" w:line="319" w:before="0" w:after="0"/>
        <w:ind w:left="0" w:right="0" w:hanging="1350"/>
        <w:jc w:val="both"/>
        <w:rPr>
          <w:rFonts w:ascii="Adelle Sans;sans-serif" w:hAnsi="Adelle Sans;sans-serif"/>
          <w:b/>
          <w:color w:val="000000"/>
          <w:sz w:val="20"/>
        </w:rPr>
      </w:pPr>
      <w:r>
        <w:rPr>
          <w:rFonts w:ascii="Adelle Sans;sans-serif" w:hAnsi="Adelle Sans;sans-serif"/>
          <w:b/>
          <w:color w:val="000000"/>
          <w:sz w:val="20"/>
        </w:rPr>
        <w:t>Item 9.01.    Financial Statements and Exhibits.</w:t>
      </w:r>
    </w:p>
    <w:tbl>
      <w:tblPr>
        <w:tblW w:w="9417" w:type="dxa"/>
        <w:jc w:val="left"/>
        <w:tblInd w:w="0" w:type="dxa"/>
        <w:tblLayout w:type="fixed"/>
        <w:tblCellMar>
          <w:top w:w="28" w:type="dxa"/>
          <w:left w:w="28" w:type="dxa"/>
          <w:bottom w:w="28" w:type="dxa"/>
          <w:right w:w="28" w:type="dxa"/>
        </w:tblCellMar>
      </w:tblPr>
      <w:tblGrid>
        <w:gridCol w:w="473"/>
        <w:gridCol w:w="416"/>
        <w:gridCol w:w="417"/>
        <w:gridCol w:w="109"/>
        <w:gridCol w:w="109"/>
        <w:gridCol w:w="109"/>
        <w:gridCol w:w="2280"/>
        <w:gridCol w:w="2280"/>
        <w:gridCol w:w="3224"/>
      </w:tblGrid>
      <w:tr>
        <w:trPr/>
        <w:tc>
          <w:tcPr>
            <w:tcW w:w="473"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0" w:type="dxa"/>
            <w:tcBorders/>
            <w:vAlign w:val="center"/>
          </w:tcPr>
          <w:p>
            <w:pPr>
              <w:pStyle w:val="TableContents"/>
              <w:bidi w:val="0"/>
              <w:spacing w:before="0" w:after="283"/>
              <w:jc w:val="left"/>
              <w:rPr>
                <w:sz w:val="4"/>
                <w:szCs w:val="4"/>
              </w:rPr>
            </w:pPr>
            <w:r>
              <w:rPr>
                <w:sz w:val="4"/>
                <w:szCs w:val="4"/>
              </w:rPr>
            </w:r>
          </w:p>
        </w:tc>
        <w:tc>
          <w:tcPr>
            <w:tcW w:w="2280" w:type="dxa"/>
            <w:tcBorders/>
            <w:vAlign w:val="center"/>
          </w:tcPr>
          <w:p>
            <w:pPr>
              <w:pStyle w:val="TableContents"/>
              <w:bidi w:val="0"/>
              <w:spacing w:before="0" w:after="283"/>
              <w:jc w:val="left"/>
              <w:rPr>
                <w:sz w:val="4"/>
                <w:szCs w:val="4"/>
              </w:rPr>
            </w:pPr>
            <w:r>
              <w:rPr>
                <w:sz w:val="4"/>
                <w:szCs w:val="4"/>
              </w:rPr>
            </w:r>
          </w:p>
        </w:tc>
        <w:tc>
          <w:tcPr>
            <w:tcW w:w="322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20"/>
              </w:rPr>
            </w:pPr>
            <w:r>
              <w:rPr>
                <w:rFonts w:ascii="Adelle Sans;sans-serif" w:hAnsi="Adelle Sans;sans-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20"/>
              </w:rPr>
            </w:pPr>
            <w:r>
              <w:rPr>
                <w:rFonts w:ascii="Adelle Sans;sans-serif" w:hAnsi="Adelle Sans;sans-serif"/>
                <w:b/>
                <w:color w:val="000000"/>
                <w:sz w:val="20"/>
              </w:rPr>
              <w:t>Description</w:t>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20"/>
              </w:rPr>
            </w:pPr>
            <w:r>
              <w:rPr>
                <w:rFonts w:ascii="Adelle Sans;sans-serif" w:hAnsi="Adelle Sans;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1pressreleaseq220.htm">
              <w:r>
                <w:rPr>
                  <w:rStyle w:val="InternetLink"/>
                  <w:rFonts w:ascii="Adelle Sans;sans-serif" w:hAnsi="Adelle Sans;sans-serif"/>
                  <w:b w:val="false"/>
                  <w:color w:val="0000FF"/>
                  <w:sz w:val="20"/>
                  <w:u w:val="single"/>
                </w:rPr>
                <w:t>Press release of financial results issued by Shopify Inc. on August 5, 2026</w:t>
              </w:r>
            </w:hyperlink>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20"/>
              </w:rPr>
            </w:pPr>
            <w:r>
              <w:rPr>
                <w:rFonts w:ascii="Adelle Sans;sans-serif" w:hAnsi="Adelle Sans;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20"/>
              </w:rPr>
            </w:pPr>
            <w:r>
              <w:rPr>
                <w:rFonts w:ascii="Adelle Sans;sans-serif" w:hAnsi="Adelle Sans;sans-serif"/>
                <w:b w:val="false"/>
                <w:color w:val="000000"/>
                <w:sz w:val="20"/>
              </w:rPr>
              <w:t>Cover Page Interactive Data File (embedded within the Inline XBRL document)</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333" w:before="0" w:after="0"/>
        <w:jc w:val="center"/>
        <w:rPr>
          <w:rFonts w:ascii="Adelle Sans;sans-serif" w:hAnsi="Adelle Sans;sans-serif"/>
          <w:b/>
          <w:color w:val="000000"/>
          <w:sz w:val="20"/>
        </w:rPr>
      </w:pPr>
      <w:r>
        <w:rPr>
          <w:rFonts w:ascii="Adelle Sans;sans-serif" w:hAnsi="Adelle Sans;sans-serif"/>
          <w:b/>
          <w:color w:val="000000"/>
          <w:sz w:val="20"/>
        </w:rPr>
        <w:t>SIGNATURES</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left"/>
        <w:rPr>
          <w:rFonts w:ascii="Adelle Sans;sans-serif" w:hAnsi="Adelle Sans;sans-serif"/>
          <w:b w:val="false"/>
          <w:color w:val="000000"/>
          <w:sz w:val="20"/>
        </w:rPr>
      </w:pPr>
      <w:r>
        <w:rPr>
          <w:rFonts w:ascii="Adelle Sans;sans-serif" w:hAnsi="Adelle Sans;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333" w:before="0" w:after="0"/>
        <w:jc w:val="left"/>
        <w:rPr>
          <w:color w:val="000000"/>
        </w:rPr>
      </w:pPr>
      <w:r>
        <w:rPr>
          <w:color w:val="000000"/>
        </w:rPr>
        <w:t> </w:t>
      </w:r>
    </w:p>
    <w:tbl>
      <w:tblPr>
        <w:tblW w:w="5584" w:type="dxa"/>
        <w:jc w:val="left"/>
        <w:tblInd w:w="0" w:type="dxa"/>
        <w:tblLayout w:type="fixed"/>
        <w:tblCellMar>
          <w:top w:w="28" w:type="dxa"/>
          <w:left w:w="28" w:type="dxa"/>
          <w:bottom w:w="28" w:type="dxa"/>
          <w:right w:w="28" w:type="dxa"/>
        </w:tblCellMar>
      </w:tblPr>
      <w:tblGrid>
        <w:gridCol w:w="782"/>
        <w:gridCol w:w="685"/>
        <w:gridCol w:w="692"/>
        <w:gridCol w:w="257"/>
        <w:gridCol w:w="257"/>
        <w:gridCol w:w="257"/>
        <w:gridCol w:w="773"/>
        <w:gridCol w:w="773"/>
        <w:gridCol w:w="1108"/>
      </w:tblGrid>
      <w:tr>
        <w:trPr/>
        <w:tc>
          <w:tcPr>
            <w:tcW w:w="782"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20"/>
              </w:rPr>
            </w:pPr>
            <w:r>
              <w:rPr>
                <w:rFonts w:ascii="Adelle Sans;sans-serif" w:hAnsi="Adelle Sans;sans-serif"/>
                <w:b/>
                <w:color w:val="000000"/>
                <w:sz w:val="20"/>
              </w:rPr>
              <w:t>SHOPIFY INC.</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20"/>
              </w:rPr>
            </w:pPr>
            <w:r>
              <w:rPr>
                <w:rFonts w:ascii="Adelle Sans;sans-serif" w:hAnsi="Adelle Sans;sans-serif"/>
                <w:b w:val="false"/>
                <w:color w:val="000000"/>
                <w:sz w:val="20"/>
              </w:rPr>
              <w:t>Date: August 5, 2026</w:t>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20"/>
              </w:rPr>
            </w:pPr>
            <w:r>
              <w:rPr>
                <w:rFonts w:ascii="Adelle Sans;sans-serif" w:hAnsi="Adelle Sans;sans-serif"/>
                <w:b w:val="false"/>
                <w:color w:val="000000"/>
                <w:sz w:val="20"/>
              </w:rPr>
              <w:t>By:</w:t>
            </w:r>
          </w:p>
        </w:tc>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20"/>
              </w:rPr>
            </w:pPr>
            <w:r>
              <w:rPr>
                <w:rFonts w:ascii="Adelle Sans;sans-serif" w:hAnsi="Adelle Sans;sans-serif"/>
                <w:b w:val="false"/>
                <w:color w:val="000000"/>
                <w:sz w:val="20"/>
              </w:rPr>
              <w:t>/s/ Michael L. Johnson</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55" w:after="30"/>
              <w:jc w:val="left"/>
              <w:rPr>
                <w:rFonts w:ascii="Adelle Sans;sans-serif" w:hAnsi="Adelle Sans;sans-serif"/>
                <w:b w:val="false"/>
                <w:color w:val="000000"/>
                <w:sz w:val="20"/>
              </w:rPr>
            </w:pPr>
            <w:r>
              <w:rPr>
                <w:rFonts w:ascii="Adelle Sans;sans-serif" w:hAnsi="Adelle Sans;sans-serif"/>
                <w:b w:val="false"/>
                <w:color w:val="000000"/>
                <w:sz w:val="20"/>
              </w:rPr>
              <w:t>Name: Michael L. Johnson</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20"/>
              </w:rPr>
            </w:pPr>
            <w:r>
              <w:rPr>
                <w:rFonts w:ascii="Adelle Sans;sans-serif" w:hAnsi="Adelle Sans;sans-serif"/>
                <w:b w:val="false"/>
                <w:color w:val="000000"/>
                <w:sz w:val="20"/>
              </w:rPr>
              <w:t>Title: Corporate Secretary</w:t>
            </w:r>
          </w:p>
        </w:tc>
      </w:tr>
    </w:tbl>
    <w:p>
      <w:pPr>
        <w:pStyle w:val="TextBody"/>
        <w:bidi w:val="0"/>
        <w:spacing w:lineRule="auto" w:line="333" w:before="0" w:after="0"/>
        <w:jc w:val="left"/>
        <w:rPr>
          <w:color w:val="000000"/>
        </w:rPr>
      </w:pPr>
      <w:r>
        <w:rPr>
          <w:color w:val="000000"/>
        </w:rPr>
        <w:t> </w:t>
      </w:r>
    </w:p>
    <w:p>
      <w:pPr>
        <w:pStyle w:val="TextBody"/>
        <w:bidi w:val="0"/>
        <w:spacing w:lineRule="auto" w:line="333" w:before="0" w:after="0"/>
        <w:jc w:val="left"/>
        <w:rPr>
          <w:color w:val="000000"/>
        </w:rPr>
      </w:pPr>
      <w:r>
        <w:rPr>
          <w:color w:val="000000"/>
        </w:rPr>
        <w:t>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drawing>
          <wp:inline distT="0" distB="0" distL="0" distR="0">
            <wp:extent cx="1276350" cy="352425"/>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1276350" cy="352425"/>
                    </a:xfrm>
                    <a:prstGeom prst="rect">
                      <a:avLst/>
                    </a:prstGeom>
                  </pic:spPr>
                </pic:pic>
              </a:graphicData>
            </a:graphic>
          </wp:inline>
        </w:drawing>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5"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left"/>
        <w:rPr>
          <w:rFonts w:ascii="Adelle Sans Light;sans-serif" w:hAnsi="Adelle Sans Light;sans-serif"/>
          <w:b w:val="false"/>
          <w:color w:val="000000"/>
          <w:sz w:val="40"/>
        </w:rPr>
      </w:pPr>
      <w:r>
        <w:rPr>
          <w:rFonts w:ascii="Adelle Sans Light;sans-serif" w:hAnsi="Adelle Sans Light;sans-serif"/>
          <w:b w:val="false"/>
          <w:color w:val="000000"/>
          <w:sz w:val="40"/>
        </w:rPr>
        <w:t xml:space="preserve">Shopify Delivers Big: 30%+ Growth Across </w:t>
        <w:br/>
        <w:t xml:space="preserve">GMV, Revenue, Gross Profit, and Free Cash Flow </w:t>
      </w:r>
    </w:p>
    <w:p>
      <w:pPr>
        <w:pStyle w:val="TextBody"/>
        <w:bidi w:val="0"/>
        <w:spacing w:lineRule="auto" w:line="417" w:before="0" w:after="200"/>
        <w:jc w:val="both"/>
        <w:rPr>
          <w:rFonts w:ascii="Adelle Sans Light;sans-serif" w:hAnsi="Adelle Sans Light;sans-serif"/>
          <w:b w:val="false"/>
          <w:color w:val="000000"/>
          <w:sz w:val="18"/>
        </w:rPr>
      </w:pPr>
      <w:r>
        <w:rPr>
          <w:rFonts w:ascii="Adelle Sans Light;sans-serif" w:hAnsi="Adelle Sans Light;sans-serif"/>
          <w:b w:val="false"/>
          <w:color w:val="000000"/>
          <w:sz w:val="18"/>
        </w:rPr>
        <w:t>August 5, 2026 - Shopify announced today financial results for the quarter ended June 30, 2026. Shopify achieved 34% revenue growth (33% in constant currency) and 18% free cash flow margins.</w:t>
      </w:r>
    </w:p>
    <w:p>
      <w:pPr>
        <w:pStyle w:val="TextBody"/>
        <w:bidi w:val="0"/>
        <w:spacing w:lineRule="auto" w:line="417" w:before="0" w:after="200"/>
        <w:jc w:val="both"/>
        <w:rPr>
          <w:color w:val="000000"/>
        </w:rPr>
      </w:pPr>
      <w:r>
        <w:rPr>
          <w:color w:val="000000"/>
        </w:rPr>
        <w:t>“</w:t>
      </w:r>
      <w:r>
        <w:rPr>
          <w:rFonts w:ascii="Adelle Sans Light;sans-serif" w:hAnsi="Adelle Sans Light;sans-serif"/>
          <w:b w:val="false"/>
          <w:color w:val="000000"/>
          <w:sz w:val="18"/>
        </w:rPr>
        <w:t xml:space="preserve">This was a monster quarter: more than 30% growth in GMV AND revenue AND gross profit AND free cash flow,” said Harley Finkelstein, President of Shopify. “We power every kind of business, and with AI, we're expanding what's possible for all of them. No one else comes close.” </w:t>
      </w:r>
    </w:p>
    <w:p>
      <w:pPr>
        <w:pStyle w:val="TextBody"/>
        <w:bidi w:val="0"/>
        <w:spacing w:lineRule="auto" w:line="417" w:before="0" w:after="200"/>
        <w:jc w:val="both"/>
        <w:rPr>
          <w:color w:val="000000"/>
        </w:rPr>
      </w:pPr>
      <w:r>
        <w:rPr>
          <w:color w:val="000000"/>
        </w:rPr>
        <w:t>“</w:t>
      </w:r>
      <w:r>
        <w:rPr>
          <w:rFonts w:ascii="Adelle Sans Light;sans-serif" w:hAnsi="Adelle Sans Light;sans-serif"/>
          <w:b w:val="false"/>
          <w:color w:val="000000"/>
          <w:sz w:val="18"/>
        </w:rPr>
        <w:t xml:space="preserve">GMV growth accelerated on top of last year’s already strong Q2 with solid results across all merchant sizes, channels, and geographies. Alongside this momentum, we continue to drive operating leverage, which flowed through to 18% free cash flow margins. Broad-based, consistent, and compounding growth with financial discipline; that’s exactly the model that we’ve been building,” said Jeff Hoffmeister, Chief Financial Officer. </w:t>
      </w:r>
    </w:p>
    <w:p>
      <w:pPr>
        <w:pStyle w:val="TextBody"/>
        <w:bidi w:val="0"/>
        <w:spacing w:lineRule="auto" w:line="288" w:before="0" w:after="0"/>
        <w:jc w:val="left"/>
        <w:rPr/>
      </w:pPr>
      <w:r>
        <w:rPr>
          <w:rFonts w:ascii="Adelle Sans;sans-serif" w:hAnsi="Adelle Sans;sans-serif"/>
          <w:b/>
          <w:color w:val="000000"/>
          <w:sz w:val="22"/>
        </w:rPr>
        <w:t>Selected Business Performance Information</w:t>
      </w:r>
      <w:r>
        <w:rPr>
          <w:rFonts w:ascii="Adelle Sans;sans-serif" w:hAnsi="Adelle Sans;sans-serif"/>
          <w:b/>
          <w:color w:val="000000"/>
          <w:sz w:val="14"/>
        </w:rPr>
        <w:t>(1)</w:t>
      </w:r>
    </w:p>
    <w:p>
      <w:pPr>
        <w:pStyle w:val="TextBody"/>
        <w:bidi w:val="0"/>
        <w:spacing w:lineRule="auto" w:line="288" w:before="0" w:after="0"/>
        <w:jc w:val="left"/>
        <w:rPr>
          <w:rFonts w:ascii="Adelle Sans Light;sans-serif" w:hAnsi="Adelle Sans Light;sans-serif"/>
          <w:b w:val="false"/>
          <w:color w:val="000000"/>
          <w:sz w:val="20"/>
        </w:rPr>
      </w:pPr>
      <w:r>
        <w:rPr>
          <w:rFonts w:ascii="Adelle Sans Light;sans-serif" w:hAnsi="Adelle Sans Light;sans-serif"/>
          <w:b w:val="false"/>
          <w:color w:val="000000"/>
          <w:sz w:val="20"/>
        </w:rPr>
        <w:t>(In US $ millions, except percentages)</w:t>
      </w:r>
    </w:p>
    <w:tbl>
      <w:tblPr>
        <w:tblW w:w="6442" w:type="dxa"/>
        <w:jc w:val="left"/>
        <w:tblInd w:w="0" w:type="dxa"/>
        <w:tblLayout w:type="fixed"/>
        <w:tblCellMar>
          <w:top w:w="28" w:type="dxa"/>
          <w:left w:w="28" w:type="dxa"/>
          <w:bottom w:w="28" w:type="dxa"/>
          <w:right w:w="28" w:type="dxa"/>
        </w:tblCellMar>
      </w:tblPr>
      <w:tblGrid>
        <w:gridCol w:w="850"/>
        <w:gridCol w:w="747"/>
        <w:gridCol w:w="757"/>
        <w:gridCol w:w="327"/>
        <w:gridCol w:w="327"/>
        <w:gridCol w:w="816"/>
        <w:gridCol w:w="186"/>
        <w:gridCol w:w="186"/>
        <w:gridCol w:w="186"/>
        <w:gridCol w:w="327"/>
        <w:gridCol w:w="327"/>
        <w:gridCol w:w="816"/>
        <w:gridCol w:w="109"/>
        <w:gridCol w:w="109"/>
        <w:gridCol w:w="109"/>
        <w:gridCol w:w="109"/>
        <w:gridCol w:w="154"/>
      </w:tblGrid>
      <w:tr>
        <w:trPr/>
        <w:tc>
          <w:tcPr>
            <w:tcW w:w="850"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color w:val="000000"/>
                <w:sz w:val="18"/>
              </w:rPr>
            </w:pPr>
            <w:r>
              <w:rPr>
                <w:rFonts w:ascii="Adelle Sans;sans-serif" w:hAnsi="Adelle Sans;sans-serif"/>
                <w:b/>
                <w:color w:val="000000"/>
                <w:sz w:val="18"/>
              </w:rPr>
              <w:t>June 30, 2026</w:t>
            </w:r>
          </w:p>
        </w:tc>
        <w:tc>
          <w:tcPr>
            <w:tcW w:w="55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color w:val="000000"/>
                <w:sz w:val="18"/>
              </w:rPr>
            </w:pPr>
            <w:r>
              <w:rPr>
                <w:rFonts w:ascii="Adelle Sans;sans-serif" w:hAnsi="Adelle Sans;sans-serif"/>
                <w:b/>
                <w:color w:val="000000"/>
                <w:sz w:val="18"/>
              </w:rPr>
              <w:t>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delle Sans Light;sans-serif" w:hAnsi="Adelle Sans Light;sans-serif"/>
                <w:b w:val="false"/>
                <w:color w:val="000000"/>
                <w:sz w:val="18"/>
              </w:rPr>
            </w:pPr>
            <w:r>
              <w:rPr>
                <w:rFonts w:ascii="Adelle Sans Light;sans-serif" w:hAnsi="Adelle Sans Light;sans-serif"/>
                <w:b w:val="false"/>
                <w:color w:val="000000"/>
                <w:sz w:val="18"/>
              </w:rPr>
              <w:t>GMV</w:t>
            </w:r>
          </w:p>
        </w:tc>
        <w:tc>
          <w:tcPr>
            <w:tcW w:w="14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delle Sans Light;sans-serif" w:hAnsi="Adelle Sans Light;sans-serif"/>
                <w:b w:val="false"/>
                <w:color w:val="000000"/>
                <w:sz w:val="18"/>
              </w:rPr>
            </w:pPr>
            <w:r>
              <w:rPr>
                <w:rFonts w:ascii="Adelle Sans Light;sans-serif" w:hAnsi="Adelle Sans Light;sans-serif"/>
                <w:b w:val="false"/>
                <w:color w:val="000000"/>
                <w:sz w:val="18"/>
              </w:rPr>
              <w:t>115,567</w:t>
            </w:r>
          </w:p>
        </w:tc>
        <w:tc>
          <w:tcPr>
            <w:tcW w:w="5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delle Sans Light;sans-serif" w:hAnsi="Adelle Sans Light;sans-serif"/>
                <w:b w:val="false"/>
                <w:color w:val="000000"/>
                <w:sz w:val="18"/>
              </w:rPr>
            </w:pPr>
            <w:r>
              <w:rPr>
                <w:rFonts w:ascii="Adelle Sans Light;sans-serif" w:hAnsi="Adelle Sans Light;sans-serif"/>
                <w:b w:val="false"/>
                <w:color w:val="000000"/>
                <w:sz w:val="18"/>
              </w:rPr>
              <w:t>87,837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 Light;sans-serif" w:hAnsi="Adelle Sans Light;sans-serif"/>
                <w:b w:val="false"/>
                <w:color w:val="000000"/>
                <w:sz w:val="18"/>
              </w:rPr>
            </w:pPr>
            <w:r>
              <w:rPr>
                <w:rFonts w:ascii="Adelle Sans Light;sans-serif" w:hAnsi="Adelle Sans Light;sans-serif"/>
                <w:b w:val="false"/>
                <w:color w:val="000000"/>
                <w:sz w:val="18"/>
              </w:rPr>
              <w:t>MRR</w:t>
            </w:r>
          </w:p>
        </w:tc>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delle Sans Light;sans-serif" w:hAnsi="Adelle Sans Light;sans-serif"/>
                <w:b w:val="false"/>
                <w:color w:val="000000"/>
                <w:sz w:val="18"/>
              </w:rPr>
            </w:pPr>
            <w:r>
              <w:rPr>
                <w:rFonts w:ascii="Adelle Sans Light;sans-serif" w:hAnsi="Adelle Sans Light;sans-serif"/>
                <w:b w:val="false"/>
                <w:color w:val="000000"/>
                <w:sz w:val="18"/>
              </w:rPr>
              <w:t>221</w:t>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delle Sans Light;sans-serif" w:hAnsi="Adelle Sans Light;sans-serif"/>
                <w:b w:val="false"/>
                <w:color w:val="000000"/>
                <w:sz w:val="18"/>
              </w:rPr>
            </w:pPr>
            <w:r>
              <w:rPr>
                <w:rFonts w:ascii="Adelle Sans Light;sans-serif" w:hAnsi="Adelle Sans Light;sans-serif"/>
                <w:b w:val="false"/>
                <w:color w:val="000000"/>
                <w:sz w:val="18"/>
              </w:rPr>
              <w:t>185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 Light;sans-serif" w:hAnsi="Adelle Sans Light;sans-serif"/>
                <w:b w:val="false"/>
                <w:color w:val="000000"/>
                <w:sz w:val="18"/>
              </w:rPr>
            </w:pPr>
            <w:r>
              <w:rPr>
                <w:rFonts w:ascii="Adelle Sans Light;sans-serif" w:hAnsi="Adelle Sans Light;sans-serif"/>
                <w:b w:val="false"/>
                <w:color w:val="000000"/>
                <w:sz w:val="18"/>
              </w:rPr>
              <w:t>Revenue</w:t>
            </w:r>
          </w:p>
        </w:tc>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delle Sans Light;sans-serif" w:hAnsi="Adelle Sans Light;sans-serif"/>
                <w:b w:val="false"/>
                <w:color w:val="000000"/>
                <w:sz w:val="18"/>
              </w:rPr>
            </w:pPr>
            <w:r>
              <w:rPr>
                <w:rFonts w:ascii="Adelle Sans Light;sans-serif" w:hAnsi="Adelle Sans Light;sans-serif"/>
                <w:b w:val="false"/>
                <w:color w:val="000000"/>
                <w:sz w:val="18"/>
              </w:rPr>
              <w:t>3,583</w:t>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delle Sans Light;sans-serif" w:hAnsi="Adelle Sans Light;sans-serif"/>
                <w:b w:val="false"/>
                <w:color w:val="000000"/>
                <w:sz w:val="18"/>
              </w:rPr>
            </w:pPr>
            <w:r>
              <w:rPr>
                <w:rFonts w:ascii="Adelle Sans Light;sans-serif" w:hAnsi="Adelle Sans Light;sans-serif"/>
                <w:b w:val="false"/>
                <w:color w:val="000000"/>
                <w:sz w:val="18"/>
              </w:rPr>
              <w:t>2,680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 Light;sans-serif" w:hAnsi="Adelle Sans Light;sans-serif"/>
                <w:b w:val="false"/>
                <w:color w:val="000000"/>
                <w:sz w:val="18"/>
              </w:rPr>
            </w:pPr>
            <w:r>
              <w:rPr>
                <w:rFonts w:ascii="Adelle Sans Light;sans-serif" w:hAnsi="Adelle Sans Light;sans-serif"/>
                <w:b w:val="false"/>
                <w:color w:val="000000"/>
                <w:sz w:val="18"/>
              </w:rPr>
              <w:t>Gross profit</w:t>
            </w:r>
          </w:p>
        </w:tc>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delle Sans Light;sans-serif" w:hAnsi="Adelle Sans Light;sans-serif"/>
                <w:b w:val="false"/>
                <w:color w:val="000000"/>
                <w:sz w:val="18"/>
              </w:rPr>
            </w:pPr>
            <w:r>
              <w:rPr>
                <w:rFonts w:ascii="Adelle Sans Light;sans-serif" w:hAnsi="Adelle Sans Light;sans-serif"/>
                <w:b w:val="false"/>
                <w:color w:val="000000"/>
                <w:sz w:val="18"/>
              </w:rPr>
              <w:t>1,708</w:t>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delle Sans Light;sans-serif" w:hAnsi="Adelle Sans Light;sans-serif"/>
                <w:b w:val="false"/>
                <w:color w:val="000000"/>
                <w:sz w:val="18"/>
              </w:rPr>
            </w:pPr>
            <w:r>
              <w:rPr>
                <w:rFonts w:ascii="Adelle Sans Light;sans-serif" w:hAnsi="Adelle Sans Light;sans-serif"/>
                <w:b w:val="false"/>
                <w:color w:val="000000"/>
                <w:sz w:val="18"/>
              </w:rPr>
              <w:t>1,302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 Light;sans-serif" w:hAnsi="Adelle Sans Light;sans-serif"/>
                <w:b w:val="false"/>
                <w:color w:val="000000"/>
                <w:sz w:val="18"/>
              </w:rPr>
            </w:pPr>
            <w:r>
              <w:rPr>
                <w:rFonts w:ascii="Adelle Sans Light;sans-serif" w:hAnsi="Adelle Sans Light;sans-serif"/>
                <w:b w:val="false"/>
                <w:color w:val="000000"/>
                <w:sz w:val="18"/>
              </w:rPr>
              <w:t>Operating income</w:t>
            </w:r>
          </w:p>
        </w:tc>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delle Sans Light;sans-serif" w:hAnsi="Adelle Sans Light;sans-serif"/>
                <w:b w:val="false"/>
                <w:color w:val="000000"/>
                <w:sz w:val="18"/>
              </w:rPr>
            </w:pPr>
            <w:r>
              <w:rPr>
                <w:rFonts w:ascii="Adelle Sans Light;sans-serif" w:hAnsi="Adelle Sans Light;sans-serif"/>
                <w:b w:val="false"/>
                <w:color w:val="000000"/>
                <w:sz w:val="18"/>
              </w:rPr>
              <w:t>488</w:t>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delle Sans Light;sans-serif" w:hAnsi="Adelle Sans Light;sans-serif"/>
                <w:b w:val="false"/>
                <w:color w:val="000000"/>
                <w:sz w:val="18"/>
              </w:rPr>
            </w:pPr>
            <w:r>
              <w:rPr>
                <w:rFonts w:ascii="Adelle Sans Light;sans-serif" w:hAnsi="Adelle Sans Light;sans-serif"/>
                <w:b w:val="false"/>
                <w:color w:val="000000"/>
                <w:sz w:val="18"/>
              </w:rPr>
              <w:t>291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 Light;sans-serif" w:hAnsi="Adelle Sans Light;sans-serif"/>
                <w:b w:val="false"/>
                <w:color w:val="000000"/>
                <w:sz w:val="18"/>
              </w:rPr>
            </w:pPr>
            <w:r>
              <w:rPr>
                <w:rFonts w:ascii="Adelle Sans Light;sans-serif" w:hAnsi="Adelle Sans Light;sans-serif"/>
                <w:b w:val="false"/>
                <w:color w:val="000000"/>
                <w:sz w:val="18"/>
              </w:rPr>
              <w:t>Free cash flow</w:t>
            </w:r>
          </w:p>
        </w:tc>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delle Sans Light;sans-serif" w:hAnsi="Adelle Sans Light;sans-serif"/>
                <w:b w:val="false"/>
                <w:color w:val="000000"/>
                <w:sz w:val="18"/>
              </w:rPr>
            </w:pPr>
            <w:r>
              <w:rPr>
                <w:rFonts w:ascii="Adelle Sans Light;sans-serif" w:hAnsi="Adelle Sans Light;sans-serif"/>
                <w:b w:val="false"/>
                <w:color w:val="000000"/>
                <w:sz w:val="18"/>
              </w:rPr>
              <w:t>654</w:t>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delle Sans Light;sans-serif" w:hAnsi="Adelle Sans Light;sans-serif"/>
                <w:b w:val="false"/>
                <w:color w:val="000000"/>
                <w:sz w:val="18"/>
              </w:rPr>
            </w:pPr>
            <w:r>
              <w:rPr>
                <w:rFonts w:ascii="Adelle Sans Light;sans-serif" w:hAnsi="Adelle Sans Light;sans-serif"/>
                <w:b w:val="false"/>
                <w:color w:val="000000"/>
                <w:sz w:val="18"/>
              </w:rPr>
              <w:t>422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 Light;sans-serif" w:hAnsi="Adelle Sans Light;sans-serif"/>
                <w:b w:val="false"/>
                <w:i/>
                <w:color w:val="000000"/>
                <w:sz w:val="18"/>
              </w:rPr>
            </w:pPr>
            <w:r>
              <w:rPr>
                <w:rFonts w:ascii="Adelle Sans Light;sans-serif" w:hAnsi="Adelle Sans Light;sans-serif"/>
                <w:b w:val="false"/>
                <w:i/>
                <w:color w:val="000000"/>
                <w:sz w:val="18"/>
              </w:rPr>
              <w:t>YoY revenue growth rate</w:t>
            </w:r>
          </w:p>
        </w:tc>
        <w:tc>
          <w:tcPr>
            <w:tcW w:w="6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delle Sans Light;sans-serif" w:hAnsi="Adelle Sans Light;sans-serif"/>
                <w:b w:val="false"/>
                <w:i/>
                <w:color w:val="000000"/>
                <w:sz w:val="18"/>
              </w:rPr>
            </w:pPr>
            <w:r>
              <w:rPr>
                <w:rFonts w:ascii="Adelle Sans Light;sans-serif" w:hAnsi="Adelle Sans Light;sans-serif"/>
                <w:b w:val="false"/>
                <w:i/>
                <w:color w:val="000000"/>
                <w:sz w:val="18"/>
              </w:rPr>
              <w:t>34</w:t>
            </w:r>
          </w:p>
        </w:tc>
        <w:tc>
          <w:tcPr>
            <w:tcW w:w="816" w:type="dxa"/>
            <w:tcBorders/>
            <w:tcMar>
              <w:top w:w="0" w:type="dxa"/>
              <w:left w:w="0" w:type="dxa"/>
              <w:bottom w:w="0" w:type="dxa"/>
              <w:right w:w="0" w:type="dxa"/>
            </w:tcMar>
            <w:vAlign w:val="center"/>
          </w:tcPr>
          <w:p>
            <w:pPr>
              <w:pStyle w:val="TableContents"/>
              <w:bidi w:val="0"/>
              <w:spacing w:lineRule="auto" w:line="240" w:before="0" w:after="283"/>
              <w:jc w:val="left"/>
              <w:rPr>
                <w:rFonts w:ascii="Adelle Sans Light;sans-serif" w:hAnsi="Adelle Sans Light;sans-serif"/>
                <w:b w:val="false"/>
                <w:i/>
                <w:color w:val="000000"/>
                <w:sz w:val="18"/>
              </w:rPr>
            </w:pPr>
            <w:r>
              <w:rPr>
                <w:rFonts w:ascii="Adelle Sans Light;sans-serif" w:hAnsi="Adelle Sans Light;sans-serif"/>
                <w:b w:val="false"/>
                <w:i/>
                <w:color w:val="000000"/>
                <w:sz w:val="18"/>
              </w:rPr>
              <w:t>%</w:t>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delle Sans Light;sans-serif" w:hAnsi="Adelle Sans Light;sans-serif"/>
                <w:b w:val="false"/>
                <w:i/>
                <w:color w:val="000000"/>
                <w:sz w:val="18"/>
              </w:rPr>
            </w:pPr>
            <w:r>
              <w:rPr>
                <w:rFonts w:ascii="Adelle Sans Light;sans-serif" w:hAnsi="Adelle Sans Light;sans-serif"/>
                <w:b w:val="false"/>
                <w:i/>
                <w:color w:val="000000"/>
                <w:sz w:val="18"/>
              </w:rPr>
              <w:t>31</w:t>
            </w:r>
          </w:p>
        </w:tc>
        <w:tc>
          <w:tcPr>
            <w:tcW w:w="816" w:type="dxa"/>
            <w:tcBorders/>
            <w:tcMar>
              <w:top w:w="0" w:type="dxa"/>
              <w:left w:w="0" w:type="dxa"/>
              <w:bottom w:w="0" w:type="dxa"/>
              <w:right w:w="0" w:type="dxa"/>
            </w:tcMar>
            <w:vAlign w:val="center"/>
          </w:tcPr>
          <w:p>
            <w:pPr>
              <w:pStyle w:val="TableContents"/>
              <w:bidi w:val="0"/>
              <w:spacing w:lineRule="auto" w:line="240" w:before="0" w:after="283"/>
              <w:jc w:val="left"/>
              <w:rPr>
                <w:rFonts w:ascii="Adelle Sans Light;sans-serif" w:hAnsi="Adelle Sans Light;sans-serif"/>
                <w:b w:val="false"/>
                <w:i/>
                <w:color w:val="000000"/>
                <w:sz w:val="18"/>
              </w:rPr>
            </w:pPr>
            <w:r>
              <w:rPr>
                <w:rFonts w:ascii="Adelle Sans Light;sans-serif" w:hAnsi="Adelle Sans Light;sans-serif"/>
                <w:b w:val="false"/>
                <w:i/>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 Light;sans-serif" w:hAnsi="Adelle Sans Light;sans-serif"/>
                <w:b w:val="false"/>
                <w:i/>
                <w:color w:val="000000"/>
                <w:sz w:val="18"/>
              </w:rPr>
            </w:pPr>
            <w:r>
              <w:rPr>
                <w:rFonts w:ascii="Adelle Sans Light;sans-serif" w:hAnsi="Adelle Sans Light;sans-serif"/>
                <w:b w:val="false"/>
                <w:i/>
                <w:color w:val="000000"/>
                <w:sz w:val="18"/>
              </w:rPr>
              <w:t>Free cash flow margin</w:t>
            </w:r>
          </w:p>
        </w:tc>
        <w:tc>
          <w:tcPr>
            <w:tcW w:w="6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delle Sans Light;sans-serif" w:hAnsi="Adelle Sans Light;sans-serif"/>
                <w:b w:val="false"/>
                <w:i/>
                <w:color w:val="000000"/>
                <w:sz w:val="18"/>
              </w:rPr>
            </w:pPr>
            <w:r>
              <w:rPr>
                <w:rFonts w:ascii="Adelle Sans Light;sans-serif" w:hAnsi="Adelle Sans Light;sans-serif"/>
                <w:b w:val="false"/>
                <w:i/>
                <w:color w:val="000000"/>
                <w:sz w:val="18"/>
              </w:rPr>
              <w:t>18</w:t>
            </w:r>
          </w:p>
        </w:tc>
        <w:tc>
          <w:tcPr>
            <w:tcW w:w="816" w:type="dxa"/>
            <w:tcBorders/>
            <w:tcMar>
              <w:top w:w="0" w:type="dxa"/>
              <w:left w:w="0" w:type="dxa"/>
              <w:bottom w:w="0" w:type="dxa"/>
              <w:right w:w="0" w:type="dxa"/>
            </w:tcMar>
            <w:vAlign w:val="center"/>
          </w:tcPr>
          <w:p>
            <w:pPr>
              <w:pStyle w:val="TableContents"/>
              <w:bidi w:val="0"/>
              <w:spacing w:lineRule="auto" w:line="240" w:before="0" w:after="283"/>
              <w:jc w:val="left"/>
              <w:rPr>
                <w:rFonts w:ascii="Adelle Sans Light;sans-serif" w:hAnsi="Adelle Sans Light;sans-serif"/>
                <w:b w:val="false"/>
                <w:i/>
                <w:color w:val="000000"/>
                <w:sz w:val="18"/>
              </w:rPr>
            </w:pPr>
            <w:r>
              <w:rPr>
                <w:rFonts w:ascii="Adelle Sans Light;sans-serif" w:hAnsi="Adelle Sans Light;sans-serif"/>
                <w:b w:val="false"/>
                <w:i/>
                <w:color w:val="000000"/>
                <w:sz w:val="18"/>
              </w:rPr>
              <w:t>%</w:t>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delle Sans Light;sans-serif" w:hAnsi="Adelle Sans Light;sans-serif"/>
                <w:b w:val="false"/>
                <w:i/>
                <w:color w:val="000000"/>
                <w:sz w:val="18"/>
              </w:rPr>
            </w:pPr>
            <w:r>
              <w:rPr>
                <w:rFonts w:ascii="Adelle Sans Light;sans-serif" w:hAnsi="Adelle Sans Light;sans-serif"/>
                <w:b w:val="false"/>
                <w:i/>
                <w:color w:val="000000"/>
                <w:sz w:val="18"/>
              </w:rPr>
              <w:t>16</w:t>
            </w:r>
          </w:p>
        </w:tc>
        <w:tc>
          <w:tcPr>
            <w:tcW w:w="816" w:type="dxa"/>
            <w:tcBorders/>
            <w:tcMar>
              <w:top w:w="0" w:type="dxa"/>
              <w:left w:w="0" w:type="dxa"/>
              <w:bottom w:w="0" w:type="dxa"/>
              <w:right w:w="0" w:type="dxa"/>
            </w:tcMar>
            <w:vAlign w:val="center"/>
          </w:tcPr>
          <w:p>
            <w:pPr>
              <w:pStyle w:val="TableContents"/>
              <w:bidi w:val="0"/>
              <w:spacing w:lineRule="auto" w:line="240" w:before="0" w:after="283"/>
              <w:jc w:val="left"/>
              <w:rPr>
                <w:rFonts w:ascii="Adelle Sans Light;sans-serif" w:hAnsi="Adelle Sans Light;sans-serif"/>
                <w:b w:val="false"/>
                <w:i/>
                <w:color w:val="000000"/>
                <w:sz w:val="18"/>
              </w:rPr>
            </w:pPr>
            <w:r>
              <w:rPr>
                <w:rFonts w:ascii="Adelle Sans Light;sans-serif" w:hAnsi="Adelle Sans Light;sans-serif"/>
                <w:b w:val="false"/>
                <w:i/>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drawing>
          <wp:inline distT="0" distB="0" distL="0" distR="0">
            <wp:extent cx="1276350" cy="352425"/>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1276350" cy="352425"/>
                    </a:xfrm>
                    <a:prstGeom prst="rect">
                      <a:avLst/>
                    </a:prstGeom>
                  </pic:spPr>
                </pic:pic>
              </a:graphicData>
            </a:graphic>
          </wp:inline>
        </w:drawing>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580390"/>
                <wp:effectExtent l="0" t="0" r="0" b="0"/>
                <wp:wrapNone/>
                <wp:docPr id="7" name="Frame4"/>
                <a:graphic xmlns:a="http://schemas.openxmlformats.org/drawingml/2006/main">
                  <a:graphicData uri="http://schemas.microsoft.com/office/word/2010/wordprocessingShape">
                    <wps:wsp>
                      <wps:cNvSpPr txBox="1"/>
                      <wps:spPr>
                        <a:xfrm>
                          <a:off x="0" y="0"/>
                          <a:ext cx="6480175" cy="580390"/>
                        </a:xfrm>
                        <a:prstGeom prst="rect"/>
                        <a:solidFill>
                          <a:srgbClr val="FFFFFF"/>
                        </a:solidFill>
                      </wps:spPr>
                      <wps:txbx>
                        <w:txbxContent>
                          <w:p>
                            <w:pPr>
                              <w:pStyle w:val="TextBody"/>
                              <w:bidi w:val="0"/>
                              <w:spacing w:lineRule="auto" w:line="288" w:before="0" w:after="200"/>
                              <w:ind w:left="0" w:right="0" w:hanging="90"/>
                              <w:jc w:val="left"/>
                              <w:rPr/>
                            </w:pPr>
                            <w:r>
                              <w:rPr>
                                <w:rFonts w:ascii="Adelle Sans Light;sans-serif" w:hAnsi="Adelle Sans Light;sans-serif"/>
                                <w:b w:val="false"/>
                                <w:color w:val="6D6D6D"/>
                                <w:sz w:val="8"/>
                              </w:rPr>
                              <w:t xml:space="preserve">(1) </w:t>
                            </w:r>
                            <w:r>
                              <w:rPr>
                                <w:rFonts w:ascii="Adelle Sans Light;sans-serif" w:hAnsi="Adelle Sans Light;sans-serif"/>
                                <w:b w:val="false"/>
                                <w:color w:val="6D6D6D"/>
                                <w:sz w:val="12"/>
                                <w:shd w:fill="FFFFFF" w:val="clear"/>
                              </w:rPr>
                              <w:t>See endnotes below for definitions of GMV and MRR and additional information on constant currency, free cash flow, and free cash flow margin, which are non-GAAP financial measures and are rec</w:t>
                            </w:r>
                            <w:r>
                              <w:rPr>
                                <w:rFonts w:ascii="Adelle Sans Light;sans-serif" w:hAnsi="Adelle Sans Light;sans-serif"/>
                                <w:b w:val="false"/>
                                <w:color w:val="6D6D6D"/>
                                <w:sz w:val="12"/>
                              </w:rPr>
                              <w:t>onciled to the comparable GAAP measures in the non-GAAP reconciliations at the end of this press release. Please refer to the Condensed Consolidated Statements of Cash Flows for additional information on the presentation of cash flows in 2026 and 2025.</w:t>
                            </w:r>
                            <w:r>
                              <w:br w:type="page"/>
                            </w:r>
                          </w:p>
                          <w:p>
                            <w:pPr>
                              <w:pStyle w:val="TextBody"/>
                              <w:bidi w:val="0"/>
                              <w:spacing w:lineRule="auto" w:line="417" w:before="0" w:after="200"/>
                              <w:jc w:val="right"/>
                              <w:rPr>
                                <w:rFonts w:ascii="Adelle Sans Light;sans-serif" w:hAnsi="Adelle Sans Light;sans-serif"/>
                                <w:b w:val="false"/>
                                <w:color w:val="6D6D6D"/>
                                <w:sz w:val="18"/>
                              </w:rPr>
                            </w:pPr>
                            <w:r>
                              <w:rPr>
                                <w:rFonts w:ascii="Adelle Sans Light;sans-serif" w:hAnsi="Adelle Sans Light;sans-serif"/>
                                <w:b w:val="false"/>
                                <w:color w:val="6D6D6D"/>
                                <w:sz w:val="18"/>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ind w:left="0" w:right="0" w:hanging="90"/>
                        <w:jc w:val="left"/>
                        <w:rPr/>
                      </w:pPr>
                      <w:r>
                        <w:rPr>
                          <w:rFonts w:ascii="Adelle Sans Light;sans-serif" w:hAnsi="Adelle Sans Light;sans-serif"/>
                          <w:b w:val="false"/>
                          <w:color w:val="6D6D6D"/>
                          <w:sz w:val="8"/>
                        </w:rPr>
                        <w:t xml:space="preserve">(1) </w:t>
                      </w:r>
                      <w:r>
                        <w:rPr>
                          <w:rFonts w:ascii="Adelle Sans Light;sans-serif" w:hAnsi="Adelle Sans Light;sans-serif"/>
                          <w:b w:val="false"/>
                          <w:color w:val="6D6D6D"/>
                          <w:sz w:val="12"/>
                          <w:shd w:fill="FFFFFF" w:val="clear"/>
                        </w:rPr>
                        <w:t>See endnotes below for definitions of GMV and MRR and additional information on constant currency, free cash flow, and free cash flow margin, which are non-GAAP financial measures and are rec</w:t>
                      </w:r>
                      <w:r>
                        <w:rPr>
                          <w:rFonts w:ascii="Adelle Sans Light;sans-serif" w:hAnsi="Adelle Sans Light;sans-serif"/>
                          <w:b w:val="false"/>
                          <w:color w:val="6D6D6D"/>
                          <w:sz w:val="12"/>
                        </w:rPr>
                        <w:t>onciled to the comparable GAAP measures in the non-GAAP reconciliations at the end of this press release. Please refer to the Condensed Consolidated Statements of Cash Flows for additional information on the presentation of cash flows in 2026 and 2025.</w:t>
                      </w:r>
                    </w:p>
                    <w:p>
                      <w:pPr>
                        <w:pStyle w:val="TextBody"/>
                        <w:bidi w:val="0"/>
                        <w:spacing w:lineRule="auto" w:line="417" w:before="0" w:after="200"/>
                        <w:jc w:val="right"/>
                        <w:rPr>
                          <w:rFonts w:ascii="Adelle Sans Light;sans-serif" w:hAnsi="Adelle Sans Light;sans-serif"/>
                          <w:b w:val="false"/>
                          <w:color w:val="6D6D6D"/>
                          <w:sz w:val="18"/>
                        </w:rPr>
                      </w:pPr>
                      <w:r>
                        <w:rPr>
                          <w:rFonts w:ascii="Adelle Sans Light;sans-serif" w:hAnsi="Adelle Sans Light;sans-serif"/>
                          <w:b w:val="false"/>
                          <w:color w:val="6D6D6D"/>
                          <w:sz w:val="18"/>
                        </w:rPr>
                        <w:t>1</w:t>
                      </w:r>
                    </w:p>
                  </w:txbxContent>
                </v:textbox>
                <w10:wrap type="none"/>
              </v:rect>
            </w:pict>
          </mc:Fallback>
        </mc:AlternateContent>
      </w:r>
    </w:p>
    <w:p>
      <w:pPr>
        <w:pStyle w:val="TextBody"/>
        <w:bidi w:val="0"/>
        <w:spacing w:lineRule="auto" w:line="288" w:before="0" w:after="140"/>
        <w:jc w:val="left"/>
        <w:rPr>
          <w:rFonts w:ascii="Adelle Sans;sans-serif" w:hAnsi="Adelle Sans;sans-serif"/>
          <w:b/>
          <w:color w:val="000000"/>
          <w:sz w:val="22"/>
        </w:rPr>
      </w:pPr>
      <w:r>
        <w:rPr>
          <w:rFonts w:ascii="Adelle Sans;sans-serif" w:hAnsi="Adelle Sans;sans-serif"/>
          <w:b/>
          <w:color w:val="000000"/>
          <w:sz w:val="22"/>
        </w:rPr>
        <w:t>2026 Outlook</w:t>
      </w:r>
    </w:p>
    <w:p>
      <w:pPr>
        <w:pStyle w:val="TextBody"/>
        <w:bidi w:val="0"/>
        <w:spacing w:lineRule="auto" w:line="417" w:before="0" w:after="140"/>
        <w:jc w:val="both"/>
        <w:rPr>
          <w:rFonts w:ascii="Adelle Sans Light;sans-serif" w:hAnsi="Adelle Sans Light;sans-serif"/>
          <w:b w:val="false"/>
          <w:color w:val="000000"/>
          <w:sz w:val="18"/>
        </w:rPr>
      </w:pPr>
      <w:r>
        <w:rPr>
          <w:rFonts w:ascii="Adelle Sans Light;sans-serif" w:hAnsi="Adelle Sans Light;sans-serif"/>
          <w:b w:val="false"/>
          <w:color w:val="000000"/>
          <w:sz w:val="18"/>
        </w:rPr>
        <w:t>The outlook that follows supersedes all prior financial outlook statements made by Shopify, constitutes forward-looking information within the meaning of applicable securities laws, is based on a number of assumptions, and is subject to a number of risks. Actual results could vary materially as a result of numerous factors, including certain risk factors, many of which are beyond Shopify’s control. Please see "Forward-looking Statements" at the end of this press release.</w:t>
      </w:r>
    </w:p>
    <w:p>
      <w:pPr>
        <w:pStyle w:val="TextBody"/>
        <w:bidi w:val="0"/>
        <w:spacing w:lineRule="auto" w:line="288" w:before="0" w:after="140"/>
        <w:jc w:val="both"/>
        <w:rPr>
          <w:rFonts w:ascii="Adelle Sans Light;sans-serif" w:hAnsi="Adelle Sans Light;sans-serif"/>
          <w:b w:val="false"/>
          <w:color w:val="000000"/>
          <w:sz w:val="18"/>
        </w:rPr>
      </w:pPr>
      <w:r>
        <w:rPr>
          <w:rFonts w:ascii="Adelle Sans Light;sans-serif" w:hAnsi="Adelle Sans Light;sans-serif"/>
          <w:b w:val="false"/>
          <w:color w:val="000000"/>
          <w:sz w:val="18"/>
        </w:rPr>
        <w:t xml:space="preserve">For the third quarter of 2026, we expect: </w:t>
      </w:r>
    </w:p>
    <w:p>
      <w:pPr>
        <w:pStyle w:val="TextBody"/>
        <w:bidi w:val="0"/>
        <w:spacing w:lineRule="auto" w:line="417" w:before="0" w:after="0"/>
        <w:ind w:left="0" w:right="0" w:hanging="360"/>
        <w:jc w:val="both"/>
        <w:rPr/>
      </w:pPr>
      <w:r>
        <w:rPr>
          <w:color w:val="000000"/>
        </w:rPr>
        <w:t>•</w:t>
      </w:r>
      <w:r>
        <w:rPr>
          <w:rFonts w:ascii="Adelle Sans Light;sans-serif" w:hAnsi="Adelle Sans Light;sans-serif"/>
          <w:b w:val="false"/>
          <w:color w:val="000000"/>
          <w:sz w:val="18"/>
        </w:rPr>
        <w:t>Revenue to grow at a low-thirties percentage rate on a year-over-year basis;</w:t>
      </w:r>
    </w:p>
    <w:p>
      <w:pPr>
        <w:pStyle w:val="TextBody"/>
        <w:bidi w:val="0"/>
        <w:spacing w:lineRule="auto" w:line="417" w:before="0" w:after="0"/>
        <w:ind w:left="0" w:right="0" w:hanging="360"/>
        <w:jc w:val="both"/>
        <w:rPr/>
      </w:pPr>
      <w:r>
        <w:rPr>
          <w:color w:val="000000"/>
        </w:rPr>
        <w:t>•</w:t>
      </w:r>
      <w:r>
        <w:rPr>
          <w:rFonts w:ascii="Adelle Sans Light;sans-serif" w:hAnsi="Adelle Sans Light;sans-serif"/>
          <w:b w:val="false"/>
          <w:color w:val="000000"/>
          <w:sz w:val="18"/>
        </w:rPr>
        <w:t>Gross profit dollars to grow at a mid-to-high twenties percentage rate on a year-over-year basis;</w:t>
      </w:r>
    </w:p>
    <w:p>
      <w:pPr>
        <w:pStyle w:val="TextBody"/>
        <w:bidi w:val="0"/>
        <w:spacing w:lineRule="auto" w:line="417" w:before="0" w:after="0"/>
        <w:ind w:left="0" w:right="0" w:hanging="360"/>
        <w:jc w:val="both"/>
        <w:rPr/>
      </w:pPr>
      <w:r>
        <w:rPr>
          <w:color w:val="000000"/>
        </w:rPr>
        <w:t>•</w:t>
      </w:r>
      <w:r>
        <w:rPr>
          <w:rFonts w:ascii="Adelle Sans Light;sans-serif" w:hAnsi="Adelle Sans Light;sans-serif"/>
          <w:b w:val="false"/>
          <w:color w:val="000000"/>
          <w:sz w:val="18"/>
        </w:rPr>
        <w:t>Operating expenses as a percentage of revenue to be 33% to 34%;</w:t>
      </w:r>
    </w:p>
    <w:p>
      <w:pPr>
        <w:pStyle w:val="TextBody"/>
        <w:bidi w:val="0"/>
        <w:spacing w:lineRule="auto" w:line="417" w:before="0" w:after="0"/>
        <w:ind w:left="0" w:right="0" w:hanging="360"/>
        <w:jc w:val="both"/>
        <w:rPr/>
      </w:pPr>
      <w:r>
        <w:rPr>
          <w:color w:val="000000"/>
        </w:rPr>
        <w:t>•</w:t>
      </w:r>
      <w:r>
        <w:rPr>
          <w:rFonts w:ascii="Adelle Sans Light;sans-serif" w:hAnsi="Adelle Sans Light;sans-serif"/>
          <w:b w:val="false"/>
          <w:color w:val="000000"/>
          <w:sz w:val="18"/>
        </w:rPr>
        <w:t>Stock-based compensation to be $150 million; and</w:t>
      </w:r>
    </w:p>
    <w:p>
      <w:pPr>
        <w:pStyle w:val="TextBody"/>
        <w:bidi w:val="0"/>
        <w:spacing w:lineRule="auto" w:line="417" w:before="0" w:after="0"/>
        <w:ind w:left="0" w:right="0" w:hanging="360"/>
        <w:jc w:val="both"/>
        <w:rPr/>
      </w:pPr>
      <w:r>
        <w:rPr>
          <w:color w:val="000000"/>
        </w:rPr>
        <w:t>•</w:t>
      </w:r>
      <w:r>
        <w:rPr>
          <w:rFonts w:ascii="Adelle Sans Light;sans-serif" w:hAnsi="Adelle Sans Light;sans-serif"/>
          <w:b w:val="false"/>
          <w:color w:val="000000"/>
          <w:sz w:val="18"/>
        </w:rPr>
        <w:t>Free cash flow margin to be in the high-teens to low-twenties.</w:t>
      </w:r>
    </w:p>
    <w:p>
      <w:pPr>
        <w:pStyle w:val="TextBody"/>
        <w:bidi w:val="0"/>
        <w:spacing w:before="0" w:after="0"/>
        <w:jc w:val="both"/>
        <w:rPr/>
      </w:pPr>
      <w:r>
        <w:rPr/>
      </w:r>
    </w:p>
    <w:p>
      <w:pPr>
        <w:pStyle w:val="TextBody"/>
        <w:bidi w:val="0"/>
        <w:spacing w:lineRule="auto" w:line="288" w:before="0" w:after="140"/>
        <w:jc w:val="left"/>
        <w:rPr>
          <w:rFonts w:ascii="Adelle Sans;sans-serif" w:hAnsi="Adelle Sans;sans-serif"/>
          <w:b/>
          <w:color w:val="000000"/>
          <w:sz w:val="22"/>
        </w:rPr>
      </w:pPr>
      <w:r>
        <w:rPr>
          <w:rFonts w:ascii="Adelle Sans;sans-serif" w:hAnsi="Adelle Sans;sans-serif"/>
          <w:b/>
          <w:color w:val="000000"/>
          <w:sz w:val="22"/>
        </w:rPr>
        <w:t>Quarterly Conference Call</w:t>
      </w:r>
    </w:p>
    <w:p>
      <w:pPr>
        <w:pStyle w:val="TextBody"/>
        <w:bidi w:val="0"/>
        <w:spacing w:lineRule="auto" w:line="417" w:before="0" w:after="200"/>
        <w:jc w:val="both"/>
        <w:rPr/>
      </w:pPr>
      <w:r>
        <w:rPr>
          <w:rFonts w:ascii="Adelle Sans Light;sans-serif" w:hAnsi="Adelle Sans Light;sans-serif"/>
          <w:b w:val="false"/>
          <w:color w:val="000000"/>
          <w:sz w:val="18"/>
        </w:rPr>
        <w:t xml:space="preserve">Shopify’s management team will hold a conference call to discuss its second-quarter results today, August 5, 2026, at 8:30 a.m. ET. The conference call will be webcast in the Investor Relations section of Shopify’s website at </w:t>
      </w:r>
      <w:r>
        <w:rPr>
          <w:rFonts w:ascii="Adelle Sans Light;sans-serif" w:hAnsi="Adelle Sans Light;sans-serif"/>
          <w:b w:val="false"/>
          <w:color w:val="14896B"/>
          <w:sz w:val="18"/>
          <w:u w:val="single"/>
        </w:rPr>
        <w:t>www.shopify.com/investors/events</w:t>
      </w:r>
      <w:r>
        <w:rPr>
          <w:rFonts w:ascii="Adelle Sans Light;sans-serif" w:hAnsi="Adelle Sans Light;sans-serif"/>
          <w:b w:val="false"/>
          <w:color w:val="000000"/>
          <w:sz w:val="18"/>
        </w:rPr>
        <w:t xml:space="preserve">. An archived replay of the webcast will be available following the conclusion of the call. </w:t>
      </w:r>
    </w:p>
    <w:p>
      <w:pPr>
        <w:pStyle w:val="TextBody"/>
        <w:bidi w:val="0"/>
        <w:spacing w:lineRule="auto" w:line="417" w:before="0" w:after="200"/>
        <w:jc w:val="both"/>
        <w:rPr/>
      </w:pPr>
      <w:r>
        <w:rPr>
          <w:rFonts w:ascii="Adelle Sans Light;sans-serif" w:hAnsi="Adelle Sans Light;sans-serif"/>
          <w:b w:val="false"/>
          <w:color w:val="000000"/>
          <w:sz w:val="18"/>
        </w:rPr>
        <w:t xml:space="preserve">Shopify’s Form 10-Q for the quarter ended June 30, 2026, including the unaudited Condensed Consolidated Financial Statements and accompanying Notes, and Management's Discussion and Analysis, will be available on Shopify’s website at </w:t>
      </w:r>
      <w:r>
        <w:rPr>
          <w:rFonts w:ascii="Adelle Sans Light;sans-serif" w:hAnsi="Adelle Sans Light;sans-serif"/>
          <w:b w:val="false"/>
          <w:color w:val="14896B"/>
          <w:sz w:val="18"/>
          <w:u w:val="single"/>
        </w:rPr>
        <w:t>www.shopify.com</w:t>
      </w:r>
      <w:r>
        <w:rPr>
          <w:color w:val="000000"/>
        </w:rPr>
        <w:t xml:space="preserve"> </w:t>
      </w:r>
      <w:r>
        <w:rPr>
          <w:rFonts w:ascii="Adelle Sans Light;sans-serif" w:hAnsi="Adelle Sans Light;sans-serif"/>
          <w:b w:val="false"/>
          <w:color w:val="000000"/>
          <w:sz w:val="18"/>
        </w:rPr>
        <w:t xml:space="preserve">and will be filed on EDGAR at </w:t>
      </w:r>
      <w:r>
        <w:rPr>
          <w:rFonts w:ascii="Adelle Sans Light;sans-serif" w:hAnsi="Adelle Sans Light;sans-serif"/>
          <w:b w:val="false"/>
          <w:color w:val="14896B"/>
          <w:sz w:val="18"/>
          <w:u w:val="single"/>
        </w:rPr>
        <w:t>www.sec.gov</w:t>
      </w:r>
      <w:r>
        <w:rPr>
          <w:color w:val="000000"/>
        </w:rPr>
        <w:t xml:space="preserve"> </w:t>
      </w:r>
      <w:r>
        <w:rPr>
          <w:rFonts w:ascii="Adelle Sans Light;sans-serif" w:hAnsi="Adelle Sans Light;sans-serif"/>
          <w:b w:val="false"/>
          <w:color w:val="000000"/>
          <w:sz w:val="18"/>
        </w:rPr>
        <w:t xml:space="preserve">and on SEDAR+ at </w:t>
      </w:r>
      <w:r>
        <w:rPr>
          <w:rFonts w:ascii="Adelle Sans Light;sans-serif" w:hAnsi="Adelle Sans Light;sans-serif"/>
          <w:b w:val="false"/>
          <w:color w:val="14896B"/>
          <w:sz w:val="18"/>
          <w:u w:val="single"/>
        </w:rPr>
        <w:t>www.sedarplus.ca</w:t>
      </w:r>
      <w:r>
        <w:rPr>
          <w:rFonts w:ascii="Adelle Sans Light;sans-serif" w:hAnsi="Adelle Sans Light;sans-serif"/>
          <w:b w:val="false"/>
          <w:color w:val="000000"/>
          <w:sz w:val="18"/>
        </w:rPr>
        <w:t xml:space="preserve">. </w:t>
      </w:r>
    </w:p>
    <w:p>
      <w:pPr>
        <w:pStyle w:val="TextBody"/>
        <w:bidi w:val="0"/>
        <w:spacing w:lineRule="auto" w:line="288" w:before="0" w:after="140"/>
        <w:jc w:val="both"/>
        <w:rPr>
          <w:rFonts w:ascii="Adelle Sans;sans-serif" w:hAnsi="Adelle Sans;sans-serif"/>
          <w:b/>
          <w:color w:val="000000"/>
          <w:sz w:val="22"/>
        </w:rPr>
      </w:pPr>
      <w:r>
        <w:rPr>
          <w:rFonts w:ascii="Adelle Sans;sans-serif" w:hAnsi="Adelle Sans;sans-serif"/>
          <w:b/>
          <w:color w:val="000000"/>
          <w:sz w:val="22"/>
        </w:rPr>
        <w:t>About Shopify</w:t>
      </w:r>
    </w:p>
    <w:p>
      <w:pPr>
        <w:pStyle w:val="TextBody"/>
        <w:bidi w:val="0"/>
        <w:spacing w:lineRule="auto" w:line="417" w:before="0" w:after="140"/>
        <w:jc w:val="both"/>
        <w:rPr>
          <w:rFonts w:ascii="Adelle Sans Light;sans-serif" w:hAnsi="Adelle Sans Light;sans-serif"/>
          <w:b w:val="false"/>
          <w:color w:val="000000"/>
          <w:sz w:val="18"/>
        </w:rPr>
      </w:pPr>
      <w:r>
        <w:rPr>
          <w:rFonts w:ascii="Adelle Sans Light;sans-serif" w:hAnsi="Adelle Sans Light;sans-serif"/>
          <w:b w:val="false"/>
          <w:color w:val="000000"/>
          <w:sz w:val="18"/>
        </w:rPr>
        <w:t xml:space="preserve">Shopify provides essential internet infrastructure for commerce. Shopify’s all-in-one platform makes it easier to start, run, and grow a business, powering sales online, in-store, and everywhere in between. Millions of businesses in 175+ countries use Shopify—from entrepreneurs to brands like Aldo, BarkBox, Carrier, Meta, SKIMS, Supreme, and Vuori. </w:t>
      </w:r>
    </w:p>
    <w:p>
      <w:pPr>
        <w:pStyle w:val="TextBody"/>
        <w:bidi w:val="0"/>
        <w:spacing w:lineRule="auto" w:line="417" w:before="0" w:after="140"/>
        <w:jc w:val="both"/>
        <w:rPr/>
      </w:pPr>
      <w:r>
        <w:rPr>
          <w:rFonts w:ascii="Adelle Sans Light;sans-serif" w:hAnsi="Adelle Sans Light;sans-serif"/>
          <w:b w:val="false"/>
          <w:color w:val="000000"/>
          <w:sz w:val="18"/>
        </w:rPr>
        <w:t xml:space="preserve">For more information, visit </w:t>
      </w:r>
      <w:r>
        <w:rPr>
          <w:rFonts w:ascii="Adelle Sans Light;sans-serif" w:hAnsi="Adelle Sans Light;sans-serif"/>
          <w:b/>
          <w:color w:val="14896B"/>
          <w:sz w:val="18"/>
          <w:u w:val="single"/>
        </w:rPr>
        <w:t>www.shopify.com</w:t>
      </w:r>
      <w:r>
        <w:rPr>
          <w:rFonts w:ascii="Adelle Sans Light;sans-serif" w:hAnsi="Adelle Sans Light;sans-serif"/>
          <w:b/>
          <w:color w:val="000000"/>
          <w:sz w:val="18"/>
        </w:rPr>
        <w:t>.</w:t>
      </w:r>
    </w:p>
    <w:tbl>
      <w:tblPr>
        <w:tblW w:w="9551" w:type="dxa"/>
        <w:jc w:val="left"/>
        <w:tblInd w:w="0" w:type="dxa"/>
        <w:tblLayout w:type="fixed"/>
        <w:tblCellMar>
          <w:top w:w="28" w:type="dxa"/>
          <w:left w:w="28" w:type="dxa"/>
          <w:bottom w:w="28" w:type="dxa"/>
          <w:right w:w="28" w:type="dxa"/>
        </w:tblCellMar>
      </w:tblPr>
      <w:tblGrid>
        <w:gridCol w:w="848"/>
        <w:gridCol w:w="744"/>
        <w:gridCol w:w="748"/>
        <w:gridCol w:w="849"/>
        <w:gridCol w:w="849"/>
        <w:gridCol w:w="852"/>
        <w:gridCol w:w="109"/>
        <w:gridCol w:w="109"/>
        <w:gridCol w:w="109"/>
        <w:gridCol w:w="609"/>
        <w:gridCol w:w="609"/>
        <w:gridCol w:w="611"/>
        <w:gridCol w:w="732"/>
        <w:gridCol w:w="732"/>
        <w:gridCol w:w="1041"/>
      </w:tblGrid>
      <w:tr>
        <w:trPr/>
        <w:tc>
          <w:tcPr>
            <w:tcW w:w="848"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18"/>
              </w:rPr>
            </w:pPr>
            <w:r>
              <w:rPr>
                <w:rFonts w:ascii="Adelle Sans;sans-serif" w:hAnsi="Adelle Sans;sans-serif"/>
                <w:b/>
                <w:color w:val="000000"/>
                <w:sz w:val="18"/>
              </w:rPr>
              <w:t>CONTACT INVESTORS:</w:t>
            </w:r>
          </w:p>
        </w:tc>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 Light;sans-serif" w:hAnsi="Adelle Sans Light;sans-serif"/>
                <w:b w:val="false"/>
                <w:color w:val="000000"/>
                <w:sz w:val="18"/>
              </w:rPr>
            </w:pPr>
            <w:r>
              <w:rPr>
                <w:rFonts w:ascii="Adelle Sans Light;sans-serif" w:hAnsi="Adelle Sans Light;sans-serif"/>
                <w:b w:val="false"/>
                <w:color w:val="000000"/>
                <w:sz w:val="18"/>
              </w:rPr>
              <w:t>Shane Kleinstein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18"/>
              </w:rPr>
            </w:pPr>
            <w:r>
              <w:rPr>
                <w:rFonts w:ascii="Adelle Sans;sans-serif" w:hAnsi="Adelle Sans;sans-serif"/>
                <w:b/>
                <w:color w:val="000000"/>
                <w:sz w:val="18"/>
              </w:rPr>
              <w:t>CONTACT MEDIA:</w:t>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 Light;sans-serif" w:hAnsi="Adelle Sans Light;sans-serif"/>
                <w:b w:val="false"/>
                <w:color w:val="000000"/>
                <w:sz w:val="18"/>
              </w:rPr>
            </w:pPr>
            <w:r>
              <w:rPr>
                <w:rFonts w:ascii="Adelle Sans Light;sans-serif" w:hAnsi="Adelle Sans Light;sans-serif"/>
                <w:b w:val="false"/>
                <w:color w:val="000000"/>
                <w:sz w:val="18"/>
              </w:rPr>
              <w:t>Ben McConaghy</w:t>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 Light;sans-serif" w:hAnsi="Adelle Sans Light;sans-serif"/>
                <w:b w:val="false"/>
                <w:color w:val="000000"/>
                <w:sz w:val="18"/>
              </w:rPr>
            </w:pPr>
            <w:r>
              <w:rPr>
                <w:rFonts w:ascii="Adelle Sans Light;sans-serif" w:hAnsi="Adelle Sans Light;sans-serif"/>
                <w:b w:val="false"/>
                <w:color w:val="000000"/>
                <w:sz w:val="18"/>
              </w:rPr>
              <w:t>Director, Investor Relations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 Light;sans-serif" w:hAnsi="Adelle Sans Light;sans-serif"/>
                <w:b w:val="false"/>
                <w:color w:val="000000"/>
                <w:sz w:val="18"/>
              </w:rPr>
            </w:pPr>
            <w:r>
              <w:rPr>
                <w:rFonts w:ascii="Adelle Sans Light;sans-serif" w:hAnsi="Adelle Sans Light;sans-serif"/>
                <w:b w:val="false"/>
                <w:color w:val="000000"/>
                <w:sz w:val="18"/>
              </w:rPr>
              <w:t>Director, Communications</w:t>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 Light;sans-serif" w:hAnsi="Adelle Sans Light;sans-serif"/>
                <w:b/>
                <w:color w:val="14896B"/>
                <w:sz w:val="18"/>
                <w:u w:val="single"/>
              </w:rPr>
            </w:pPr>
            <w:r>
              <w:rPr>
                <w:rFonts w:ascii="Adelle Sans Light;sans-serif" w:hAnsi="Adelle Sans Light;sans-serif"/>
                <w:b/>
                <w:color w:val="14896B"/>
                <w:sz w:val="18"/>
                <w:u w:val="single"/>
              </w:rPr>
              <w:t>IR@shopify.com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delle Sans Light;sans-serif" w:hAnsi="Adelle Sans Light;sans-serif"/>
                <w:b/>
                <w:color w:val="14896B"/>
                <w:sz w:val="18"/>
                <w:u w:val="single"/>
              </w:rPr>
            </w:pPr>
            <w:r>
              <w:rPr>
                <w:rFonts w:ascii="Adelle Sans Light;sans-serif" w:hAnsi="Adelle Sans Light;sans-serif"/>
                <w:b/>
                <w:color w:val="14896B"/>
                <w:sz w:val="18"/>
                <w:u w:val="single"/>
              </w:rPr>
              <w:t>press@shopify.com</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drawing>
          <wp:inline distT="0" distB="0" distL="0" distR="0">
            <wp:extent cx="1276350" cy="352425"/>
            <wp:effectExtent l="0" t="0" r="0" b="0"/>
            <wp:docPr id="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 descr=""/>
                    <pic:cNvPicPr>
                      <a:picLocks noChangeAspect="1" noChangeArrowheads="1"/>
                    </pic:cNvPicPr>
                  </pic:nvPicPr>
                  <pic:blipFill>
                    <a:blip r:embed="rId5"/>
                    <a:stretch>
                      <a:fillRect/>
                    </a:stretch>
                  </pic:blipFill>
                  <pic:spPr bwMode="auto">
                    <a:xfrm>
                      <a:off x="0" y="0"/>
                      <a:ext cx="1276350" cy="352425"/>
                    </a:xfrm>
                    <a:prstGeom prst="rect">
                      <a:avLst/>
                    </a:prstGeom>
                  </pic:spPr>
                </pic:pic>
              </a:graphicData>
            </a:graphic>
          </wp:inline>
        </w:drawing>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407035"/>
                <wp:effectExtent l="0" t="0" r="0" b="0"/>
                <wp:wrapNone/>
                <wp:docPr id="9" name="Frame5"/>
                <a:graphic xmlns:a="http://schemas.openxmlformats.org/drawingml/2006/main">
                  <a:graphicData uri="http://schemas.microsoft.com/office/word/2010/wordprocessingShape">
                    <wps:wsp>
                      <wps:cNvSpPr txBox="1"/>
                      <wps:spPr>
                        <a:xfrm>
                          <a:off x="0" y="0"/>
                          <a:ext cx="6480175" cy="407035"/>
                        </a:xfrm>
                        <a:prstGeom prst="rect"/>
                        <a:solidFill>
                          <a:srgbClr val="FFFFFF"/>
                        </a:solidFill>
                      </wps:spPr>
                      <wps:txbx>
                        <w:txbxContent>
                          <w:p>
                            <w:pPr>
                              <w:pStyle w:val="TextBody"/>
                              <w:bidi w:val="0"/>
                              <w:spacing w:lineRule="auto" w:line="417" w:before="0" w:after="0"/>
                              <w:jc w:val="right"/>
                              <w:rPr>
                                <w:rFonts w:ascii="Adelle Sans Light;sans-serif" w:hAnsi="Adelle Sans Light;sans-serif"/>
                                <w:b w:val="false"/>
                                <w:color w:val="6D6D6D"/>
                                <w:sz w:val="18"/>
                              </w:rPr>
                            </w:pPr>
                            <w:r>
                              <w:rPr>
                                <w:rFonts w:ascii="Adelle Sans Light;sans-serif" w:hAnsi="Adelle Sans Light;sans-serif"/>
                                <w:b w:val="false"/>
                                <w:color w:val="6D6D6D"/>
                                <w:sz w:val="18"/>
                              </w:rPr>
                              <w:t>2</w:t>
                            </w:r>
                            <w:r>
                              <w:br w:type="page"/>
                            </w:r>
                          </w:p>
                          <w:p>
                            <w:pPr>
                              <w:pStyle w:val="TextBody"/>
                              <w:bidi w:val="0"/>
                              <w:spacing w:before="0" w:after="20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0"/>
                        <w:jc w:val="right"/>
                        <w:rPr>
                          <w:rFonts w:ascii="Adelle Sans Light;sans-serif" w:hAnsi="Adelle Sans Light;sans-serif"/>
                          <w:b w:val="false"/>
                          <w:color w:val="6D6D6D"/>
                          <w:sz w:val="18"/>
                        </w:rPr>
                      </w:pPr>
                      <w:r>
                        <w:rPr>
                          <w:rFonts w:ascii="Adelle Sans Light;sans-serif" w:hAnsi="Adelle Sans Light;sans-serif"/>
                          <w:b w:val="false"/>
                          <w:color w:val="6D6D6D"/>
                          <w:sz w:val="18"/>
                        </w:rPr>
                        <w:t>2</w:t>
                      </w:r>
                    </w:p>
                    <w:p>
                      <w:pPr>
                        <w:pStyle w:val="TextBody"/>
                        <w:bidi w:val="0"/>
                        <w:spacing w:before="0" w:after="200"/>
                        <w:jc w:val="right"/>
                        <w:rPr/>
                      </w:pPr>
                      <w:r>
                        <w:rPr/>
                      </w:r>
                    </w:p>
                  </w:txbxContent>
                </v:textbox>
                <w10:wrap type="none"/>
              </v:rect>
            </w:pict>
          </mc:Fallback>
        </mc:AlternateContent>
      </w:r>
    </w:p>
    <w:p>
      <w:pPr>
        <w:pStyle w:val="TextBody"/>
        <w:bidi w:val="0"/>
        <w:spacing w:lineRule="auto" w:line="288" w:before="0" w:after="0"/>
        <w:jc w:val="left"/>
        <w:rPr>
          <w:rFonts w:ascii="Adelle Sans;sans-serif" w:hAnsi="Adelle Sans;sans-serif"/>
          <w:b/>
          <w:color w:val="000000"/>
          <w:sz w:val="22"/>
        </w:rPr>
      </w:pPr>
      <w:r>
        <w:rPr>
          <w:rFonts w:ascii="Adelle Sans;sans-serif" w:hAnsi="Adelle Sans;sans-serif"/>
          <w:b/>
          <w:color w:val="000000"/>
          <w:sz w:val="22"/>
        </w:rPr>
        <w:t>Shopify Inc. Condensed Consolidated Statements of Operations</w:t>
      </w:r>
    </w:p>
    <w:p>
      <w:pPr>
        <w:pStyle w:val="TextBody"/>
        <w:bidi w:val="0"/>
        <w:spacing w:lineRule="auto" w:line="288" w:before="0" w:after="0"/>
        <w:jc w:val="left"/>
        <w:rPr>
          <w:rFonts w:ascii="Adelle Sans Light;sans-serif" w:hAnsi="Adelle Sans Light;sans-serif"/>
          <w:b w:val="false"/>
          <w:color w:val="000000"/>
          <w:sz w:val="16"/>
        </w:rPr>
      </w:pPr>
      <w:r>
        <w:rPr>
          <w:rFonts w:ascii="Adelle Sans Light;sans-serif" w:hAnsi="Adelle Sans Light;sans-serif"/>
          <w:b w:val="false"/>
          <w:color w:val="000000"/>
          <w:sz w:val="16"/>
        </w:rPr>
        <w:t>(In US $ millions)</w:t>
      </w:r>
    </w:p>
    <w:tbl>
      <w:tblPr>
        <w:tblW w:w="10205" w:type="dxa"/>
        <w:jc w:val="center"/>
        <w:tblInd w:w="0" w:type="dxa"/>
        <w:tblLayout w:type="fixed"/>
        <w:tblCellMar>
          <w:top w:w="28" w:type="dxa"/>
          <w:left w:w="28" w:type="dxa"/>
          <w:bottom w:w="28" w:type="dxa"/>
          <w:right w:w="28" w:type="dxa"/>
        </w:tblCellMar>
      </w:tblPr>
      <w:tblGrid>
        <w:gridCol w:w="2119"/>
        <w:gridCol w:w="1712"/>
        <w:gridCol w:w="1725"/>
        <w:gridCol w:w="656"/>
        <w:gridCol w:w="521"/>
        <w:gridCol w:w="443"/>
        <w:gridCol w:w="271"/>
        <w:gridCol w:w="271"/>
        <w:gridCol w:w="271"/>
        <w:gridCol w:w="656"/>
        <w:gridCol w:w="521"/>
        <w:gridCol w:w="443"/>
        <w:gridCol w:w="109"/>
        <w:gridCol w:w="109"/>
        <w:gridCol w:w="109"/>
        <w:gridCol w:w="109"/>
        <w:gridCol w:w="160"/>
      </w:tblGrid>
      <w:tr>
        <w:trPr/>
        <w:tc>
          <w:tcPr>
            <w:tcW w:w="2119" w:type="dxa"/>
            <w:tcBorders/>
            <w:vAlign w:val="center"/>
          </w:tcPr>
          <w:p>
            <w:pPr>
              <w:pStyle w:val="TableContents"/>
              <w:bidi w:val="0"/>
              <w:spacing w:before="0" w:after="283"/>
              <w:jc w:val="left"/>
              <w:rPr>
                <w:sz w:val="4"/>
                <w:szCs w:val="4"/>
              </w:rPr>
            </w:pPr>
            <w:r>
              <w:rPr>
                <w:sz w:val="4"/>
                <w:szCs w:val="4"/>
              </w:rPr>
            </w:r>
          </w:p>
        </w:tc>
        <w:tc>
          <w:tcPr>
            <w:tcW w:w="1712" w:type="dxa"/>
            <w:tcBorders/>
            <w:vAlign w:val="center"/>
          </w:tcPr>
          <w:p>
            <w:pPr>
              <w:pStyle w:val="TableContents"/>
              <w:bidi w:val="0"/>
              <w:spacing w:before="0" w:after="283"/>
              <w:jc w:val="left"/>
              <w:rPr>
                <w:sz w:val="4"/>
                <w:szCs w:val="4"/>
              </w:rPr>
            </w:pPr>
            <w:r>
              <w:rPr>
                <w:sz w:val="4"/>
                <w:szCs w:val="4"/>
              </w:rPr>
            </w:r>
          </w:p>
        </w:tc>
        <w:tc>
          <w:tcPr>
            <w:tcW w:w="1725"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gridSpan w:val="3"/>
            <w:tcBorders/>
          </w:tcPr>
          <w:p>
            <w:pPr>
              <w:pStyle w:val="TableContents"/>
              <w:bidi w:val="0"/>
              <w:spacing w:before="0" w:after="283"/>
              <w:jc w:val="left"/>
              <w:rPr>
                <w:sz w:val="4"/>
                <w:szCs w:val="4"/>
              </w:rPr>
            </w:pPr>
            <w:r>
              <w:rPr>
                <w:sz w:val="4"/>
                <w:szCs w:val="4"/>
              </w:rPr>
            </w:r>
          </w:p>
        </w:tc>
      </w:tr>
      <w:tr>
        <w:trPr/>
        <w:tc>
          <w:tcPr>
            <w:tcW w:w="5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color w:val="000000"/>
                <w:sz w:val="18"/>
              </w:rPr>
            </w:pPr>
            <w:r>
              <w:rPr>
                <w:rFonts w:ascii="Adelle Sans;sans-serif" w:hAnsi="Adelle Sans;sans-serif"/>
                <w:b/>
                <w:color w:val="000000"/>
                <w:sz w:val="18"/>
              </w:rPr>
              <w:t>June 30, 2026</w:t>
            </w:r>
          </w:p>
        </w:tc>
        <w:tc>
          <w:tcPr>
            <w:tcW w:w="81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color w:val="000000"/>
                <w:sz w:val="18"/>
              </w:rPr>
            </w:pPr>
            <w:r>
              <w:rPr>
                <w:rFonts w:ascii="Adelle Sans;sans-serif" w:hAnsi="Adelle Sans;sans-serif"/>
                <w:b/>
                <w:color w:val="000000"/>
                <w:sz w:val="18"/>
              </w:rPr>
              <w:t>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5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18"/>
              </w:rPr>
            </w:pPr>
            <w:r>
              <w:rPr>
                <w:rFonts w:ascii="Adelle Sans;sans-serif" w:hAnsi="Adelle Sans;sans-serif"/>
                <w:b/>
                <w:color w:val="000000"/>
                <w:sz w:val="18"/>
              </w:rPr>
              <w:t>Revenues</w:t>
            </w:r>
          </w:p>
        </w:tc>
        <w:tc>
          <w:tcPr>
            <w:tcW w:w="16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56"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Subscription solutions</w:t>
            </w:r>
          </w:p>
        </w:tc>
        <w:tc>
          <w:tcPr>
            <w:tcW w:w="1620"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802</w:t>
            </w:r>
          </w:p>
        </w:tc>
        <w:tc>
          <w:tcPr>
            <w:tcW w:w="813"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656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Merchant solutions</w:t>
            </w:r>
          </w:p>
        </w:tc>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2,781</w:t>
            </w:r>
          </w:p>
        </w:tc>
        <w:tc>
          <w:tcPr>
            <w:tcW w:w="8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56"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4"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color w:val="000000"/>
                <w:sz w:val="18"/>
              </w:rPr>
            </w:pPr>
            <w:r>
              <w:rPr>
                <w:rFonts w:ascii="Adelle Sans;sans-serif" w:hAnsi="Adelle Sans;sans-serif"/>
                <w:b/>
                <w:color w:val="000000"/>
                <w:sz w:val="18"/>
              </w:rPr>
              <w:t>3,583</w:t>
            </w:r>
          </w:p>
        </w:tc>
        <w:tc>
          <w:tcPr>
            <w:tcW w:w="813" w:type="dxa"/>
            <w:gridSpan w:val="3"/>
            <w:tcBorders>
              <w:top w:val="single" w:sz="4"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4"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color w:val="000000"/>
                <w:sz w:val="18"/>
              </w:rPr>
            </w:pPr>
            <w:r>
              <w:rPr>
                <w:rFonts w:ascii="Adelle Sans;sans-serif" w:hAnsi="Adelle Sans;sans-serif"/>
                <w:b/>
                <w:color w:val="000000"/>
                <w:sz w:val="18"/>
              </w:rPr>
              <w:t>2,680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5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18"/>
              </w:rPr>
            </w:pPr>
            <w:r>
              <w:rPr>
                <w:rFonts w:ascii="Adelle Sans;sans-serif" w:hAnsi="Adelle Sans;sans-serif"/>
                <w:b/>
                <w:color w:val="000000"/>
                <w:sz w:val="18"/>
              </w:rPr>
              <w:t>Cost of revenues</w:t>
            </w:r>
          </w:p>
        </w:tc>
        <w:tc>
          <w:tcPr>
            <w:tcW w:w="16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56"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Subscription solutions</w:t>
            </w:r>
          </w:p>
        </w:tc>
        <w:tc>
          <w:tcPr>
            <w:tcW w:w="1620"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163</w:t>
            </w:r>
          </w:p>
        </w:tc>
        <w:tc>
          <w:tcPr>
            <w:tcW w:w="813"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121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Merchant solutions</w:t>
            </w:r>
          </w:p>
        </w:tc>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1,712</w:t>
            </w:r>
          </w:p>
        </w:tc>
        <w:tc>
          <w:tcPr>
            <w:tcW w:w="8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1,257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56"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4"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1,875</w:t>
            </w:r>
          </w:p>
        </w:tc>
        <w:tc>
          <w:tcPr>
            <w:tcW w:w="813" w:type="dxa"/>
            <w:gridSpan w:val="3"/>
            <w:tcBorders>
              <w:top w:val="single" w:sz="4"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4"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1,378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5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18"/>
              </w:rPr>
            </w:pPr>
            <w:r>
              <w:rPr>
                <w:rFonts w:ascii="Adelle Sans;sans-serif" w:hAnsi="Adelle Sans;sans-serif"/>
                <w:b/>
                <w:color w:val="000000"/>
                <w:sz w:val="18"/>
              </w:rPr>
              <w:t>Gross profit</w:t>
            </w:r>
          </w:p>
        </w:tc>
        <w:tc>
          <w:tcPr>
            <w:tcW w:w="162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color w:val="000000"/>
                <w:sz w:val="18"/>
              </w:rPr>
            </w:pPr>
            <w:r>
              <w:rPr>
                <w:rFonts w:ascii="Adelle Sans;sans-serif" w:hAnsi="Adelle Sans;sans-serif"/>
                <w:b/>
                <w:color w:val="000000"/>
                <w:sz w:val="18"/>
              </w:rPr>
              <w:t>1,708</w:t>
            </w:r>
          </w:p>
        </w:tc>
        <w:tc>
          <w:tcPr>
            <w:tcW w:w="8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color w:val="000000"/>
                <w:sz w:val="18"/>
              </w:rPr>
            </w:pPr>
            <w:r>
              <w:rPr>
                <w:rFonts w:ascii="Adelle Sans;sans-serif" w:hAnsi="Adelle Sans;sans-serif"/>
                <w:b/>
                <w:color w:val="000000"/>
                <w:sz w:val="18"/>
              </w:rPr>
              <w:t>1,302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56" w:type="dxa"/>
            <w:gridSpan w:val="3"/>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18"/>
              </w:rPr>
            </w:pPr>
            <w:r>
              <w:rPr>
                <w:rFonts w:ascii="Adelle Sans;sans-serif" w:hAnsi="Adelle Sans;sans-serif"/>
                <w:b/>
                <w:color w:val="000000"/>
                <w:sz w:val="18"/>
              </w:rPr>
              <w:t>Operating expenses</w:t>
            </w:r>
          </w:p>
        </w:tc>
        <w:tc>
          <w:tcPr>
            <w:tcW w:w="1620"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Sales and marketing</w:t>
            </w:r>
          </w:p>
        </w:tc>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498</w:t>
            </w:r>
          </w:p>
        </w:tc>
        <w:tc>
          <w:tcPr>
            <w:tcW w:w="8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415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56"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Research and development</w:t>
            </w:r>
          </w:p>
        </w:tc>
        <w:tc>
          <w:tcPr>
            <w:tcW w:w="1620"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445</w:t>
            </w:r>
          </w:p>
        </w:tc>
        <w:tc>
          <w:tcPr>
            <w:tcW w:w="813"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394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General and administrative</w:t>
            </w:r>
          </w:p>
        </w:tc>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136</w:t>
            </w:r>
          </w:p>
        </w:tc>
        <w:tc>
          <w:tcPr>
            <w:tcW w:w="8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56"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Transaction and loan losses</w:t>
            </w:r>
          </w:p>
        </w:tc>
        <w:tc>
          <w:tcPr>
            <w:tcW w:w="1620"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141</w:t>
            </w:r>
          </w:p>
        </w:tc>
        <w:tc>
          <w:tcPr>
            <w:tcW w:w="813"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80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56"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Total operating expenses</w:t>
            </w:r>
          </w:p>
        </w:tc>
        <w:tc>
          <w:tcPr>
            <w:tcW w:w="162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1,220</w:t>
            </w:r>
          </w:p>
        </w:tc>
        <w:tc>
          <w:tcPr>
            <w:tcW w:w="8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1,011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56" w:type="dxa"/>
            <w:gridSpan w:val="3"/>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18"/>
              </w:rPr>
            </w:pPr>
            <w:r>
              <w:rPr>
                <w:rFonts w:ascii="Adelle Sans;sans-serif" w:hAnsi="Adelle Sans;sans-serif"/>
                <w:b/>
                <w:color w:val="000000"/>
                <w:sz w:val="18"/>
              </w:rPr>
              <w:t>Operating income</w:t>
            </w:r>
          </w:p>
        </w:tc>
        <w:tc>
          <w:tcPr>
            <w:tcW w:w="1620" w:type="dxa"/>
            <w:gridSpan w:val="3"/>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color w:val="000000"/>
                <w:sz w:val="18"/>
              </w:rPr>
            </w:pPr>
            <w:r>
              <w:rPr>
                <w:rFonts w:ascii="Adelle Sans;sans-serif" w:hAnsi="Adelle Sans;sans-serif"/>
                <w:b/>
                <w:color w:val="000000"/>
                <w:sz w:val="18"/>
              </w:rPr>
              <w:t>488</w:t>
            </w:r>
          </w:p>
        </w:tc>
        <w:tc>
          <w:tcPr>
            <w:tcW w:w="813"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color w:val="000000"/>
                <w:sz w:val="18"/>
              </w:rPr>
            </w:pPr>
            <w:r>
              <w:rPr>
                <w:rFonts w:ascii="Adelle Sans;sans-serif" w:hAnsi="Adelle Sans;sans-serif"/>
                <w:b/>
                <w:color w:val="000000"/>
                <w:sz w:val="18"/>
              </w:rPr>
              <w:t>291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delle Sans;sans-serif" w:hAnsi="Adelle Sans;sans-serif"/>
                <w:b w:val="false"/>
                <w:color w:val="000000"/>
                <w:sz w:val="18"/>
              </w:rPr>
              <w:t>Net other income, including taxes</w:t>
            </w:r>
            <w:r>
              <w:rPr>
                <w:rFonts w:ascii="Adelle Sans;sans-serif" w:hAnsi="Adelle Sans;sans-serif"/>
                <w:b w:val="false"/>
                <w:color w:val="000000"/>
                <w:sz w:val="12"/>
              </w:rPr>
              <w:t>(2)</w:t>
            </w:r>
          </w:p>
        </w:tc>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1,014</w:t>
            </w:r>
          </w:p>
        </w:tc>
        <w:tc>
          <w:tcPr>
            <w:tcW w:w="8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615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56" w:type="dxa"/>
            <w:gridSpan w:val="3"/>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18"/>
              </w:rPr>
            </w:pPr>
            <w:r>
              <w:rPr>
                <w:rFonts w:ascii="Adelle Sans;sans-serif" w:hAnsi="Adelle Sans;sans-serif"/>
                <w:b/>
                <w:color w:val="000000"/>
                <w:sz w:val="18"/>
              </w:rPr>
              <w:t>Net Income</w:t>
            </w:r>
          </w:p>
        </w:tc>
        <w:tc>
          <w:tcPr>
            <w:tcW w:w="1620" w:type="dxa"/>
            <w:gridSpan w:val="3"/>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color w:val="000000"/>
                <w:sz w:val="18"/>
              </w:rPr>
            </w:pPr>
            <w:r>
              <w:rPr>
                <w:rFonts w:ascii="Adelle Sans;sans-serif" w:hAnsi="Adelle Sans;sans-serif"/>
                <w:b/>
                <w:color w:val="000000"/>
                <w:sz w:val="18"/>
              </w:rPr>
              <w:t>1,502</w:t>
            </w:r>
          </w:p>
        </w:tc>
        <w:tc>
          <w:tcPr>
            <w:tcW w:w="813"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color w:val="000000"/>
                <w:sz w:val="18"/>
              </w:rPr>
            </w:pPr>
            <w:r>
              <w:rPr>
                <w:rFonts w:ascii="Adelle Sans;sans-serif" w:hAnsi="Adelle Sans;sans-serif"/>
                <w:b/>
                <w:color w:val="000000"/>
                <w:sz w:val="18"/>
              </w:rPr>
              <w:t>906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less: equity investments, marked to market, net of taxes</w:t>
            </w:r>
          </w:p>
        </w:tc>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1,063</w:t>
            </w:r>
          </w:p>
        </w:tc>
        <w:tc>
          <w:tcPr>
            <w:tcW w:w="8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568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56" w:type="dxa"/>
            <w:gridSpan w:val="3"/>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0"/>
              <w:jc w:val="left"/>
              <w:rPr/>
            </w:pPr>
            <w:r>
              <w:rPr>
                <w:rFonts w:ascii="Adelle Sans;sans-serif" w:hAnsi="Adelle Sans;sans-serif"/>
                <w:b/>
                <w:color w:val="000000"/>
                <w:sz w:val="18"/>
              </w:rPr>
              <w:t>Net income excluding the impact of equity investments</w:t>
            </w:r>
            <w:r>
              <w:rPr>
                <w:rFonts w:ascii="Adelle Sans;sans-serif" w:hAnsi="Adelle Sans;sans-serif"/>
                <w:b/>
                <w:color w:val="000000"/>
                <w:sz w:val="12"/>
              </w:rPr>
              <w:t>(3)</w:t>
            </w:r>
          </w:p>
        </w:tc>
        <w:tc>
          <w:tcPr>
            <w:tcW w:w="1620" w:type="dxa"/>
            <w:gridSpan w:val="3"/>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color w:val="000000"/>
                <w:sz w:val="18"/>
              </w:rPr>
            </w:pPr>
            <w:r>
              <w:rPr>
                <w:rFonts w:ascii="Adelle Sans;sans-serif" w:hAnsi="Adelle Sans;sans-serif"/>
                <w:b/>
                <w:color w:val="000000"/>
                <w:sz w:val="18"/>
              </w:rPr>
              <w:t>439</w:t>
            </w:r>
          </w:p>
        </w:tc>
        <w:tc>
          <w:tcPr>
            <w:tcW w:w="813"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color w:val="000000"/>
                <w:sz w:val="18"/>
              </w:rPr>
            </w:pPr>
            <w:r>
              <w:rPr>
                <w:rFonts w:ascii="Adelle Sans;sans-serif" w:hAnsi="Adelle Sans;sans-serif"/>
                <w:b/>
                <w:color w:val="000000"/>
                <w:sz w:val="18"/>
              </w:rPr>
              <w:t>338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9609"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9609" w:type="dxa"/>
            <w:gridSpan w:val="12"/>
            <w:tcBorders/>
            <w:tcMar>
              <w:top w:w="0" w:type="dxa"/>
              <w:left w:w="0" w:type="dxa"/>
              <w:bottom w:w="0" w:type="dxa"/>
              <w:right w:w="0" w:type="dxa"/>
            </w:tcMar>
            <w:vAlign w:val="center"/>
          </w:tcPr>
          <w:p>
            <w:pPr>
              <w:pStyle w:val="TableContents"/>
              <w:bidi w:val="0"/>
              <w:spacing w:lineRule="auto" w:line="288" w:before="40" w:after="283"/>
              <w:jc w:val="left"/>
              <w:rPr/>
            </w:pPr>
            <w:r>
              <w:rPr>
                <w:rFonts w:ascii="Adelle Sans Light;sans-serif" w:hAnsi="Adelle Sans Light;sans-serif"/>
                <w:b w:val="false"/>
                <w:color w:val="6D6D6D"/>
                <w:sz w:val="8"/>
              </w:rPr>
              <w:t>(2)</w:t>
            </w:r>
            <w:r>
              <w:rPr>
                <w:color w:val="6D6D6D"/>
              </w:rPr>
              <w:t xml:space="preserve"> </w:t>
            </w:r>
            <w:r>
              <w:rPr>
                <w:rFonts w:ascii="Adelle Sans Light;sans-serif" w:hAnsi="Adelle Sans Light;sans-serif"/>
                <w:b w:val="false"/>
                <w:i/>
                <w:color w:val="6D6D6D"/>
                <w:sz w:val="12"/>
              </w:rPr>
              <w:t>Net other income, including taxes</w:t>
            </w:r>
            <w:r>
              <w:rPr>
                <w:color w:val="6D6D6D"/>
              </w:rPr>
              <w:t xml:space="preserve"> </w:t>
            </w:r>
            <w:r>
              <w:rPr>
                <w:rFonts w:ascii="Adelle Sans Light;sans-serif" w:hAnsi="Adelle Sans Light;sans-serif"/>
                <w:b w:val="false"/>
                <w:color w:val="6D6D6D"/>
                <w:sz w:val="12"/>
              </w:rPr>
              <w:t>includes interest income, gains and losses on equity and other investments, foreign exchange gains and losses, and our provision for income taxes.</w:t>
            </w:r>
          </w:p>
        </w:tc>
        <w:tc>
          <w:tcPr>
            <w:tcW w:w="596" w:type="dxa"/>
            <w:gridSpan w:val="5"/>
            <w:tcBorders/>
          </w:tcPr>
          <w:p>
            <w:pPr>
              <w:pStyle w:val="TableContents"/>
              <w:bidi w:val="0"/>
              <w:spacing w:before="0" w:after="283"/>
              <w:jc w:val="left"/>
              <w:rPr>
                <w:sz w:val="4"/>
                <w:szCs w:val="4"/>
              </w:rPr>
            </w:pPr>
            <w:r>
              <w:rPr>
                <w:sz w:val="4"/>
                <w:szCs w:val="4"/>
              </w:rPr>
            </w:r>
          </w:p>
        </w:tc>
      </w:tr>
      <w:tr>
        <w:trPr/>
        <w:tc>
          <w:tcPr>
            <w:tcW w:w="9609" w:type="dxa"/>
            <w:gridSpan w:val="12"/>
            <w:tcBorders/>
            <w:tcMar>
              <w:top w:w="0" w:type="dxa"/>
              <w:left w:w="0" w:type="dxa"/>
              <w:bottom w:w="0" w:type="dxa"/>
              <w:right w:w="0" w:type="dxa"/>
            </w:tcMar>
            <w:vAlign w:val="center"/>
          </w:tcPr>
          <w:p>
            <w:pPr>
              <w:pStyle w:val="TableContents"/>
              <w:bidi w:val="0"/>
              <w:spacing w:lineRule="auto" w:line="288" w:before="0" w:after="120"/>
              <w:jc w:val="left"/>
              <w:rPr/>
            </w:pPr>
            <w:r>
              <w:rPr>
                <w:rFonts w:ascii="Adelle Sans Light;sans-serif" w:hAnsi="Adelle Sans Light;sans-serif"/>
                <w:b w:val="false"/>
                <w:color w:val="6D6D6D"/>
                <w:sz w:val="8"/>
              </w:rPr>
              <w:t>(3)</w:t>
            </w:r>
            <w:r>
              <w:rPr>
                <w:color w:val="6D6D6D"/>
              </w:rPr>
              <w:t xml:space="preserve"> </w:t>
            </w:r>
            <w:r>
              <w:rPr>
                <w:rFonts w:ascii="Adelle Sans Light;sans-serif" w:hAnsi="Adelle Sans Light;sans-serif"/>
                <w:b w:val="false"/>
                <w:i/>
                <w:color w:val="6D6D6D"/>
                <w:sz w:val="12"/>
                <w:shd w:fill="FFFFFF" w:val="clear"/>
              </w:rPr>
              <w:t xml:space="preserve">Net income excluding the impact of equity investments </w:t>
            </w:r>
            <w:r>
              <w:rPr>
                <w:rFonts w:ascii="Adelle Sans Light;sans-serif" w:hAnsi="Adelle Sans Light;sans-serif"/>
                <w:b w:val="false"/>
                <w:color w:val="6D6D6D"/>
                <w:sz w:val="12"/>
                <w:shd w:fill="FFFFFF" w:val="clear"/>
              </w:rPr>
              <w:t xml:space="preserve">is a non-GAAP financial measure which is reconciled at the end of this press release. This measure excludes the impact of any gains or losses on our equity investments in third parties. Shopify believes this measure provides useful information to investors given that valuations of third parties in public and private markets are outside of our control, and therefore, fluctuations in those valuations are not relevant to the fundamentals of our business and have little analytical or predictive value regarding our ability to drive operational results. This measure does not have a standardized meaning under US GAAP and may not be comparable to similar measures presented by other companies. GAAP and non-GAAP diluted net income (loss) per share are available in the Financial Supplemental posted on </w:t>
            </w:r>
            <w:r>
              <w:rPr>
                <w:rFonts w:ascii="Adelle Sans Light;sans-serif" w:hAnsi="Adelle Sans Light;sans-serif"/>
                <w:b w:val="false"/>
                <w:color w:val="14896B"/>
                <w:sz w:val="12"/>
                <w:u w:val="single"/>
              </w:rPr>
              <w:t>www.shopify.com/investors</w:t>
            </w:r>
            <w:r>
              <w:rPr>
                <w:rFonts w:ascii="Adelle Sans Light;sans-serif" w:hAnsi="Adelle Sans Light;sans-serif"/>
                <w:b w:val="false"/>
                <w:color w:val="6D6D6D"/>
                <w:sz w:val="12"/>
              </w:rPr>
              <w:t>.</w:t>
            </w:r>
          </w:p>
          <w:p>
            <w:pPr>
              <w:pStyle w:val="TableContents"/>
              <w:bidi w:val="0"/>
              <w:spacing w:lineRule="auto" w:line="288" w:before="0" w:after="120"/>
              <w:jc w:val="left"/>
              <w:rPr/>
            </w:pPr>
            <w:r>
              <w:rPr>
                <w:rFonts w:ascii="Adelle Sans Light;sans-serif" w:hAnsi="Adelle Sans Light;sans-serif"/>
                <w:b w:val="false"/>
                <w:color w:val="6D6D6D"/>
                <w:sz w:val="12"/>
              </w:rPr>
              <w:t xml:space="preserve">Note: More detailed Condensed Consolidated Statements of Operations and Comprehensive Income are available in the Quarterly Report on Form 10-Q filed concurrently with this press release with US and Canadian regulators and available on </w:t>
            </w:r>
            <w:r>
              <w:rPr>
                <w:rFonts w:ascii="Adelle Sans Light;sans-serif" w:hAnsi="Adelle Sans Light;sans-serif"/>
                <w:b w:val="false"/>
                <w:color w:val="14896B"/>
                <w:sz w:val="12"/>
                <w:u w:val="single"/>
              </w:rPr>
              <w:t>www.sec.gov</w:t>
            </w:r>
            <w:r>
              <w:rPr>
                <w:color w:val="6D6D6D"/>
              </w:rPr>
              <w:t xml:space="preserve"> </w:t>
            </w:r>
            <w:r>
              <w:rPr>
                <w:rFonts w:ascii="Adelle Sans Light;sans-serif" w:hAnsi="Adelle Sans Light;sans-serif"/>
                <w:b w:val="false"/>
                <w:color w:val="6D6D6D"/>
                <w:sz w:val="12"/>
              </w:rPr>
              <w:t xml:space="preserve">and </w:t>
            </w:r>
            <w:r>
              <w:rPr>
                <w:rFonts w:ascii="Adelle Sans Light;sans-serif" w:hAnsi="Adelle Sans Light;sans-serif"/>
                <w:b w:val="false"/>
                <w:color w:val="14896B"/>
                <w:sz w:val="12"/>
                <w:u w:val="single"/>
              </w:rPr>
              <w:t>www.sedarplus.ca</w:t>
            </w:r>
            <w:r>
              <w:rPr>
                <w:rFonts w:ascii="Adelle Sans Light;sans-serif" w:hAnsi="Adelle Sans Light;sans-serif"/>
                <w:b w:val="false"/>
                <w:color w:val="6D6D6D"/>
                <w:sz w:val="12"/>
                <w:u w:val="single"/>
              </w:rPr>
              <w:t>.</w:t>
            </w:r>
          </w:p>
        </w:tc>
        <w:tc>
          <w:tcPr>
            <w:tcW w:w="596" w:type="dxa"/>
            <w:gridSpan w:val="5"/>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drawing>
          <wp:inline distT="0" distB="0" distL="0" distR="0">
            <wp:extent cx="1276350" cy="352425"/>
            <wp:effectExtent l="0" t="0" r="0" b="0"/>
            <wp:docPr id="10"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 descr=""/>
                    <pic:cNvPicPr>
                      <a:picLocks noChangeAspect="1" noChangeArrowheads="1"/>
                    </pic:cNvPicPr>
                  </pic:nvPicPr>
                  <pic:blipFill>
                    <a:blip r:embed="rId6"/>
                    <a:stretch>
                      <a:fillRect/>
                    </a:stretch>
                  </pic:blipFill>
                  <pic:spPr bwMode="auto">
                    <a:xfrm>
                      <a:off x="0" y="0"/>
                      <a:ext cx="1276350" cy="352425"/>
                    </a:xfrm>
                    <a:prstGeom prst="rect">
                      <a:avLst/>
                    </a:prstGeom>
                  </pic:spPr>
                </pic:pic>
              </a:graphicData>
            </a:graphic>
          </wp:inline>
        </w:drawing>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35280"/>
                <wp:effectExtent l="0" t="0" r="0" b="0"/>
                <wp:wrapNone/>
                <wp:docPr id="11" name="Frame6"/>
                <a:graphic xmlns:a="http://schemas.openxmlformats.org/drawingml/2006/main">
                  <a:graphicData uri="http://schemas.microsoft.com/office/word/2010/wordprocessingShape">
                    <wps:wsp>
                      <wps:cNvSpPr txBox="1"/>
                      <wps:spPr>
                        <a:xfrm>
                          <a:off x="0" y="0"/>
                          <a:ext cx="6480175" cy="335280"/>
                        </a:xfrm>
                        <a:prstGeom prst="rect"/>
                        <a:solidFill>
                          <a:srgbClr val="FFFFFF"/>
                        </a:solidFill>
                      </wps:spPr>
                      <wps:txbx>
                        <w:txbxContent>
                          <w:p>
                            <w:pPr>
                              <w:pStyle w:val="TextBody"/>
                              <w:bidi w:val="0"/>
                              <w:spacing w:lineRule="auto" w:line="288" w:before="0" w:after="0"/>
                              <w:ind w:left="0" w:right="0" w:hanging="90"/>
                              <w:jc w:val="right"/>
                              <w:rPr>
                                <w:rFonts w:ascii="Adelle Sans Light;sans-serif" w:hAnsi="Adelle Sans Light;sans-serif"/>
                                <w:b w:val="false"/>
                                <w:color w:val="6D6D6D"/>
                                <w:sz w:val="18"/>
                              </w:rPr>
                            </w:pPr>
                            <w:r>
                              <w:rPr>
                                <w:rFonts w:ascii="Adelle Sans Light;sans-serif" w:hAnsi="Adelle Sans Light;sans-serif"/>
                                <w:b w:val="false"/>
                                <w:color w:val="6D6D6D"/>
                                <w:sz w:val="18"/>
                              </w:rPr>
                              <w:t>3</w:t>
                            </w:r>
                            <w:r>
                              <w:br w:type="page"/>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hanging="90"/>
                        <w:jc w:val="right"/>
                        <w:rPr>
                          <w:rFonts w:ascii="Adelle Sans Light;sans-serif" w:hAnsi="Adelle Sans Light;sans-serif"/>
                          <w:b w:val="false"/>
                          <w:color w:val="6D6D6D"/>
                          <w:sz w:val="18"/>
                        </w:rPr>
                      </w:pPr>
                      <w:r>
                        <w:rPr>
                          <w:rFonts w:ascii="Adelle Sans Light;sans-serif" w:hAnsi="Adelle Sans Light;sans-serif"/>
                          <w:b w:val="false"/>
                          <w:color w:val="6D6D6D"/>
                          <w:sz w:val="18"/>
                        </w:rPr>
                        <w:t>3</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rFonts w:ascii="Adelle Sans;sans-serif" w:hAnsi="Adelle Sans;sans-serif"/>
          <w:b/>
          <w:color w:val="000000"/>
          <w:sz w:val="22"/>
        </w:rPr>
      </w:pPr>
      <w:r>
        <w:rPr>
          <w:rFonts w:ascii="Adelle Sans;sans-serif" w:hAnsi="Adelle Sans;sans-serif"/>
          <w:b/>
          <w:color w:val="000000"/>
          <w:sz w:val="22"/>
        </w:rPr>
        <w:t xml:space="preserve">Shopify Inc. Condensed Consolidated Balance Sheets </w:t>
      </w:r>
    </w:p>
    <w:p>
      <w:pPr>
        <w:pStyle w:val="TextBody"/>
        <w:bidi w:val="0"/>
        <w:spacing w:lineRule="auto" w:line="288" w:before="0" w:after="0"/>
        <w:jc w:val="left"/>
        <w:rPr>
          <w:rFonts w:ascii="Adelle Sans Light;sans-serif" w:hAnsi="Adelle Sans Light;sans-serif"/>
          <w:b w:val="false"/>
          <w:color w:val="000000"/>
          <w:sz w:val="16"/>
        </w:rPr>
      </w:pPr>
      <w:r>
        <w:rPr>
          <w:rFonts w:ascii="Adelle Sans Light;sans-serif" w:hAnsi="Adelle Sans Light;sans-serif"/>
          <w:b w:val="false"/>
          <w:color w:val="000000"/>
          <w:sz w:val="16"/>
        </w:rPr>
        <w:t>(In US $ millions)</w:t>
      </w:r>
    </w:p>
    <w:tbl>
      <w:tblPr>
        <w:tblW w:w="10205" w:type="dxa"/>
        <w:jc w:val="center"/>
        <w:tblInd w:w="0" w:type="dxa"/>
        <w:tblLayout w:type="fixed"/>
        <w:tblCellMar>
          <w:top w:w="28" w:type="dxa"/>
          <w:left w:w="28" w:type="dxa"/>
          <w:bottom w:w="28" w:type="dxa"/>
          <w:right w:w="28" w:type="dxa"/>
        </w:tblCellMar>
      </w:tblPr>
      <w:tblGrid>
        <w:gridCol w:w="2059"/>
        <w:gridCol w:w="1441"/>
        <w:gridCol w:w="1457"/>
        <w:gridCol w:w="748"/>
        <w:gridCol w:w="667"/>
        <w:gridCol w:w="571"/>
        <w:gridCol w:w="166"/>
        <w:gridCol w:w="166"/>
        <w:gridCol w:w="166"/>
        <w:gridCol w:w="869"/>
        <w:gridCol w:w="781"/>
        <w:gridCol w:w="1114"/>
      </w:tblGrid>
      <w:tr>
        <w:trPr/>
        <w:tc>
          <w:tcPr>
            <w:tcW w:w="205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r>
      <w:tr>
        <w:trPr/>
        <w:tc>
          <w:tcPr>
            <w:tcW w:w="4957" w:type="dxa"/>
            <w:gridSpan w:val="3"/>
            <w:tcBorders/>
            <w:vAlign w:val="center"/>
          </w:tcPr>
          <w:p>
            <w:pPr>
              <w:pStyle w:val="TableContents"/>
              <w:bidi w:val="0"/>
              <w:spacing w:before="0" w:after="283"/>
              <w:jc w:val="left"/>
              <w:rPr>
                <w:sz w:val="4"/>
                <w:szCs w:val="4"/>
              </w:rPr>
            </w:pPr>
            <w:r>
              <w:rPr>
                <w:sz w:val="4"/>
                <w:szCs w:val="4"/>
              </w:rPr>
            </w:r>
          </w:p>
        </w:tc>
        <w:tc>
          <w:tcPr>
            <w:tcW w:w="1986"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2764" w:type="dxa"/>
            <w:gridSpan w:val="3"/>
            <w:tcBorders/>
            <w:vAlign w:val="center"/>
          </w:tcPr>
          <w:p>
            <w:pPr>
              <w:pStyle w:val="TableContents"/>
              <w:bidi w:val="0"/>
              <w:spacing w:before="0" w:after="283"/>
              <w:jc w:val="left"/>
              <w:rPr>
                <w:sz w:val="4"/>
                <w:szCs w:val="4"/>
              </w:rPr>
            </w:pPr>
            <w:r>
              <w:rPr>
                <w:sz w:val="4"/>
                <w:szCs w:val="4"/>
              </w:rPr>
            </w:r>
          </w:p>
        </w:tc>
      </w:tr>
      <w:tr>
        <w:trPr/>
        <w:tc>
          <w:tcPr>
            <w:tcW w:w="4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color w:val="000000"/>
                <w:sz w:val="18"/>
              </w:rPr>
            </w:pPr>
            <w:r>
              <w:rPr>
                <w:rFonts w:ascii="Adelle Sans;sans-serif" w:hAnsi="Adelle Sans;sans-serif"/>
                <w:b/>
                <w:color w:val="000000"/>
                <w:sz w:val="18"/>
              </w:rPr>
              <w:t>June 30, 2026</w:t>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color w:val="000000"/>
                <w:sz w:val="18"/>
              </w:rPr>
            </w:pPr>
            <w:r>
              <w:rPr>
                <w:rFonts w:ascii="Adelle Sans;sans-serif" w:hAnsi="Adelle Sans;sans-serif"/>
                <w:b/>
                <w:color w:val="000000"/>
                <w:sz w:val="18"/>
              </w:rPr>
              <w:t>December 31, 2025</w:t>
            </w:r>
          </w:p>
        </w:tc>
      </w:tr>
      <w:tr>
        <w:trPr/>
        <w:tc>
          <w:tcPr>
            <w:tcW w:w="49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20"/>
              </w:rPr>
            </w:pPr>
            <w:r>
              <w:rPr>
                <w:rFonts w:ascii="Adelle Sans;sans-serif" w:hAnsi="Adelle Sans;sans-serif"/>
                <w:b/>
                <w:color w:val="000000"/>
                <w:sz w:val="20"/>
              </w:rPr>
              <w:t>Assets</w:t>
            </w:r>
          </w:p>
        </w:tc>
        <w:tc>
          <w:tcPr>
            <w:tcW w:w="19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7"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18"/>
              </w:rPr>
            </w:pPr>
            <w:r>
              <w:rPr>
                <w:rFonts w:ascii="Adelle Sans;sans-serif" w:hAnsi="Adelle Sans;sans-serif"/>
                <w:b/>
                <w:color w:val="000000"/>
                <w:sz w:val="18"/>
              </w:rPr>
              <w:t>Current assets</w:t>
            </w:r>
          </w:p>
        </w:tc>
        <w:tc>
          <w:tcPr>
            <w:tcW w:w="1986"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4"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Cash and cash equivalents</w:t>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1,656 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1,545 </w:t>
            </w:r>
          </w:p>
        </w:tc>
        <w:tc>
          <w:tcPr>
            <w:tcW w:w="1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7"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Marketable securities</w:t>
            </w:r>
          </w:p>
        </w:tc>
        <w:tc>
          <w:tcPr>
            <w:tcW w:w="1415"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3,291 </w:t>
            </w:r>
          </w:p>
        </w:tc>
        <w:tc>
          <w:tcPr>
            <w:tcW w:w="571"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4,233 </w:t>
            </w:r>
          </w:p>
        </w:tc>
        <w:tc>
          <w:tcPr>
            <w:tcW w:w="1114"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Trade and other receivables, net</w:t>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466 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500 </w:t>
            </w:r>
          </w:p>
        </w:tc>
        <w:tc>
          <w:tcPr>
            <w:tcW w:w="1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7"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Loans and merchant cash advances, net</w:t>
            </w:r>
          </w:p>
        </w:tc>
        <w:tc>
          <w:tcPr>
            <w:tcW w:w="1415"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2,184 </w:t>
            </w:r>
          </w:p>
        </w:tc>
        <w:tc>
          <w:tcPr>
            <w:tcW w:w="571"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1,784 </w:t>
            </w:r>
          </w:p>
        </w:tc>
        <w:tc>
          <w:tcPr>
            <w:tcW w:w="1114"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Other current assets</w:t>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219 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234 </w:t>
            </w:r>
          </w:p>
        </w:tc>
        <w:tc>
          <w:tcPr>
            <w:tcW w:w="1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top w:val="single" w:sz="4"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7,816 </w:t>
            </w:r>
          </w:p>
        </w:tc>
        <w:tc>
          <w:tcPr>
            <w:tcW w:w="571" w:type="dxa"/>
            <w:tcBorders>
              <w:top w:val="single" w:sz="4"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op w:val="single" w:sz="4"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2"/>
            <w:tcBorders>
              <w:top w:val="single" w:sz="4"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8,296 </w:t>
            </w:r>
          </w:p>
        </w:tc>
        <w:tc>
          <w:tcPr>
            <w:tcW w:w="1114" w:type="dxa"/>
            <w:tcBorders>
              <w:top w:val="single" w:sz="4"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18"/>
              </w:rPr>
            </w:pPr>
            <w:r>
              <w:rPr>
                <w:rFonts w:ascii="Adelle Sans;sans-serif" w:hAnsi="Adelle Sans;sans-serif"/>
                <w:b/>
                <w:color w:val="000000"/>
                <w:sz w:val="18"/>
              </w:rPr>
              <w:t>Long-term assets</w:t>
            </w:r>
          </w:p>
        </w:tc>
        <w:tc>
          <w:tcPr>
            <w:tcW w:w="198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7" w:type="dxa"/>
            <w:gridSpan w:val="3"/>
            <w:tcBorders/>
            <w:vAlign w:val="center"/>
          </w:tcPr>
          <w:p>
            <w:pPr>
              <w:pStyle w:val="TableContents"/>
              <w:bidi w:val="0"/>
              <w:spacing w:before="0" w:after="283"/>
              <w:jc w:val="left"/>
              <w:rPr>
                <w:sz w:val="4"/>
                <w:szCs w:val="4"/>
              </w:rPr>
            </w:pPr>
            <w:r>
              <w:rPr>
                <w:sz w:val="4"/>
                <w:szCs w:val="4"/>
              </w:rPr>
            </w:r>
          </w:p>
        </w:tc>
        <w:tc>
          <w:tcPr>
            <w:tcW w:w="1986"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2764" w:type="dxa"/>
            <w:gridSpan w:val="3"/>
            <w:tcBorders/>
            <w:vAlign w:val="center"/>
          </w:tcPr>
          <w:p>
            <w:pPr>
              <w:pStyle w:val="TableContents"/>
              <w:bidi w:val="0"/>
              <w:spacing w:before="0" w:after="283"/>
              <w:jc w:val="left"/>
              <w:rPr>
                <w:sz w:val="4"/>
                <w:szCs w:val="4"/>
              </w:rPr>
            </w:pPr>
            <w:r>
              <w:rPr>
                <w:sz w:val="4"/>
                <w:szCs w:val="4"/>
              </w:rPr>
            </w:r>
          </w:p>
        </w:tc>
      </w:tr>
      <w:tr>
        <w:trPr/>
        <w:tc>
          <w:tcPr>
            <w:tcW w:w="4957" w:type="dxa"/>
            <w:gridSpan w:val="3"/>
            <w:tcBorders/>
            <w:vAlign w:val="center"/>
          </w:tcPr>
          <w:p>
            <w:pPr>
              <w:pStyle w:val="TableContents"/>
              <w:bidi w:val="0"/>
              <w:spacing w:before="0" w:after="283"/>
              <w:jc w:val="left"/>
              <w:rPr>
                <w:sz w:val="4"/>
                <w:szCs w:val="4"/>
              </w:rPr>
            </w:pPr>
            <w:r>
              <w:rPr>
                <w:sz w:val="4"/>
                <w:szCs w:val="4"/>
              </w:rPr>
            </w:r>
          </w:p>
        </w:tc>
        <w:tc>
          <w:tcPr>
            <w:tcW w:w="1986"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2764" w:type="dxa"/>
            <w:gridSpan w:val="3"/>
            <w:tcBorders/>
            <w:vAlign w:val="center"/>
          </w:tcPr>
          <w:p>
            <w:pPr>
              <w:pStyle w:val="TableContents"/>
              <w:bidi w:val="0"/>
              <w:spacing w:before="0" w:after="283"/>
              <w:jc w:val="left"/>
              <w:rPr>
                <w:sz w:val="4"/>
                <w:szCs w:val="4"/>
              </w:rPr>
            </w:pPr>
            <w:r>
              <w:rPr>
                <w:sz w:val="4"/>
                <w:szCs w:val="4"/>
              </w:rPr>
            </w:r>
          </w:p>
        </w:tc>
      </w:tr>
      <w:tr>
        <w:trPr/>
        <w:tc>
          <w:tcPr>
            <w:tcW w:w="4957" w:type="dxa"/>
            <w:gridSpan w:val="3"/>
            <w:tcBorders/>
            <w:vAlign w:val="center"/>
          </w:tcPr>
          <w:p>
            <w:pPr>
              <w:pStyle w:val="TableContents"/>
              <w:bidi w:val="0"/>
              <w:spacing w:before="0" w:after="283"/>
              <w:jc w:val="left"/>
              <w:rPr>
                <w:sz w:val="4"/>
                <w:szCs w:val="4"/>
              </w:rPr>
            </w:pPr>
            <w:r>
              <w:rPr>
                <w:sz w:val="4"/>
                <w:szCs w:val="4"/>
              </w:rPr>
            </w:r>
          </w:p>
        </w:tc>
        <w:tc>
          <w:tcPr>
            <w:tcW w:w="1986"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2764" w:type="dxa"/>
            <w:gridSpan w:val="3"/>
            <w:tcBorders/>
            <w:vAlign w:val="center"/>
          </w:tcPr>
          <w:p>
            <w:pPr>
              <w:pStyle w:val="TableContents"/>
              <w:bidi w:val="0"/>
              <w:spacing w:before="0" w:after="283"/>
              <w:jc w:val="left"/>
              <w:rPr>
                <w:sz w:val="4"/>
                <w:szCs w:val="4"/>
              </w:rPr>
            </w:pPr>
            <w:r>
              <w:rPr>
                <w:sz w:val="4"/>
                <w:szCs w:val="4"/>
              </w:rPr>
            </w:r>
          </w:p>
        </w:tc>
      </w:tr>
      <w:tr>
        <w:trPr/>
        <w:tc>
          <w:tcPr>
            <w:tcW w:w="4957" w:type="dxa"/>
            <w:gridSpan w:val="3"/>
            <w:tcBorders/>
            <w:shd w:fill="F7F7F7" w:val="clear"/>
            <w:tcMar>
              <w:top w:w="0" w:type="dxa"/>
              <w:left w:w="0" w:type="dxa"/>
              <w:bottom w:w="0" w:type="dxa"/>
              <w:right w:w="0" w:type="dxa"/>
            </w:tcMar>
            <w:vAlign w:val="center"/>
          </w:tcPr>
          <w:p>
            <w:pPr>
              <w:pStyle w:val="TableContents"/>
              <w:bidi w:val="0"/>
              <w:spacing w:lineRule="auto" w:line="240" w:before="0" w:after="0"/>
              <w:jc w:val="left"/>
              <w:rPr/>
            </w:pPr>
            <w:r>
              <w:rPr>
                <w:rFonts w:ascii="Adelle Sans;sans-serif" w:hAnsi="Adelle Sans;sans-serif"/>
                <w:b w:val="false"/>
                <w:color w:val="000000"/>
                <w:sz w:val="18"/>
              </w:rPr>
              <w:t>Long-term assets</w:t>
            </w:r>
            <w:r>
              <w:rPr>
                <w:rFonts w:ascii="Adelle Sans;sans-serif" w:hAnsi="Adelle Sans;sans-serif"/>
                <w:b w:val="false"/>
                <w:color w:val="000000"/>
                <w:sz w:val="12"/>
              </w:rPr>
              <w:t>(4)</w:t>
            </w:r>
          </w:p>
        </w:tc>
        <w:tc>
          <w:tcPr>
            <w:tcW w:w="1415"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195 </w:t>
            </w:r>
          </w:p>
        </w:tc>
        <w:tc>
          <w:tcPr>
            <w:tcW w:w="571"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210 </w:t>
            </w:r>
          </w:p>
        </w:tc>
        <w:tc>
          <w:tcPr>
            <w:tcW w:w="1114"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Deferred tax assets</w:t>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30 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33 </w:t>
            </w:r>
          </w:p>
        </w:tc>
        <w:tc>
          <w:tcPr>
            <w:tcW w:w="1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7" w:type="dxa"/>
            <w:gridSpan w:val="3"/>
            <w:tcBorders/>
            <w:vAlign w:val="center"/>
          </w:tcPr>
          <w:p>
            <w:pPr>
              <w:pStyle w:val="TableContents"/>
              <w:bidi w:val="0"/>
              <w:spacing w:before="0" w:after="283"/>
              <w:jc w:val="left"/>
              <w:rPr>
                <w:sz w:val="4"/>
                <w:szCs w:val="4"/>
              </w:rPr>
            </w:pPr>
            <w:r>
              <w:rPr>
                <w:sz w:val="4"/>
                <w:szCs w:val="4"/>
              </w:rPr>
            </w:r>
          </w:p>
        </w:tc>
        <w:tc>
          <w:tcPr>
            <w:tcW w:w="1986"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2764" w:type="dxa"/>
            <w:gridSpan w:val="3"/>
            <w:tcBorders/>
            <w:vAlign w:val="center"/>
          </w:tcPr>
          <w:p>
            <w:pPr>
              <w:pStyle w:val="TableContents"/>
              <w:bidi w:val="0"/>
              <w:spacing w:before="0" w:after="283"/>
              <w:jc w:val="left"/>
              <w:rPr>
                <w:sz w:val="4"/>
                <w:szCs w:val="4"/>
              </w:rPr>
            </w:pPr>
            <w:r>
              <w:rPr>
                <w:sz w:val="4"/>
                <w:szCs w:val="4"/>
              </w:rPr>
            </w:r>
          </w:p>
        </w:tc>
      </w:tr>
      <w:tr>
        <w:trPr/>
        <w:tc>
          <w:tcPr>
            <w:tcW w:w="4957"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Long-term investments</w:t>
            </w:r>
          </w:p>
        </w:tc>
        <w:tc>
          <w:tcPr>
            <w:tcW w:w="1415"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525 </w:t>
            </w:r>
          </w:p>
        </w:tc>
        <w:tc>
          <w:tcPr>
            <w:tcW w:w="571"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975 </w:t>
            </w:r>
          </w:p>
        </w:tc>
        <w:tc>
          <w:tcPr>
            <w:tcW w:w="1114"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Equity and other investments</w:t>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4,854 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4,582 </w:t>
            </w:r>
          </w:p>
        </w:tc>
        <w:tc>
          <w:tcPr>
            <w:tcW w:w="1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7"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Equity method investment</w:t>
            </w:r>
          </w:p>
        </w:tc>
        <w:tc>
          <w:tcPr>
            <w:tcW w:w="1415"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559 </w:t>
            </w:r>
          </w:p>
        </w:tc>
        <w:tc>
          <w:tcPr>
            <w:tcW w:w="571"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602 </w:t>
            </w:r>
          </w:p>
        </w:tc>
        <w:tc>
          <w:tcPr>
            <w:tcW w:w="1114"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Goodwill</w:t>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491 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491 </w:t>
            </w:r>
          </w:p>
        </w:tc>
        <w:tc>
          <w:tcPr>
            <w:tcW w:w="1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top w:val="single" w:sz="4"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6,654 </w:t>
            </w:r>
          </w:p>
        </w:tc>
        <w:tc>
          <w:tcPr>
            <w:tcW w:w="571" w:type="dxa"/>
            <w:tcBorders>
              <w:top w:val="single" w:sz="4"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op w:val="single" w:sz="4"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2"/>
            <w:tcBorders>
              <w:top w:val="single" w:sz="4"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6,893 </w:t>
            </w:r>
          </w:p>
        </w:tc>
        <w:tc>
          <w:tcPr>
            <w:tcW w:w="1114" w:type="dxa"/>
            <w:tcBorders>
              <w:top w:val="single" w:sz="4"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18"/>
              </w:rPr>
            </w:pPr>
            <w:r>
              <w:rPr>
                <w:rFonts w:ascii="Adelle Sans;sans-serif" w:hAnsi="Adelle Sans;sans-serif"/>
                <w:b/>
                <w:color w:val="000000"/>
                <w:sz w:val="18"/>
              </w:rPr>
              <w:t>Total assets</w:t>
            </w:r>
          </w:p>
        </w:tc>
        <w:tc>
          <w:tcPr>
            <w:tcW w:w="141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delle Sans;sans-serif" w:hAnsi="Adelle Sans;sans-serif"/>
                <w:b/>
                <w:color w:val="000000"/>
                <w:sz w:val="18"/>
              </w:rPr>
              <w:t>14,470</w:t>
            </w:r>
            <w:r>
              <w:rPr>
                <w:color w:val="000000"/>
              </w:rPr>
              <w:t> </w:t>
            </w:r>
          </w:p>
        </w:tc>
        <w:tc>
          <w:tcPr>
            <w:tcW w:w="5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delle Sans;sans-serif" w:hAnsi="Adelle Sans;sans-serif"/>
                <w:b/>
                <w:color w:val="000000"/>
                <w:sz w:val="18"/>
              </w:rPr>
              <w:t>15,189</w:t>
            </w:r>
            <w:r>
              <w:rPr>
                <w:color w:val="000000"/>
              </w:rPr>
              <w:t> </w:t>
            </w:r>
          </w:p>
        </w:tc>
        <w:tc>
          <w:tcPr>
            <w:tcW w:w="1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7" w:type="dxa"/>
            <w:gridSpan w:val="3"/>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20"/>
              </w:rPr>
            </w:pPr>
            <w:r>
              <w:rPr>
                <w:rFonts w:ascii="Adelle Sans;sans-serif" w:hAnsi="Adelle Sans;sans-serif"/>
                <w:b/>
                <w:color w:val="000000"/>
                <w:sz w:val="20"/>
              </w:rPr>
              <w:t>Liabilities and shareholders’ equity</w:t>
            </w:r>
          </w:p>
        </w:tc>
        <w:tc>
          <w:tcPr>
            <w:tcW w:w="1986"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4"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18"/>
              </w:rPr>
            </w:pPr>
            <w:r>
              <w:rPr>
                <w:rFonts w:ascii="Adelle Sans;sans-serif" w:hAnsi="Adelle Sans;sans-serif"/>
                <w:b/>
                <w:color w:val="000000"/>
                <w:sz w:val="18"/>
              </w:rPr>
              <w:t>Liabilities</w:t>
            </w:r>
          </w:p>
        </w:tc>
        <w:tc>
          <w:tcPr>
            <w:tcW w:w="19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7" w:type="dxa"/>
            <w:gridSpan w:val="3"/>
            <w:tcBorders/>
            <w:vAlign w:val="center"/>
          </w:tcPr>
          <w:p>
            <w:pPr>
              <w:pStyle w:val="TableContents"/>
              <w:bidi w:val="0"/>
              <w:spacing w:before="0" w:after="283"/>
              <w:jc w:val="left"/>
              <w:rPr>
                <w:sz w:val="4"/>
                <w:szCs w:val="4"/>
              </w:rPr>
            </w:pPr>
            <w:r>
              <w:rPr>
                <w:sz w:val="4"/>
                <w:szCs w:val="4"/>
              </w:rPr>
            </w:r>
          </w:p>
        </w:tc>
        <w:tc>
          <w:tcPr>
            <w:tcW w:w="1986"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2764" w:type="dxa"/>
            <w:gridSpan w:val="3"/>
            <w:tcBorders/>
            <w:vAlign w:val="center"/>
          </w:tcPr>
          <w:p>
            <w:pPr>
              <w:pStyle w:val="TableContents"/>
              <w:bidi w:val="0"/>
              <w:spacing w:before="0" w:after="283"/>
              <w:jc w:val="left"/>
              <w:rPr>
                <w:sz w:val="4"/>
                <w:szCs w:val="4"/>
              </w:rPr>
            </w:pPr>
            <w:r>
              <w:rPr>
                <w:sz w:val="4"/>
                <w:szCs w:val="4"/>
              </w:rPr>
            </w:r>
          </w:p>
        </w:tc>
      </w:tr>
      <w:tr>
        <w:trPr/>
        <w:tc>
          <w:tcPr>
            <w:tcW w:w="4957" w:type="dxa"/>
            <w:gridSpan w:val="3"/>
            <w:tcBorders/>
            <w:vAlign w:val="center"/>
          </w:tcPr>
          <w:p>
            <w:pPr>
              <w:pStyle w:val="TableContents"/>
              <w:bidi w:val="0"/>
              <w:spacing w:before="0" w:after="283"/>
              <w:jc w:val="left"/>
              <w:rPr>
                <w:sz w:val="4"/>
                <w:szCs w:val="4"/>
              </w:rPr>
            </w:pPr>
            <w:r>
              <w:rPr>
                <w:sz w:val="4"/>
                <w:szCs w:val="4"/>
              </w:rPr>
            </w:r>
          </w:p>
        </w:tc>
        <w:tc>
          <w:tcPr>
            <w:tcW w:w="1986"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2764" w:type="dxa"/>
            <w:gridSpan w:val="3"/>
            <w:tcBorders/>
            <w:vAlign w:val="center"/>
          </w:tcPr>
          <w:p>
            <w:pPr>
              <w:pStyle w:val="TableContents"/>
              <w:bidi w:val="0"/>
              <w:spacing w:before="0" w:after="283"/>
              <w:jc w:val="left"/>
              <w:rPr>
                <w:sz w:val="4"/>
                <w:szCs w:val="4"/>
              </w:rPr>
            </w:pPr>
            <w:r>
              <w:rPr>
                <w:sz w:val="4"/>
                <w:szCs w:val="4"/>
              </w:rPr>
            </w:r>
          </w:p>
        </w:tc>
      </w:tr>
      <w:tr>
        <w:trPr/>
        <w:tc>
          <w:tcPr>
            <w:tcW w:w="4957" w:type="dxa"/>
            <w:gridSpan w:val="3"/>
            <w:tcBorders/>
            <w:vAlign w:val="center"/>
          </w:tcPr>
          <w:p>
            <w:pPr>
              <w:pStyle w:val="TableContents"/>
              <w:bidi w:val="0"/>
              <w:spacing w:before="0" w:after="283"/>
              <w:jc w:val="left"/>
              <w:rPr>
                <w:sz w:val="4"/>
                <w:szCs w:val="4"/>
              </w:rPr>
            </w:pPr>
            <w:r>
              <w:rPr>
                <w:sz w:val="4"/>
                <w:szCs w:val="4"/>
              </w:rPr>
            </w:r>
          </w:p>
        </w:tc>
        <w:tc>
          <w:tcPr>
            <w:tcW w:w="1986"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2764" w:type="dxa"/>
            <w:gridSpan w:val="3"/>
            <w:tcBorders/>
            <w:vAlign w:val="center"/>
          </w:tcPr>
          <w:p>
            <w:pPr>
              <w:pStyle w:val="TableContents"/>
              <w:bidi w:val="0"/>
              <w:spacing w:before="0" w:after="283"/>
              <w:jc w:val="left"/>
              <w:rPr>
                <w:sz w:val="4"/>
                <w:szCs w:val="4"/>
              </w:rPr>
            </w:pPr>
            <w:r>
              <w:rPr>
                <w:sz w:val="4"/>
                <w:szCs w:val="4"/>
              </w:rPr>
            </w:r>
          </w:p>
        </w:tc>
      </w:tr>
      <w:tr>
        <w:trPr/>
        <w:tc>
          <w:tcPr>
            <w:tcW w:w="4957" w:type="dxa"/>
            <w:gridSpan w:val="3"/>
            <w:tcBorders/>
            <w:vAlign w:val="center"/>
          </w:tcPr>
          <w:p>
            <w:pPr>
              <w:pStyle w:val="TableContents"/>
              <w:bidi w:val="0"/>
              <w:spacing w:before="0" w:after="283"/>
              <w:jc w:val="left"/>
              <w:rPr>
                <w:sz w:val="4"/>
                <w:szCs w:val="4"/>
              </w:rPr>
            </w:pPr>
            <w:r>
              <w:rPr>
                <w:sz w:val="4"/>
                <w:szCs w:val="4"/>
              </w:rPr>
            </w:r>
          </w:p>
        </w:tc>
        <w:tc>
          <w:tcPr>
            <w:tcW w:w="1986"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2764" w:type="dxa"/>
            <w:gridSpan w:val="3"/>
            <w:tcBorders/>
            <w:vAlign w:val="center"/>
          </w:tcPr>
          <w:p>
            <w:pPr>
              <w:pStyle w:val="TableContents"/>
              <w:bidi w:val="0"/>
              <w:spacing w:before="0" w:after="283"/>
              <w:jc w:val="left"/>
              <w:rPr>
                <w:sz w:val="4"/>
                <w:szCs w:val="4"/>
              </w:rPr>
            </w:pPr>
            <w:r>
              <w:rPr>
                <w:sz w:val="4"/>
                <w:szCs w:val="4"/>
              </w:rPr>
            </w:r>
          </w:p>
        </w:tc>
      </w:tr>
      <w:tr>
        <w:trPr/>
        <w:tc>
          <w:tcPr>
            <w:tcW w:w="4957"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Accounts payable</w:t>
            </w:r>
          </w:p>
        </w:tc>
        <w:tc>
          <w:tcPr>
            <w:tcW w:w="1415"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575 </w:t>
            </w:r>
          </w:p>
        </w:tc>
        <w:tc>
          <w:tcPr>
            <w:tcW w:w="571"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570 </w:t>
            </w:r>
          </w:p>
        </w:tc>
        <w:tc>
          <w:tcPr>
            <w:tcW w:w="1114"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7" w:type="dxa"/>
            <w:gridSpan w:val="3"/>
            <w:tcBorders/>
            <w:vAlign w:val="center"/>
          </w:tcPr>
          <w:p>
            <w:pPr>
              <w:pStyle w:val="TableContents"/>
              <w:bidi w:val="0"/>
              <w:spacing w:before="0" w:after="283"/>
              <w:jc w:val="left"/>
              <w:rPr>
                <w:sz w:val="4"/>
                <w:szCs w:val="4"/>
              </w:rPr>
            </w:pPr>
            <w:r>
              <w:rPr>
                <w:sz w:val="4"/>
                <w:szCs w:val="4"/>
              </w:rPr>
            </w:r>
          </w:p>
        </w:tc>
        <w:tc>
          <w:tcPr>
            <w:tcW w:w="1986"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2764" w:type="dxa"/>
            <w:gridSpan w:val="3"/>
            <w:tcBorders/>
            <w:vAlign w:val="center"/>
          </w:tcPr>
          <w:p>
            <w:pPr>
              <w:pStyle w:val="TableContents"/>
              <w:bidi w:val="0"/>
              <w:spacing w:before="0" w:after="283"/>
              <w:jc w:val="left"/>
              <w:rPr>
                <w:sz w:val="4"/>
                <w:szCs w:val="4"/>
              </w:rPr>
            </w:pPr>
            <w:r>
              <w:rPr>
                <w:sz w:val="4"/>
                <w:szCs w:val="4"/>
              </w:rPr>
            </w:r>
          </w:p>
        </w:tc>
      </w:tr>
      <w:tr>
        <w:trPr/>
        <w:tc>
          <w:tcPr>
            <w:tcW w:w="4957" w:type="dxa"/>
            <w:gridSpan w:val="3"/>
            <w:tcBorders/>
            <w:vAlign w:val="center"/>
          </w:tcPr>
          <w:p>
            <w:pPr>
              <w:pStyle w:val="TableContents"/>
              <w:bidi w:val="0"/>
              <w:spacing w:before="0" w:after="283"/>
              <w:jc w:val="left"/>
              <w:rPr>
                <w:sz w:val="4"/>
                <w:szCs w:val="4"/>
              </w:rPr>
            </w:pPr>
            <w:r>
              <w:rPr>
                <w:sz w:val="4"/>
                <w:szCs w:val="4"/>
              </w:rPr>
            </w:r>
          </w:p>
        </w:tc>
        <w:tc>
          <w:tcPr>
            <w:tcW w:w="1986"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2764" w:type="dxa"/>
            <w:gridSpan w:val="3"/>
            <w:tcBorders/>
            <w:vAlign w:val="center"/>
          </w:tcPr>
          <w:p>
            <w:pPr>
              <w:pStyle w:val="TableContents"/>
              <w:bidi w:val="0"/>
              <w:spacing w:before="0" w:after="283"/>
              <w:jc w:val="left"/>
              <w:rPr>
                <w:sz w:val="4"/>
                <w:szCs w:val="4"/>
              </w:rPr>
            </w:pPr>
            <w:r>
              <w:rPr>
                <w:sz w:val="4"/>
                <w:szCs w:val="4"/>
              </w:rPr>
            </w:r>
          </w:p>
        </w:tc>
      </w:tr>
      <w:tr>
        <w:trPr/>
        <w:tc>
          <w:tcPr>
            <w:tcW w:w="4957" w:type="dxa"/>
            <w:gridSpan w:val="3"/>
            <w:tcBorders/>
            <w:vAlign w:val="center"/>
          </w:tcPr>
          <w:p>
            <w:pPr>
              <w:pStyle w:val="TableContents"/>
              <w:bidi w:val="0"/>
              <w:spacing w:before="0" w:after="283"/>
              <w:jc w:val="left"/>
              <w:rPr>
                <w:sz w:val="4"/>
                <w:szCs w:val="4"/>
              </w:rPr>
            </w:pPr>
            <w:r>
              <w:rPr>
                <w:sz w:val="4"/>
                <w:szCs w:val="4"/>
              </w:rPr>
            </w:r>
          </w:p>
        </w:tc>
        <w:tc>
          <w:tcPr>
            <w:tcW w:w="1986"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2764" w:type="dxa"/>
            <w:gridSpan w:val="3"/>
            <w:tcBorders/>
            <w:vAlign w:val="center"/>
          </w:tcPr>
          <w:p>
            <w:pPr>
              <w:pStyle w:val="TableContents"/>
              <w:bidi w:val="0"/>
              <w:spacing w:before="0" w:after="283"/>
              <w:jc w:val="left"/>
              <w:rPr>
                <w:sz w:val="4"/>
                <w:szCs w:val="4"/>
              </w:rPr>
            </w:pPr>
            <w:r>
              <w:rPr>
                <w:sz w:val="4"/>
                <w:szCs w:val="4"/>
              </w:rPr>
            </w:r>
          </w:p>
        </w:tc>
      </w:tr>
      <w:tr>
        <w:trPr/>
        <w:tc>
          <w:tcPr>
            <w:tcW w:w="4957" w:type="dxa"/>
            <w:gridSpan w:val="3"/>
            <w:tcBorders/>
            <w:vAlign w:val="center"/>
          </w:tcPr>
          <w:p>
            <w:pPr>
              <w:pStyle w:val="TableContents"/>
              <w:bidi w:val="0"/>
              <w:spacing w:before="0" w:after="283"/>
              <w:jc w:val="left"/>
              <w:rPr>
                <w:sz w:val="4"/>
                <w:szCs w:val="4"/>
              </w:rPr>
            </w:pPr>
            <w:r>
              <w:rPr>
                <w:sz w:val="4"/>
                <w:szCs w:val="4"/>
              </w:rPr>
            </w:r>
          </w:p>
        </w:tc>
        <w:tc>
          <w:tcPr>
            <w:tcW w:w="1986"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2764" w:type="dxa"/>
            <w:gridSpan w:val="3"/>
            <w:tcBorders/>
            <w:vAlign w:val="center"/>
          </w:tcPr>
          <w:p>
            <w:pPr>
              <w:pStyle w:val="TableContents"/>
              <w:bidi w:val="0"/>
              <w:spacing w:before="0" w:after="283"/>
              <w:jc w:val="left"/>
              <w:rPr>
                <w:sz w:val="4"/>
                <w:szCs w:val="4"/>
              </w:rPr>
            </w:pPr>
            <w:r>
              <w:rPr>
                <w:sz w:val="4"/>
                <w:szCs w:val="4"/>
              </w:rPr>
            </w:r>
          </w:p>
        </w:tc>
      </w:tr>
      <w:tr>
        <w:trPr/>
        <w:tc>
          <w:tcPr>
            <w:tcW w:w="4957" w:type="dxa"/>
            <w:gridSpan w:val="3"/>
            <w:tcBorders/>
            <w:vAlign w:val="center"/>
          </w:tcPr>
          <w:p>
            <w:pPr>
              <w:pStyle w:val="TableContents"/>
              <w:bidi w:val="0"/>
              <w:spacing w:before="0" w:after="283"/>
              <w:jc w:val="left"/>
              <w:rPr>
                <w:sz w:val="4"/>
                <w:szCs w:val="4"/>
              </w:rPr>
            </w:pPr>
            <w:r>
              <w:rPr>
                <w:sz w:val="4"/>
                <w:szCs w:val="4"/>
              </w:rPr>
            </w:r>
          </w:p>
        </w:tc>
        <w:tc>
          <w:tcPr>
            <w:tcW w:w="1986"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2764" w:type="dxa"/>
            <w:gridSpan w:val="3"/>
            <w:tcBorders/>
            <w:vAlign w:val="center"/>
          </w:tcPr>
          <w:p>
            <w:pPr>
              <w:pStyle w:val="TableContents"/>
              <w:bidi w:val="0"/>
              <w:spacing w:before="0" w:after="283"/>
              <w:jc w:val="left"/>
              <w:rPr>
                <w:sz w:val="4"/>
                <w:szCs w:val="4"/>
              </w:rPr>
            </w:pPr>
            <w:r>
              <w:rPr>
                <w:sz w:val="4"/>
                <w:szCs w:val="4"/>
              </w:rPr>
            </w:r>
          </w:p>
        </w:tc>
      </w:tr>
      <w:tr>
        <w:trPr/>
        <w:tc>
          <w:tcPr>
            <w:tcW w:w="4957" w:type="dxa"/>
            <w:gridSpan w:val="3"/>
            <w:tcBorders/>
            <w:vAlign w:val="center"/>
          </w:tcPr>
          <w:p>
            <w:pPr>
              <w:pStyle w:val="TableContents"/>
              <w:bidi w:val="0"/>
              <w:spacing w:before="0" w:after="283"/>
              <w:jc w:val="left"/>
              <w:rPr>
                <w:sz w:val="4"/>
                <w:szCs w:val="4"/>
              </w:rPr>
            </w:pPr>
            <w:r>
              <w:rPr>
                <w:sz w:val="4"/>
                <w:szCs w:val="4"/>
              </w:rPr>
            </w:r>
          </w:p>
        </w:tc>
        <w:tc>
          <w:tcPr>
            <w:tcW w:w="1986"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2764" w:type="dxa"/>
            <w:gridSpan w:val="3"/>
            <w:tcBorders/>
            <w:vAlign w:val="center"/>
          </w:tcPr>
          <w:p>
            <w:pPr>
              <w:pStyle w:val="TableContents"/>
              <w:bidi w:val="0"/>
              <w:spacing w:before="0" w:after="283"/>
              <w:jc w:val="left"/>
              <w:rPr>
                <w:sz w:val="4"/>
                <w:szCs w:val="4"/>
              </w:rPr>
            </w:pPr>
            <w:r>
              <w:rPr>
                <w:sz w:val="4"/>
                <w:szCs w:val="4"/>
              </w:rPr>
            </w:r>
          </w:p>
        </w:tc>
      </w:tr>
      <w:tr>
        <w:trPr/>
        <w:tc>
          <w:tcPr>
            <w:tcW w:w="4957" w:type="dxa"/>
            <w:gridSpan w:val="3"/>
            <w:tcBorders/>
            <w:vAlign w:val="center"/>
          </w:tcPr>
          <w:p>
            <w:pPr>
              <w:pStyle w:val="TableContents"/>
              <w:bidi w:val="0"/>
              <w:spacing w:before="0" w:after="283"/>
              <w:jc w:val="left"/>
              <w:rPr>
                <w:sz w:val="4"/>
                <w:szCs w:val="4"/>
              </w:rPr>
            </w:pPr>
            <w:r>
              <w:rPr>
                <w:sz w:val="4"/>
                <w:szCs w:val="4"/>
              </w:rPr>
            </w:r>
          </w:p>
        </w:tc>
        <w:tc>
          <w:tcPr>
            <w:tcW w:w="1986"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2764" w:type="dxa"/>
            <w:gridSpan w:val="3"/>
            <w:tcBorders/>
            <w:vAlign w:val="center"/>
          </w:tcPr>
          <w:p>
            <w:pPr>
              <w:pStyle w:val="TableContents"/>
              <w:bidi w:val="0"/>
              <w:spacing w:before="0" w:after="283"/>
              <w:jc w:val="left"/>
              <w:rPr>
                <w:sz w:val="4"/>
                <w:szCs w:val="4"/>
              </w:rPr>
            </w:pPr>
            <w:r>
              <w:rPr>
                <w:sz w:val="4"/>
                <w:szCs w:val="4"/>
              </w:rPr>
            </w:r>
          </w:p>
        </w:tc>
      </w:tr>
      <w:tr>
        <w:trPr/>
        <w:tc>
          <w:tcPr>
            <w:tcW w:w="4957" w:type="dxa"/>
            <w:gridSpan w:val="3"/>
            <w:tcBorders/>
            <w:vAlign w:val="center"/>
          </w:tcPr>
          <w:p>
            <w:pPr>
              <w:pStyle w:val="TableContents"/>
              <w:bidi w:val="0"/>
              <w:spacing w:before="0" w:after="283"/>
              <w:jc w:val="left"/>
              <w:rPr>
                <w:sz w:val="4"/>
                <w:szCs w:val="4"/>
              </w:rPr>
            </w:pPr>
            <w:r>
              <w:rPr>
                <w:sz w:val="4"/>
                <w:szCs w:val="4"/>
              </w:rPr>
            </w:r>
          </w:p>
        </w:tc>
        <w:tc>
          <w:tcPr>
            <w:tcW w:w="1986"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2764" w:type="dxa"/>
            <w:gridSpan w:val="3"/>
            <w:tcBorders/>
            <w:vAlign w:val="center"/>
          </w:tcPr>
          <w:p>
            <w:pPr>
              <w:pStyle w:val="TableContents"/>
              <w:bidi w:val="0"/>
              <w:spacing w:before="0" w:after="283"/>
              <w:jc w:val="left"/>
              <w:rPr>
                <w:sz w:val="4"/>
                <w:szCs w:val="4"/>
              </w:rPr>
            </w:pPr>
            <w:r>
              <w:rPr>
                <w:sz w:val="4"/>
                <w:szCs w:val="4"/>
              </w:rPr>
            </w:r>
          </w:p>
        </w:tc>
      </w:tr>
      <w:tr>
        <w:trPr/>
        <w:tc>
          <w:tcPr>
            <w:tcW w:w="4957" w:type="dxa"/>
            <w:gridSpan w:val="3"/>
            <w:tcBorders/>
            <w:vAlign w:val="center"/>
          </w:tcPr>
          <w:p>
            <w:pPr>
              <w:pStyle w:val="TableContents"/>
              <w:bidi w:val="0"/>
              <w:spacing w:before="0" w:after="283"/>
              <w:jc w:val="left"/>
              <w:rPr>
                <w:sz w:val="4"/>
                <w:szCs w:val="4"/>
              </w:rPr>
            </w:pPr>
            <w:r>
              <w:rPr>
                <w:sz w:val="4"/>
                <w:szCs w:val="4"/>
              </w:rPr>
            </w:r>
          </w:p>
        </w:tc>
        <w:tc>
          <w:tcPr>
            <w:tcW w:w="1986"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2764" w:type="dxa"/>
            <w:gridSpan w:val="3"/>
            <w:tcBorders/>
            <w:vAlign w:val="center"/>
          </w:tcPr>
          <w:p>
            <w:pPr>
              <w:pStyle w:val="TableContents"/>
              <w:bidi w:val="0"/>
              <w:spacing w:before="0" w:after="283"/>
              <w:jc w:val="left"/>
              <w:rPr>
                <w:sz w:val="4"/>
                <w:szCs w:val="4"/>
              </w:rPr>
            </w:pPr>
            <w:r>
              <w:rPr>
                <w:sz w:val="4"/>
                <w:szCs w:val="4"/>
              </w:rPr>
            </w:r>
          </w:p>
        </w:tc>
      </w:tr>
      <w:tr>
        <w:trPr/>
        <w:tc>
          <w:tcPr>
            <w:tcW w:w="4957" w:type="dxa"/>
            <w:gridSpan w:val="3"/>
            <w:tcBorders/>
            <w:vAlign w:val="center"/>
          </w:tcPr>
          <w:p>
            <w:pPr>
              <w:pStyle w:val="TableContents"/>
              <w:bidi w:val="0"/>
              <w:spacing w:before="0" w:after="283"/>
              <w:jc w:val="left"/>
              <w:rPr>
                <w:sz w:val="4"/>
                <w:szCs w:val="4"/>
              </w:rPr>
            </w:pPr>
            <w:r>
              <w:rPr>
                <w:sz w:val="4"/>
                <w:szCs w:val="4"/>
              </w:rPr>
            </w:r>
          </w:p>
        </w:tc>
        <w:tc>
          <w:tcPr>
            <w:tcW w:w="1986"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2764" w:type="dxa"/>
            <w:gridSpan w:val="3"/>
            <w:tcBorders/>
            <w:vAlign w:val="center"/>
          </w:tcPr>
          <w:p>
            <w:pPr>
              <w:pStyle w:val="TableContents"/>
              <w:bidi w:val="0"/>
              <w:spacing w:before="0" w:after="283"/>
              <w:jc w:val="left"/>
              <w:rPr>
                <w:sz w:val="4"/>
                <w:szCs w:val="4"/>
              </w:rPr>
            </w:pPr>
            <w:r>
              <w:rPr>
                <w:sz w:val="4"/>
                <w:szCs w:val="4"/>
              </w:rPr>
            </w:r>
          </w:p>
        </w:tc>
      </w:tr>
      <w:tr>
        <w:trPr/>
        <w:tc>
          <w:tcPr>
            <w:tcW w:w="4957" w:type="dxa"/>
            <w:gridSpan w:val="3"/>
            <w:tcBorders/>
            <w:vAlign w:val="center"/>
          </w:tcPr>
          <w:p>
            <w:pPr>
              <w:pStyle w:val="TableContents"/>
              <w:bidi w:val="0"/>
              <w:spacing w:before="0" w:after="283"/>
              <w:jc w:val="left"/>
              <w:rPr>
                <w:sz w:val="4"/>
                <w:szCs w:val="4"/>
              </w:rPr>
            </w:pPr>
            <w:r>
              <w:rPr>
                <w:sz w:val="4"/>
                <w:szCs w:val="4"/>
              </w:rPr>
            </w:r>
          </w:p>
        </w:tc>
        <w:tc>
          <w:tcPr>
            <w:tcW w:w="1986"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2764" w:type="dxa"/>
            <w:gridSpan w:val="3"/>
            <w:tcBorders/>
            <w:vAlign w:val="center"/>
          </w:tcPr>
          <w:p>
            <w:pPr>
              <w:pStyle w:val="TableContents"/>
              <w:bidi w:val="0"/>
              <w:spacing w:before="0" w:after="283"/>
              <w:jc w:val="left"/>
              <w:rPr>
                <w:sz w:val="4"/>
                <w:szCs w:val="4"/>
              </w:rPr>
            </w:pPr>
            <w:r>
              <w:rPr>
                <w:sz w:val="4"/>
                <w:szCs w:val="4"/>
              </w:rPr>
            </w:r>
          </w:p>
        </w:tc>
      </w:tr>
      <w:tr>
        <w:trPr/>
        <w:tc>
          <w:tcPr>
            <w:tcW w:w="4957" w:type="dxa"/>
            <w:gridSpan w:val="3"/>
            <w:tcBorders/>
            <w:vAlign w:val="center"/>
          </w:tcPr>
          <w:p>
            <w:pPr>
              <w:pStyle w:val="TableContents"/>
              <w:bidi w:val="0"/>
              <w:spacing w:before="0" w:after="283"/>
              <w:jc w:val="left"/>
              <w:rPr>
                <w:sz w:val="4"/>
                <w:szCs w:val="4"/>
              </w:rPr>
            </w:pPr>
            <w:r>
              <w:rPr>
                <w:sz w:val="4"/>
                <w:szCs w:val="4"/>
              </w:rPr>
            </w:r>
          </w:p>
        </w:tc>
        <w:tc>
          <w:tcPr>
            <w:tcW w:w="1986"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2764" w:type="dxa"/>
            <w:gridSpan w:val="3"/>
            <w:tcBorders/>
            <w:vAlign w:val="center"/>
          </w:tcPr>
          <w:p>
            <w:pPr>
              <w:pStyle w:val="TableContents"/>
              <w:bidi w:val="0"/>
              <w:spacing w:before="0" w:after="283"/>
              <w:jc w:val="left"/>
              <w:rPr>
                <w:sz w:val="4"/>
                <w:szCs w:val="4"/>
              </w:rPr>
            </w:pPr>
            <w:r>
              <w:rPr>
                <w:sz w:val="4"/>
                <w:szCs w:val="4"/>
              </w:rPr>
            </w:r>
          </w:p>
        </w:tc>
      </w:tr>
      <w:tr>
        <w:trPr/>
        <w:tc>
          <w:tcPr>
            <w:tcW w:w="4957" w:type="dxa"/>
            <w:gridSpan w:val="3"/>
            <w:tcBorders/>
            <w:vAlign w:val="center"/>
          </w:tcPr>
          <w:p>
            <w:pPr>
              <w:pStyle w:val="TableContents"/>
              <w:bidi w:val="0"/>
              <w:spacing w:before="0" w:after="283"/>
              <w:jc w:val="left"/>
              <w:rPr>
                <w:sz w:val="4"/>
                <w:szCs w:val="4"/>
              </w:rPr>
            </w:pPr>
            <w:r>
              <w:rPr>
                <w:sz w:val="4"/>
                <w:szCs w:val="4"/>
              </w:rPr>
            </w:r>
          </w:p>
        </w:tc>
        <w:tc>
          <w:tcPr>
            <w:tcW w:w="1986"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2764" w:type="dxa"/>
            <w:gridSpan w:val="3"/>
            <w:tcBorders/>
            <w:vAlign w:val="center"/>
          </w:tcPr>
          <w:p>
            <w:pPr>
              <w:pStyle w:val="TableContents"/>
              <w:bidi w:val="0"/>
              <w:spacing w:before="0" w:after="283"/>
              <w:jc w:val="left"/>
              <w:rPr>
                <w:sz w:val="4"/>
                <w:szCs w:val="4"/>
              </w:rPr>
            </w:pPr>
            <w:r>
              <w:rPr>
                <w:sz w:val="4"/>
                <w:szCs w:val="4"/>
              </w:rPr>
            </w:r>
          </w:p>
        </w:tc>
      </w:tr>
      <w:tr>
        <w:trPr/>
        <w:tc>
          <w:tcPr>
            <w:tcW w:w="49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Deferred tax liabilities</w:t>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79 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55 </w:t>
            </w:r>
          </w:p>
        </w:tc>
        <w:tc>
          <w:tcPr>
            <w:tcW w:w="1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7" w:type="dxa"/>
            <w:gridSpan w:val="3"/>
            <w:tcBorders/>
            <w:shd w:fill="F7F7F7" w:val="clear"/>
            <w:tcMar>
              <w:top w:w="0" w:type="dxa"/>
              <w:left w:w="0" w:type="dxa"/>
              <w:bottom w:w="0" w:type="dxa"/>
              <w:right w:w="0" w:type="dxa"/>
            </w:tcMar>
            <w:vAlign w:val="center"/>
          </w:tcPr>
          <w:p>
            <w:pPr>
              <w:pStyle w:val="TableContents"/>
              <w:bidi w:val="0"/>
              <w:spacing w:lineRule="auto" w:line="240" w:before="0" w:after="0"/>
              <w:jc w:val="left"/>
              <w:rPr/>
            </w:pPr>
            <w:r>
              <w:rPr>
                <w:rFonts w:ascii="Adelle Sans;sans-serif" w:hAnsi="Adelle Sans;sans-serif"/>
                <w:b w:val="false"/>
                <w:color w:val="000000"/>
                <w:sz w:val="18"/>
              </w:rPr>
              <w:t>Other liabilities</w:t>
            </w:r>
            <w:r>
              <w:rPr>
                <w:rFonts w:ascii="Adelle Sans;sans-serif" w:hAnsi="Adelle Sans;sans-serif"/>
                <w:b w:val="false"/>
                <w:color w:val="000000"/>
                <w:sz w:val="12"/>
              </w:rPr>
              <w:t>(5)</w:t>
            </w:r>
          </w:p>
        </w:tc>
        <w:tc>
          <w:tcPr>
            <w:tcW w:w="1415"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1,132 </w:t>
            </w:r>
          </w:p>
        </w:tc>
        <w:tc>
          <w:tcPr>
            <w:tcW w:w="571"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1,091 </w:t>
            </w:r>
          </w:p>
        </w:tc>
        <w:tc>
          <w:tcPr>
            <w:tcW w:w="1114"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1,786 </w:t>
            </w:r>
          </w:p>
        </w:tc>
        <w:tc>
          <w:tcPr>
            <w:tcW w:w="57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1,716 </w:t>
            </w:r>
          </w:p>
        </w:tc>
        <w:tc>
          <w:tcPr>
            <w:tcW w:w="111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7" w:type="dxa"/>
            <w:gridSpan w:val="3"/>
            <w:tcBorders/>
            <w:vAlign w:val="center"/>
          </w:tcPr>
          <w:p>
            <w:pPr>
              <w:pStyle w:val="TableContents"/>
              <w:bidi w:val="0"/>
              <w:spacing w:before="0" w:after="283"/>
              <w:jc w:val="left"/>
              <w:rPr>
                <w:sz w:val="4"/>
                <w:szCs w:val="4"/>
              </w:rPr>
            </w:pPr>
            <w:r>
              <w:rPr>
                <w:sz w:val="4"/>
                <w:szCs w:val="4"/>
              </w:rPr>
            </w:r>
          </w:p>
        </w:tc>
        <w:tc>
          <w:tcPr>
            <w:tcW w:w="1986"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2764" w:type="dxa"/>
            <w:gridSpan w:val="3"/>
            <w:tcBorders/>
            <w:vAlign w:val="center"/>
          </w:tcPr>
          <w:p>
            <w:pPr>
              <w:pStyle w:val="TableContents"/>
              <w:bidi w:val="0"/>
              <w:spacing w:before="0" w:after="283"/>
              <w:jc w:val="left"/>
              <w:rPr>
                <w:sz w:val="4"/>
                <w:szCs w:val="4"/>
              </w:rPr>
            </w:pPr>
            <w:r>
              <w:rPr>
                <w:sz w:val="4"/>
                <w:szCs w:val="4"/>
              </w:rPr>
            </w:r>
          </w:p>
        </w:tc>
      </w:tr>
      <w:tr>
        <w:trPr/>
        <w:tc>
          <w:tcPr>
            <w:tcW w:w="4957"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18"/>
              </w:rPr>
            </w:pPr>
            <w:r>
              <w:rPr>
                <w:rFonts w:ascii="Adelle Sans;sans-serif" w:hAnsi="Adelle Sans;sans-serif"/>
                <w:b/>
                <w:color w:val="000000"/>
                <w:sz w:val="18"/>
              </w:rPr>
              <w:t>Shareholders’ equity</w:t>
            </w:r>
          </w:p>
        </w:tc>
        <w:tc>
          <w:tcPr>
            <w:tcW w:w="1415" w:type="dxa"/>
            <w:gridSpan w:val="2"/>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12,684 </w:t>
            </w:r>
          </w:p>
        </w:tc>
        <w:tc>
          <w:tcPr>
            <w:tcW w:w="571" w:type="dxa"/>
            <w:tcBorders>
              <w:top w:val="single" w:sz="8"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2"/>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13,473 </w:t>
            </w:r>
          </w:p>
        </w:tc>
        <w:tc>
          <w:tcPr>
            <w:tcW w:w="1114" w:type="dxa"/>
            <w:tcBorders>
              <w:top w:val="single" w:sz="8"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7" w:type="dxa"/>
            <w:gridSpan w:val="3"/>
            <w:tcBorders/>
            <w:vAlign w:val="center"/>
          </w:tcPr>
          <w:p>
            <w:pPr>
              <w:pStyle w:val="TableContents"/>
              <w:bidi w:val="0"/>
              <w:spacing w:before="0" w:after="283"/>
              <w:jc w:val="left"/>
              <w:rPr>
                <w:sz w:val="4"/>
                <w:szCs w:val="4"/>
              </w:rPr>
            </w:pPr>
            <w:r>
              <w:rPr>
                <w:sz w:val="4"/>
                <w:szCs w:val="4"/>
              </w:rPr>
            </w:r>
          </w:p>
        </w:tc>
        <w:tc>
          <w:tcPr>
            <w:tcW w:w="1986"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2764" w:type="dxa"/>
            <w:gridSpan w:val="3"/>
            <w:tcBorders/>
            <w:vAlign w:val="center"/>
          </w:tcPr>
          <w:p>
            <w:pPr>
              <w:pStyle w:val="TableContents"/>
              <w:bidi w:val="0"/>
              <w:spacing w:before="0" w:after="283"/>
              <w:jc w:val="left"/>
              <w:rPr>
                <w:sz w:val="4"/>
                <w:szCs w:val="4"/>
              </w:rPr>
            </w:pPr>
            <w:r>
              <w:rPr>
                <w:sz w:val="4"/>
                <w:szCs w:val="4"/>
              </w:rPr>
            </w:r>
          </w:p>
        </w:tc>
      </w:tr>
      <w:tr>
        <w:trPr/>
        <w:tc>
          <w:tcPr>
            <w:tcW w:w="4957" w:type="dxa"/>
            <w:gridSpan w:val="3"/>
            <w:tcBorders/>
            <w:vAlign w:val="center"/>
          </w:tcPr>
          <w:p>
            <w:pPr>
              <w:pStyle w:val="TableContents"/>
              <w:bidi w:val="0"/>
              <w:spacing w:before="0" w:after="283"/>
              <w:jc w:val="left"/>
              <w:rPr>
                <w:sz w:val="4"/>
                <w:szCs w:val="4"/>
              </w:rPr>
            </w:pPr>
            <w:r>
              <w:rPr>
                <w:sz w:val="4"/>
                <w:szCs w:val="4"/>
              </w:rPr>
            </w:r>
          </w:p>
        </w:tc>
        <w:tc>
          <w:tcPr>
            <w:tcW w:w="1986"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2764" w:type="dxa"/>
            <w:gridSpan w:val="3"/>
            <w:tcBorders/>
            <w:vAlign w:val="center"/>
          </w:tcPr>
          <w:p>
            <w:pPr>
              <w:pStyle w:val="TableContents"/>
              <w:bidi w:val="0"/>
              <w:spacing w:before="0" w:after="283"/>
              <w:jc w:val="left"/>
              <w:rPr>
                <w:sz w:val="4"/>
                <w:szCs w:val="4"/>
              </w:rPr>
            </w:pPr>
            <w:r>
              <w:rPr>
                <w:sz w:val="4"/>
                <w:szCs w:val="4"/>
              </w:rPr>
            </w:r>
          </w:p>
        </w:tc>
      </w:tr>
      <w:tr>
        <w:trPr/>
        <w:tc>
          <w:tcPr>
            <w:tcW w:w="4957" w:type="dxa"/>
            <w:gridSpan w:val="3"/>
            <w:tcBorders/>
            <w:vAlign w:val="center"/>
          </w:tcPr>
          <w:p>
            <w:pPr>
              <w:pStyle w:val="TableContents"/>
              <w:bidi w:val="0"/>
              <w:spacing w:before="0" w:after="283"/>
              <w:jc w:val="left"/>
              <w:rPr>
                <w:sz w:val="4"/>
                <w:szCs w:val="4"/>
              </w:rPr>
            </w:pPr>
            <w:r>
              <w:rPr>
                <w:sz w:val="4"/>
                <w:szCs w:val="4"/>
              </w:rPr>
            </w:r>
          </w:p>
        </w:tc>
        <w:tc>
          <w:tcPr>
            <w:tcW w:w="1986"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2764" w:type="dxa"/>
            <w:gridSpan w:val="3"/>
            <w:tcBorders/>
            <w:vAlign w:val="center"/>
          </w:tcPr>
          <w:p>
            <w:pPr>
              <w:pStyle w:val="TableContents"/>
              <w:bidi w:val="0"/>
              <w:spacing w:before="0" w:after="283"/>
              <w:jc w:val="left"/>
              <w:rPr>
                <w:sz w:val="4"/>
                <w:szCs w:val="4"/>
              </w:rPr>
            </w:pPr>
            <w:r>
              <w:rPr>
                <w:sz w:val="4"/>
                <w:szCs w:val="4"/>
              </w:rPr>
            </w:r>
          </w:p>
        </w:tc>
      </w:tr>
      <w:tr>
        <w:trPr/>
        <w:tc>
          <w:tcPr>
            <w:tcW w:w="4957" w:type="dxa"/>
            <w:gridSpan w:val="3"/>
            <w:tcBorders/>
            <w:vAlign w:val="center"/>
          </w:tcPr>
          <w:p>
            <w:pPr>
              <w:pStyle w:val="TableContents"/>
              <w:bidi w:val="0"/>
              <w:spacing w:before="0" w:after="283"/>
              <w:jc w:val="left"/>
              <w:rPr>
                <w:sz w:val="4"/>
                <w:szCs w:val="4"/>
              </w:rPr>
            </w:pPr>
            <w:r>
              <w:rPr>
                <w:sz w:val="4"/>
                <w:szCs w:val="4"/>
              </w:rPr>
            </w:r>
          </w:p>
        </w:tc>
        <w:tc>
          <w:tcPr>
            <w:tcW w:w="1986"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2764" w:type="dxa"/>
            <w:gridSpan w:val="3"/>
            <w:tcBorders/>
            <w:vAlign w:val="center"/>
          </w:tcPr>
          <w:p>
            <w:pPr>
              <w:pStyle w:val="TableContents"/>
              <w:bidi w:val="0"/>
              <w:spacing w:before="0" w:after="283"/>
              <w:jc w:val="left"/>
              <w:rPr>
                <w:sz w:val="4"/>
                <w:szCs w:val="4"/>
              </w:rPr>
            </w:pPr>
            <w:r>
              <w:rPr>
                <w:sz w:val="4"/>
                <w:szCs w:val="4"/>
              </w:rPr>
            </w:r>
          </w:p>
        </w:tc>
      </w:tr>
      <w:tr>
        <w:trPr/>
        <w:tc>
          <w:tcPr>
            <w:tcW w:w="4957" w:type="dxa"/>
            <w:gridSpan w:val="3"/>
            <w:tcBorders/>
            <w:vAlign w:val="center"/>
          </w:tcPr>
          <w:p>
            <w:pPr>
              <w:pStyle w:val="TableContents"/>
              <w:bidi w:val="0"/>
              <w:spacing w:before="0" w:after="283"/>
              <w:jc w:val="left"/>
              <w:rPr>
                <w:sz w:val="4"/>
                <w:szCs w:val="4"/>
              </w:rPr>
            </w:pPr>
            <w:r>
              <w:rPr>
                <w:sz w:val="4"/>
                <w:szCs w:val="4"/>
              </w:rPr>
            </w:r>
          </w:p>
        </w:tc>
        <w:tc>
          <w:tcPr>
            <w:tcW w:w="1986"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2764" w:type="dxa"/>
            <w:gridSpan w:val="3"/>
            <w:tcBorders/>
            <w:vAlign w:val="center"/>
          </w:tcPr>
          <w:p>
            <w:pPr>
              <w:pStyle w:val="TableContents"/>
              <w:bidi w:val="0"/>
              <w:spacing w:before="0" w:after="283"/>
              <w:jc w:val="left"/>
              <w:rPr>
                <w:sz w:val="4"/>
                <w:szCs w:val="4"/>
              </w:rPr>
            </w:pPr>
            <w:r>
              <w:rPr>
                <w:sz w:val="4"/>
                <w:szCs w:val="4"/>
              </w:rPr>
            </w:r>
          </w:p>
        </w:tc>
      </w:tr>
      <w:tr>
        <w:trPr/>
        <w:tc>
          <w:tcPr>
            <w:tcW w:w="495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18"/>
              </w:rPr>
            </w:pPr>
            <w:r>
              <w:rPr>
                <w:rFonts w:ascii="Adelle Sans;sans-serif" w:hAnsi="Adelle Sans;sans-serif"/>
                <w:b/>
                <w:color w:val="000000"/>
                <w:sz w:val="18"/>
              </w:rPr>
              <w:t>Total liabilities and shareholders’ equity</w:t>
            </w:r>
          </w:p>
        </w:tc>
        <w:tc>
          <w:tcPr>
            <w:tcW w:w="141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delle Sans;sans-serif" w:hAnsi="Adelle Sans;sans-serif"/>
                <w:b/>
                <w:color w:val="000000"/>
                <w:sz w:val="18"/>
              </w:rPr>
              <w:t>14,470</w:t>
            </w:r>
            <w:r>
              <w:rPr>
                <w:color w:val="000000"/>
              </w:rPr>
              <w:t> </w:t>
            </w:r>
          </w:p>
        </w:tc>
        <w:tc>
          <w:tcPr>
            <w:tcW w:w="5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delle Sans;sans-serif" w:hAnsi="Adelle Sans;sans-serif"/>
                <w:b/>
                <w:color w:val="000000"/>
                <w:sz w:val="18"/>
              </w:rPr>
              <w:t>15,189</w:t>
            </w:r>
            <w:r>
              <w:rPr>
                <w:color w:val="000000"/>
              </w:rPr>
              <w:t> </w:t>
            </w:r>
          </w:p>
        </w:tc>
        <w:tc>
          <w:tcPr>
            <w:tcW w:w="1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88" w:before="0" w:after="120"/>
              <w:jc w:val="left"/>
              <w:rPr/>
            </w:pPr>
            <w:r>
              <w:rPr>
                <w:rFonts w:ascii="Adelle Sans Light;sans-serif" w:hAnsi="Adelle Sans Light;sans-serif"/>
                <w:b w:val="false"/>
                <w:color w:val="6D6D6D"/>
                <w:sz w:val="8"/>
              </w:rPr>
              <w:t xml:space="preserve">(4) </w:t>
            </w:r>
            <w:r>
              <w:rPr>
                <w:rFonts w:ascii="Adelle Sans Light;sans-serif" w:hAnsi="Adelle Sans Light;sans-serif"/>
                <w:b w:val="false"/>
                <w:i/>
                <w:color w:val="6D6D6D"/>
                <w:sz w:val="12"/>
              </w:rPr>
              <w:t>Long-term assets</w:t>
            </w:r>
            <w:r>
              <w:rPr>
                <w:color w:val="6D6D6D"/>
              </w:rPr>
              <w:t xml:space="preserve"> </w:t>
            </w:r>
            <w:r>
              <w:rPr>
                <w:rFonts w:ascii="Adelle Sans Light;sans-serif" w:hAnsi="Adelle Sans Light;sans-serif"/>
                <w:b w:val="false"/>
                <w:color w:val="6D6D6D"/>
                <w:sz w:val="12"/>
              </w:rPr>
              <w:t>includes Property and equipment, net, Operating lease right-of-use assets, net, Intangible assets, net, and Other long-term assets.</w:t>
            </w:r>
          </w:p>
        </w:tc>
      </w:tr>
      <w:tr>
        <w:trPr/>
        <w:tc>
          <w:tcPr>
            <w:tcW w:w="10205" w:type="dxa"/>
            <w:gridSpan w:val="12"/>
            <w:tcBorders/>
            <w:tcMar>
              <w:top w:w="0" w:type="dxa"/>
              <w:left w:w="0" w:type="dxa"/>
              <w:bottom w:w="0" w:type="dxa"/>
              <w:right w:w="0" w:type="dxa"/>
            </w:tcMar>
            <w:vAlign w:val="center"/>
          </w:tcPr>
          <w:p>
            <w:pPr>
              <w:pStyle w:val="TableContents"/>
              <w:bidi w:val="0"/>
              <w:spacing w:lineRule="auto" w:line="288" w:before="0" w:after="120"/>
              <w:jc w:val="left"/>
              <w:rPr/>
            </w:pPr>
            <w:r>
              <w:rPr>
                <w:rFonts w:ascii="Adelle Sans Light;sans-serif" w:hAnsi="Adelle Sans Light;sans-serif"/>
                <w:b w:val="false"/>
                <w:color w:val="6D6D6D"/>
                <w:sz w:val="8"/>
              </w:rPr>
              <w:t xml:space="preserve">(5) </w:t>
            </w:r>
            <w:r>
              <w:rPr>
                <w:rFonts w:ascii="Adelle Sans Light;sans-serif" w:hAnsi="Adelle Sans Light;sans-serif"/>
                <w:b w:val="false"/>
                <w:i/>
                <w:color w:val="6D6D6D"/>
                <w:sz w:val="12"/>
              </w:rPr>
              <w:t xml:space="preserve">Other liabilities </w:t>
            </w:r>
            <w:r>
              <w:rPr>
                <w:rFonts w:ascii="Adelle Sans Light;sans-serif" w:hAnsi="Adelle Sans Light;sans-serif"/>
                <w:b w:val="false"/>
                <w:color w:val="6D6D6D"/>
                <w:sz w:val="12"/>
              </w:rPr>
              <w:t>includes Accrued liabilities, Current and Long-term Deferred revenue, and Operating lease liabilities.</w:t>
            </w:r>
          </w:p>
        </w:tc>
      </w:tr>
      <w:tr>
        <w:trPr/>
        <w:tc>
          <w:tcPr>
            <w:tcW w:w="10205" w:type="dxa"/>
            <w:gridSpan w:val="12"/>
            <w:tcBorders/>
            <w:tcMar>
              <w:top w:w="0" w:type="dxa"/>
              <w:left w:w="0" w:type="dxa"/>
              <w:bottom w:w="0" w:type="dxa"/>
              <w:right w:w="0" w:type="dxa"/>
            </w:tcMar>
            <w:vAlign w:val="center"/>
          </w:tcPr>
          <w:p>
            <w:pPr>
              <w:pStyle w:val="TableContents"/>
              <w:bidi w:val="0"/>
              <w:spacing w:lineRule="auto" w:line="288" w:before="0" w:after="120"/>
              <w:jc w:val="left"/>
              <w:rPr/>
            </w:pPr>
            <w:r>
              <w:rPr>
                <w:rFonts w:ascii="Adelle Sans Light;sans-serif" w:hAnsi="Adelle Sans Light;sans-serif"/>
                <w:b w:val="false"/>
                <w:color w:val="6D6D6D"/>
                <w:sz w:val="12"/>
              </w:rPr>
              <w:t xml:space="preserve">Note: More detailed Condensed Consolidated Balance Sheet and Notes to the Condensed Consolidated Financial Statements are available in the Quarterly Report on Form 10-Q filed concurrently with this press release with US and Canadian regulators and available on </w:t>
            </w:r>
            <w:r>
              <w:rPr>
                <w:rFonts w:ascii="Adelle Sans Light;sans-serif" w:hAnsi="Adelle Sans Light;sans-serif"/>
                <w:b w:val="false"/>
                <w:color w:val="14896B"/>
                <w:sz w:val="12"/>
                <w:u w:val="single"/>
              </w:rPr>
              <w:t>www.sec.gov</w:t>
            </w:r>
            <w:r>
              <w:rPr>
                <w:color w:val="6D6D6D"/>
              </w:rPr>
              <w:t xml:space="preserve"> </w:t>
            </w:r>
            <w:r>
              <w:rPr>
                <w:rFonts w:ascii="Adelle Sans Light;sans-serif" w:hAnsi="Adelle Sans Light;sans-serif"/>
                <w:b w:val="false"/>
                <w:color w:val="6D6D6D"/>
                <w:sz w:val="12"/>
              </w:rPr>
              <w:t xml:space="preserve">and </w:t>
            </w:r>
            <w:r>
              <w:rPr>
                <w:rFonts w:ascii="Adelle Sans Light;sans-serif" w:hAnsi="Adelle Sans Light;sans-serif"/>
                <w:b w:val="false"/>
                <w:color w:val="14896B"/>
                <w:sz w:val="12"/>
                <w:u w:val="single"/>
              </w:rPr>
              <w:t>www.sedarplus.ca</w:t>
            </w:r>
            <w:r>
              <w:rPr>
                <w:rFonts w:ascii="Adelle Sans Light;sans-serif" w:hAnsi="Adelle Sans Light;sans-serif"/>
                <w:b w:val="false"/>
                <w:color w:val="6D6D6D"/>
                <w:sz w:val="12"/>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drawing>
          <wp:inline distT="0" distB="0" distL="0" distR="0">
            <wp:extent cx="1276350" cy="352425"/>
            <wp:effectExtent l="0" t="0" r="0" b="0"/>
            <wp:docPr id="12"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 descr=""/>
                    <pic:cNvPicPr>
                      <a:picLocks noChangeAspect="1" noChangeArrowheads="1"/>
                    </pic:cNvPicPr>
                  </pic:nvPicPr>
                  <pic:blipFill>
                    <a:blip r:embed="rId7"/>
                    <a:stretch>
                      <a:fillRect/>
                    </a:stretch>
                  </pic:blipFill>
                  <pic:spPr bwMode="auto">
                    <a:xfrm>
                      <a:off x="0" y="0"/>
                      <a:ext cx="1276350" cy="352425"/>
                    </a:xfrm>
                    <a:prstGeom prst="rect">
                      <a:avLst/>
                    </a:prstGeom>
                  </pic:spPr>
                </pic:pic>
              </a:graphicData>
            </a:graphic>
          </wp:inline>
        </w:drawing>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407035"/>
                <wp:effectExtent l="0" t="0" r="0" b="0"/>
                <wp:wrapNone/>
                <wp:docPr id="13" name="Frame7"/>
                <a:graphic xmlns:a="http://schemas.openxmlformats.org/drawingml/2006/main">
                  <a:graphicData uri="http://schemas.microsoft.com/office/word/2010/wordprocessingShape">
                    <wps:wsp>
                      <wps:cNvSpPr txBox="1"/>
                      <wps:spPr>
                        <a:xfrm>
                          <a:off x="0" y="0"/>
                          <a:ext cx="6480175" cy="407035"/>
                        </a:xfrm>
                        <a:prstGeom prst="rect"/>
                        <a:solidFill>
                          <a:srgbClr val="FFFFFF"/>
                        </a:solidFill>
                      </wps:spPr>
                      <wps:txbx>
                        <w:txbxContent>
                          <w:p>
                            <w:pPr>
                              <w:pStyle w:val="TextBody"/>
                              <w:bidi w:val="0"/>
                              <w:spacing w:lineRule="auto" w:line="417" w:before="0" w:after="0"/>
                              <w:jc w:val="right"/>
                              <w:rPr>
                                <w:rFonts w:ascii="Adelle Sans Light;sans-serif" w:hAnsi="Adelle Sans Light;sans-serif"/>
                                <w:b w:val="false"/>
                                <w:color w:val="6D6D6D"/>
                                <w:sz w:val="18"/>
                              </w:rPr>
                            </w:pPr>
                            <w:r>
                              <w:rPr>
                                <w:rFonts w:ascii="Adelle Sans Light;sans-serif" w:hAnsi="Adelle Sans Light;sans-serif"/>
                                <w:b w:val="false"/>
                                <w:color w:val="6D6D6D"/>
                                <w:sz w:val="18"/>
                              </w:rPr>
                              <w:t>4</w:t>
                            </w:r>
                            <w:r>
                              <w:br w:type="page"/>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0"/>
                        <w:jc w:val="right"/>
                        <w:rPr>
                          <w:rFonts w:ascii="Adelle Sans Light;sans-serif" w:hAnsi="Adelle Sans Light;sans-serif"/>
                          <w:b w:val="false"/>
                          <w:color w:val="6D6D6D"/>
                          <w:sz w:val="18"/>
                        </w:rPr>
                      </w:pPr>
                      <w:r>
                        <w:rPr>
                          <w:rFonts w:ascii="Adelle Sans Light;sans-serif" w:hAnsi="Adelle Sans Light;sans-serif"/>
                          <w:b w:val="false"/>
                          <w:color w:val="6D6D6D"/>
                          <w:sz w:val="18"/>
                        </w:rPr>
                        <w:t>4</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rFonts w:ascii="Adelle Sans;sans-serif" w:hAnsi="Adelle Sans;sans-serif"/>
          <w:b/>
          <w:color w:val="000000"/>
          <w:sz w:val="22"/>
        </w:rPr>
      </w:pPr>
      <w:r>
        <w:rPr>
          <w:rFonts w:ascii="Adelle Sans;sans-serif" w:hAnsi="Adelle Sans;sans-serif"/>
          <w:b/>
          <w:color w:val="000000"/>
          <w:sz w:val="22"/>
        </w:rPr>
        <w:t xml:space="preserve">Shopify Inc. Condensed Consolidated Statements of Cash Flows </w:t>
      </w:r>
    </w:p>
    <w:p>
      <w:pPr>
        <w:pStyle w:val="TextBody"/>
        <w:bidi w:val="0"/>
        <w:spacing w:lineRule="auto" w:line="288" w:before="0" w:after="0"/>
        <w:jc w:val="left"/>
        <w:rPr>
          <w:rFonts w:ascii="Adelle Sans Light;sans-serif" w:hAnsi="Adelle Sans Light;sans-serif"/>
          <w:b w:val="false"/>
          <w:color w:val="000000"/>
          <w:sz w:val="16"/>
        </w:rPr>
      </w:pPr>
      <w:r>
        <w:rPr>
          <w:rFonts w:ascii="Adelle Sans Light;sans-serif" w:hAnsi="Adelle Sans Light;sans-serif"/>
          <w:b w:val="false"/>
          <w:color w:val="000000"/>
          <w:sz w:val="16"/>
        </w:rPr>
        <w:t>(In US $ millions)</w:t>
      </w:r>
    </w:p>
    <w:tbl>
      <w:tblPr>
        <w:tblW w:w="10205" w:type="dxa"/>
        <w:jc w:val="center"/>
        <w:tblInd w:w="0" w:type="dxa"/>
        <w:tblLayout w:type="fixed"/>
        <w:tblCellMar>
          <w:top w:w="28" w:type="dxa"/>
          <w:left w:w="28" w:type="dxa"/>
          <w:bottom w:w="28" w:type="dxa"/>
          <w:right w:w="28" w:type="dxa"/>
        </w:tblCellMar>
      </w:tblPr>
      <w:tblGrid>
        <w:gridCol w:w="2183"/>
        <w:gridCol w:w="1911"/>
        <w:gridCol w:w="1915"/>
        <w:gridCol w:w="487"/>
        <w:gridCol w:w="477"/>
        <w:gridCol w:w="474"/>
        <w:gridCol w:w="242"/>
        <w:gridCol w:w="242"/>
        <w:gridCol w:w="242"/>
        <w:gridCol w:w="486"/>
        <w:gridCol w:w="477"/>
        <w:gridCol w:w="474"/>
        <w:gridCol w:w="109"/>
        <w:gridCol w:w="109"/>
        <w:gridCol w:w="109"/>
        <w:gridCol w:w="109"/>
        <w:gridCol w:w="159"/>
      </w:tblGrid>
      <w:tr>
        <w:trPr/>
        <w:tc>
          <w:tcPr>
            <w:tcW w:w="2183" w:type="dxa"/>
            <w:tcBorders/>
            <w:vAlign w:val="center"/>
          </w:tcPr>
          <w:p>
            <w:pPr>
              <w:pStyle w:val="TableContents"/>
              <w:bidi w:val="0"/>
              <w:spacing w:before="0" w:after="283"/>
              <w:jc w:val="left"/>
              <w:rPr>
                <w:sz w:val="4"/>
                <w:szCs w:val="4"/>
              </w:rPr>
            </w:pPr>
            <w:r>
              <w:rPr>
                <w:sz w:val="4"/>
                <w:szCs w:val="4"/>
              </w:rPr>
            </w:r>
          </w:p>
        </w:tc>
        <w:tc>
          <w:tcPr>
            <w:tcW w:w="1911" w:type="dxa"/>
            <w:tcBorders/>
            <w:vAlign w:val="center"/>
          </w:tcPr>
          <w:p>
            <w:pPr>
              <w:pStyle w:val="TableContents"/>
              <w:bidi w:val="0"/>
              <w:spacing w:before="0" w:after="283"/>
              <w:jc w:val="left"/>
              <w:rPr>
                <w:sz w:val="4"/>
                <w:szCs w:val="4"/>
              </w:rPr>
            </w:pPr>
            <w:r>
              <w:rPr>
                <w:sz w:val="4"/>
                <w:szCs w:val="4"/>
              </w:rPr>
            </w:r>
          </w:p>
        </w:tc>
        <w:tc>
          <w:tcPr>
            <w:tcW w:w="1915"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gridSpan w:val="3"/>
            <w:tcBorders/>
          </w:tcPr>
          <w:p>
            <w:pPr>
              <w:pStyle w:val="TableContents"/>
              <w:bidi w:val="0"/>
              <w:spacing w:before="0" w:after="283"/>
              <w:jc w:val="left"/>
              <w:rPr>
                <w:sz w:val="4"/>
                <w:szCs w:val="4"/>
              </w:rPr>
            </w:pPr>
            <w:r>
              <w:rPr>
                <w:sz w:val="4"/>
                <w:szCs w:val="4"/>
              </w:rPr>
            </w:r>
          </w:p>
        </w:tc>
      </w:tr>
      <w:tr>
        <w:trPr/>
        <w:tc>
          <w:tcPr>
            <w:tcW w:w="6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color w:val="000000"/>
                <w:sz w:val="18"/>
              </w:rPr>
            </w:pPr>
            <w:r>
              <w:rPr>
                <w:rFonts w:ascii="Adelle Sans;sans-serif" w:hAnsi="Adelle Sans;sans-serif"/>
                <w:b/>
                <w:color w:val="000000"/>
                <w:sz w:val="18"/>
              </w:rPr>
              <w:t>June 30, 2026</w:t>
            </w:r>
          </w:p>
        </w:tc>
        <w:tc>
          <w:tcPr>
            <w:tcW w:w="72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color w:val="000000"/>
                <w:sz w:val="18"/>
              </w:rPr>
            </w:pPr>
            <w:r>
              <w:rPr>
                <w:rFonts w:ascii="Adelle Sans;sans-serif" w:hAnsi="Adelle Sans;sans-serif"/>
                <w:b/>
                <w:color w:val="000000"/>
                <w:sz w:val="18"/>
              </w:rPr>
              <w:t>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09" w:type="dxa"/>
            <w:gridSpan w:val="3"/>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20"/>
              </w:rPr>
            </w:pPr>
            <w:r>
              <w:rPr>
                <w:rFonts w:ascii="Adelle Sans;sans-serif" w:hAnsi="Adelle Sans;sans-serif"/>
                <w:b/>
                <w:color w:val="000000"/>
                <w:sz w:val="20"/>
              </w:rPr>
              <w:t>Cash flows from operating activities</w:t>
            </w:r>
          </w:p>
        </w:tc>
        <w:tc>
          <w:tcPr>
            <w:tcW w:w="1438"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Net income for the period</w:t>
            </w:r>
          </w:p>
        </w:tc>
        <w:tc>
          <w:tcPr>
            <w:tcW w:w="1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1,502</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906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09"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Adjustments to reconcile net income to</w:t>
              <w:br/>
              <w:t>net cash provided by operating activities:</w:t>
            </w:r>
          </w:p>
        </w:tc>
        <w:tc>
          <w:tcPr>
            <w:tcW w:w="1438"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Amortization and depreciation</w:t>
            </w:r>
          </w:p>
        </w:tc>
        <w:tc>
          <w:tcPr>
            <w:tcW w:w="1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7</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09"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09"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Stock-based compensation</w:t>
            </w:r>
          </w:p>
        </w:tc>
        <w:tc>
          <w:tcPr>
            <w:tcW w:w="1438"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128</w:t>
            </w:r>
          </w:p>
        </w:tc>
        <w:tc>
          <w:tcPr>
            <w:tcW w:w="726"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113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Impairment of right-of-use assets and leasehold improvements</w:t>
            </w:r>
          </w:p>
        </w:tc>
        <w:tc>
          <w:tcPr>
            <w:tcW w:w="1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09"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Provision for transaction and loan losses</w:t>
            </w:r>
          </w:p>
        </w:tc>
        <w:tc>
          <w:tcPr>
            <w:tcW w:w="1438"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94</w:t>
            </w:r>
          </w:p>
        </w:tc>
        <w:tc>
          <w:tcPr>
            <w:tcW w:w="726"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44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delle Sans;sans-serif" w:hAnsi="Adelle Sans;sans-serif"/>
                <w:b w:val="false"/>
                <w:color w:val="000000"/>
                <w:sz w:val="18"/>
              </w:rPr>
            </w:pPr>
            <w:r>
              <w:rPr>
                <w:rFonts w:ascii="Adelle Sans;sans-serif" w:hAnsi="Adelle Sans;sans-serif"/>
                <w:b w:val="false"/>
                <w:color w:val="000000"/>
                <w:sz w:val="18"/>
              </w:rPr>
              <w:t>Deferred income tax recovery</w:t>
            </w:r>
          </w:p>
        </w:tc>
        <w:tc>
          <w:tcPr>
            <w:tcW w:w="1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bookmarkStart w:id="1" w:name="i3ab543c9c3b546dda8c01739b8831f65_10-1-1"/>
            <w:bookmarkEnd w:id="1"/>
            <w:r>
              <w:rPr>
                <w:rFonts w:ascii="Adelle Sans;sans-serif" w:hAnsi="Adelle Sans;sans-serif"/>
                <w:b w:val="false"/>
                <w:color w:val="000000"/>
                <w:sz w:val="18"/>
              </w:rPr>
              <w:t>165</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98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09"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Revenue related to non-cash consideration</w:t>
            </w:r>
          </w:p>
        </w:tc>
        <w:tc>
          <w:tcPr>
            <w:tcW w:w="1438"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(13)</w:t>
            </w:r>
          </w:p>
        </w:tc>
        <w:tc>
          <w:tcPr>
            <w:tcW w:w="726"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09"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09"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09"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Net gain on equity and other investments</w:t>
            </w:r>
          </w:p>
        </w:tc>
        <w:tc>
          <w:tcPr>
            <w:tcW w:w="1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(1,250)</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(682)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09" w:type="dxa"/>
            <w:gridSpan w:val="3"/>
            <w:tcBorders/>
            <w:shd w:fill="F7F7F7" w:val="clear"/>
            <w:tcMar>
              <w:top w:w="0" w:type="dxa"/>
              <w:left w:w="0" w:type="dxa"/>
              <w:bottom w:w="0" w:type="dxa"/>
              <w:right w:w="0" w:type="dxa"/>
            </w:tcMar>
            <w:vAlign w:val="center"/>
          </w:tcPr>
          <w:p>
            <w:pPr>
              <w:pStyle w:val="TableContents"/>
              <w:bidi w:val="0"/>
              <w:spacing w:lineRule="auto" w:line="240" w:before="0" w:after="0"/>
              <w:jc w:val="left"/>
              <w:rPr>
                <w:rFonts w:ascii="Adelle Sans;sans-serif" w:hAnsi="Adelle Sans;sans-serif"/>
                <w:b w:val="false"/>
                <w:color w:val="000000"/>
                <w:sz w:val="18"/>
              </w:rPr>
            </w:pPr>
            <w:r>
              <w:rPr>
                <w:rFonts w:ascii="Adelle Sans;sans-serif" w:hAnsi="Adelle Sans;sans-serif"/>
                <w:b w:val="false"/>
                <w:color w:val="000000"/>
                <w:sz w:val="18"/>
              </w:rPr>
              <w:t>Net loss on equity method investment</w:t>
            </w:r>
          </w:p>
        </w:tc>
        <w:tc>
          <w:tcPr>
            <w:tcW w:w="1438"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22</w:t>
            </w:r>
          </w:p>
        </w:tc>
        <w:tc>
          <w:tcPr>
            <w:tcW w:w="726"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delle Sans;sans-serif" w:hAnsi="Adelle Sans;sans-serif"/>
                <w:b w:val="false"/>
                <w:color w:val="000000"/>
                <w:sz w:val="18"/>
              </w:rPr>
            </w:pPr>
            <w:r>
              <w:rPr>
                <w:rFonts w:ascii="Adelle Sans;sans-serif" w:hAnsi="Adelle Sans;sans-serif"/>
                <w:b w:val="false"/>
                <w:color w:val="000000"/>
                <w:sz w:val="18"/>
              </w:rPr>
              <w:t xml:space="preserve">Unrealized foreign exchange loss (gain) </w:t>
            </w:r>
          </w:p>
        </w:tc>
        <w:tc>
          <w:tcPr>
            <w:tcW w:w="1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4</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(46)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09"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Changes in operating assets and liabilities</w:t>
            </w:r>
          </w:p>
        </w:tc>
        <w:tc>
          <w:tcPr>
            <w:tcW w:w="1438"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w:t>
            </w:r>
          </w:p>
        </w:tc>
        <w:tc>
          <w:tcPr>
            <w:tcW w:w="726"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(35)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18"/>
              </w:rPr>
            </w:pPr>
            <w:r>
              <w:rPr>
                <w:rFonts w:ascii="Adelle Sans;sans-serif" w:hAnsi="Adelle Sans;sans-serif"/>
                <w:b/>
                <w:color w:val="000000"/>
                <w:sz w:val="18"/>
              </w:rPr>
              <w:t>Net cash provided by operating activities</w:t>
            </w:r>
          </w:p>
        </w:tc>
        <w:tc>
          <w:tcPr>
            <w:tcW w:w="1438"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color w:val="000000"/>
                <w:sz w:val="18"/>
              </w:rPr>
            </w:pPr>
            <w:r>
              <w:rPr>
                <w:rFonts w:ascii="Adelle Sans;sans-serif" w:hAnsi="Adelle Sans;sans-serif"/>
                <w:b/>
                <w:color w:val="000000"/>
                <w:sz w:val="18"/>
              </w:rPr>
              <w:t>658</w:t>
            </w:r>
          </w:p>
        </w:tc>
        <w:tc>
          <w:tcPr>
            <w:tcW w:w="72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color w:val="000000"/>
                <w:sz w:val="18"/>
              </w:rPr>
            </w:pPr>
            <w:r>
              <w:rPr>
                <w:rFonts w:ascii="Adelle Sans;sans-serif" w:hAnsi="Adelle Sans;sans-serif"/>
                <w:b/>
                <w:color w:val="000000"/>
                <w:sz w:val="18"/>
              </w:rPr>
              <w:t>428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09" w:type="dxa"/>
            <w:gridSpan w:val="3"/>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20"/>
              </w:rPr>
            </w:pPr>
            <w:r>
              <w:rPr>
                <w:rFonts w:ascii="Adelle Sans;sans-serif" w:hAnsi="Adelle Sans;sans-serif"/>
                <w:b/>
                <w:color w:val="000000"/>
                <w:sz w:val="20"/>
              </w:rPr>
              <w:t>Cash flows from investing activities</w:t>
            </w:r>
          </w:p>
        </w:tc>
        <w:tc>
          <w:tcPr>
            <w:tcW w:w="1438"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Purchases of property and equipment</w:t>
            </w:r>
          </w:p>
        </w:tc>
        <w:tc>
          <w:tcPr>
            <w:tcW w:w="1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(4)</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09"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Purchases of marketable securities</w:t>
            </w:r>
          </w:p>
        </w:tc>
        <w:tc>
          <w:tcPr>
            <w:tcW w:w="1438"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(654)</w:t>
            </w:r>
          </w:p>
        </w:tc>
        <w:tc>
          <w:tcPr>
            <w:tcW w:w="726"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(1,464)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Maturities of marketable securities</w:t>
            </w:r>
          </w:p>
        </w:tc>
        <w:tc>
          <w:tcPr>
            <w:tcW w:w="1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1,450</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1,464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09" w:type="dxa"/>
            <w:gridSpan w:val="3"/>
            <w:tcBorders/>
            <w:shd w:fill="F7F7F7" w:val="clear"/>
            <w:tcMar>
              <w:top w:w="0" w:type="dxa"/>
              <w:left w:w="0" w:type="dxa"/>
              <w:bottom w:w="0" w:type="dxa"/>
              <w:right w:w="0" w:type="dxa"/>
            </w:tcMar>
            <w:vAlign w:val="center"/>
          </w:tcPr>
          <w:p>
            <w:pPr>
              <w:pStyle w:val="TableContents"/>
              <w:bidi w:val="0"/>
              <w:spacing w:lineRule="auto" w:line="240" w:before="0" w:after="0"/>
              <w:jc w:val="left"/>
              <w:rPr/>
            </w:pPr>
            <w:r>
              <w:rPr>
                <w:rFonts w:ascii="Adelle Sans;sans-serif" w:hAnsi="Adelle Sans;sans-serif"/>
                <w:b w:val="false"/>
                <w:color w:val="000000"/>
                <w:sz w:val="18"/>
              </w:rPr>
              <w:t>Purchases and originations of loans and merchant cash advances</w:t>
            </w:r>
            <w:r>
              <w:rPr>
                <w:rFonts w:ascii="Adelle Sans;sans-serif" w:hAnsi="Adelle Sans;sans-serif"/>
                <w:b w:val="false"/>
                <w:color w:val="000000"/>
                <w:sz w:val="12"/>
              </w:rPr>
              <w:t>(6)</w:t>
            </w:r>
          </w:p>
        </w:tc>
        <w:tc>
          <w:tcPr>
            <w:tcW w:w="1438"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(1,584)</w:t>
            </w:r>
          </w:p>
        </w:tc>
        <w:tc>
          <w:tcPr>
            <w:tcW w:w="726"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(944)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delle Sans;sans-serif" w:hAnsi="Adelle Sans;sans-serif"/>
                <w:b w:val="false"/>
                <w:color w:val="000000"/>
                <w:sz w:val="18"/>
              </w:rPr>
              <w:t>Repayments and sales of loans and merchant cash advances</w:t>
            </w:r>
            <w:r>
              <w:rPr>
                <w:rFonts w:ascii="Adelle Sans;sans-serif" w:hAnsi="Adelle Sans;sans-serif"/>
                <w:b w:val="false"/>
                <w:color w:val="000000"/>
                <w:sz w:val="12"/>
              </w:rPr>
              <w:t>(6)</w:t>
            </w:r>
          </w:p>
        </w:tc>
        <w:tc>
          <w:tcPr>
            <w:tcW w:w="1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1,417</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767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09"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Purchases of equity and other investments</w:t>
            </w:r>
          </w:p>
        </w:tc>
        <w:tc>
          <w:tcPr>
            <w:tcW w:w="1438"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(55)</w:t>
            </w:r>
          </w:p>
        </w:tc>
        <w:tc>
          <w:tcPr>
            <w:tcW w:w="726"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(71)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Acquisition of businesses, net of cash acquired</w:t>
            </w:r>
          </w:p>
        </w:tc>
        <w:tc>
          <w:tcPr>
            <w:tcW w:w="1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09"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Other</w:t>
            </w:r>
          </w:p>
        </w:tc>
        <w:tc>
          <w:tcPr>
            <w:tcW w:w="1438"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w:t>
            </w:r>
          </w:p>
        </w:tc>
        <w:tc>
          <w:tcPr>
            <w:tcW w:w="726"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18"/>
              </w:rPr>
            </w:pPr>
            <w:r>
              <w:rPr>
                <w:rFonts w:ascii="Adelle Sans;sans-serif" w:hAnsi="Adelle Sans;sans-serif"/>
                <w:b/>
                <w:color w:val="000000"/>
                <w:sz w:val="18"/>
              </w:rPr>
              <w:t>Net cash provided by (used in) investing activities</w:t>
            </w:r>
          </w:p>
        </w:tc>
        <w:tc>
          <w:tcPr>
            <w:tcW w:w="1438"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color w:val="000000"/>
                <w:sz w:val="18"/>
              </w:rPr>
            </w:pPr>
            <w:r>
              <w:rPr>
                <w:rFonts w:ascii="Adelle Sans;sans-serif" w:hAnsi="Adelle Sans;sans-serif"/>
                <w:b/>
                <w:color w:val="000000"/>
                <w:sz w:val="18"/>
              </w:rPr>
              <w:t>571</w:t>
            </w:r>
          </w:p>
        </w:tc>
        <w:tc>
          <w:tcPr>
            <w:tcW w:w="72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color w:val="000000"/>
                <w:sz w:val="18"/>
              </w:rPr>
            </w:pPr>
            <w:r>
              <w:rPr>
                <w:rFonts w:ascii="Adelle Sans;sans-serif" w:hAnsi="Adelle Sans;sans-serif"/>
                <w:b/>
                <w:color w:val="000000"/>
                <w:sz w:val="18"/>
              </w:rPr>
              <w:t>(252)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09" w:type="dxa"/>
            <w:gridSpan w:val="3"/>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20"/>
              </w:rPr>
            </w:pPr>
            <w:r>
              <w:rPr>
                <w:rFonts w:ascii="Adelle Sans;sans-serif" w:hAnsi="Adelle Sans;sans-serif"/>
                <w:b/>
                <w:color w:val="000000"/>
                <w:sz w:val="20"/>
              </w:rPr>
              <w:t>Cash flows from financing activities</w:t>
            </w:r>
          </w:p>
        </w:tc>
        <w:tc>
          <w:tcPr>
            <w:tcW w:w="1438"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Proceeds from the exercise of stock options</w:t>
            </w:r>
          </w:p>
        </w:tc>
        <w:tc>
          <w:tcPr>
            <w:tcW w:w="1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3</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44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09"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09"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Repurchases of common stock</w:t>
            </w:r>
          </w:p>
        </w:tc>
        <w:tc>
          <w:tcPr>
            <w:tcW w:w="1438"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(1,420)</w:t>
            </w:r>
          </w:p>
        </w:tc>
        <w:tc>
          <w:tcPr>
            <w:tcW w:w="726"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18"/>
              </w:rPr>
            </w:pPr>
            <w:r>
              <w:rPr>
                <w:rFonts w:ascii="Adelle Sans;sans-serif" w:hAnsi="Adelle Sans;sans-serif"/>
                <w:b/>
                <w:color w:val="000000"/>
                <w:sz w:val="18"/>
              </w:rPr>
              <w:t>Net cash (used in) provided by financing activities</w:t>
            </w:r>
          </w:p>
        </w:tc>
        <w:tc>
          <w:tcPr>
            <w:tcW w:w="1438"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color w:val="000000"/>
                <w:sz w:val="18"/>
              </w:rPr>
            </w:pPr>
            <w:r>
              <w:rPr>
                <w:rFonts w:ascii="Adelle Sans;sans-serif" w:hAnsi="Adelle Sans;sans-serif"/>
                <w:b/>
                <w:color w:val="000000"/>
                <w:sz w:val="18"/>
              </w:rPr>
              <w:t>(1,417)</w:t>
            </w:r>
          </w:p>
        </w:tc>
        <w:tc>
          <w:tcPr>
            <w:tcW w:w="72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color w:val="000000"/>
                <w:sz w:val="18"/>
              </w:rPr>
            </w:pPr>
            <w:r>
              <w:rPr>
                <w:rFonts w:ascii="Adelle Sans;sans-serif" w:hAnsi="Adelle Sans;sans-serif"/>
                <w:b/>
                <w:color w:val="000000"/>
                <w:sz w:val="18"/>
              </w:rPr>
              <w:t>44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09" w:type="dxa"/>
            <w:gridSpan w:val="3"/>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 xml:space="preserve">Effect of foreign exchange on cash, </w:t>
              <w:br/>
              <w:t>cash equivalents and restricted cash</w:t>
            </w:r>
          </w:p>
        </w:tc>
        <w:tc>
          <w:tcPr>
            <w:tcW w:w="1438" w:type="dxa"/>
            <w:gridSpan w:val="3"/>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(4)</w:t>
            </w:r>
          </w:p>
        </w:tc>
        <w:tc>
          <w:tcPr>
            <w:tcW w:w="726"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18"/>
              </w:rPr>
            </w:pPr>
            <w:r>
              <w:rPr>
                <w:rFonts w:ascii="Adelle Sans;sans-serif" w:hAnsi="Adelle Sans;sans-serif"/>
                <w:b/>
                <w:color w:val="000000"/>
                <w:sz w:val="18"/>
              </w:rPr>
              <w:t xml:space="preserve">Net (decrease) increase in cash, cash </w:t>
              <w:br/>
              <w:t>equivalents and restricted cash</w:t>
            </w:r>
          </w:p>
        </w:tc>
        <w:tc>
          <w:tcPr>
            <w:tcW w:w="1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color w:val="000000"/>
                <w:sz w:val="18"/>
              </w:rPr>
            </w:pPr>
            <w:r>
              <w:rPr>
                <w:rFonts w:ascii="Adelle Sans;sans-serif" w:hAnsi="Adelle Sans;sans-serif"/>
                <w:b/>
                <w:color w:val="000000"/>
                <w:sz w:val="18"/>
              </w:rPr>
              <w:t>(192)</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color w:val="000000"/>
                <w:sz w:val="18"/>
              </w:rPr>
            </w:pPr>
            <w:r>
              <w:rPr>
                <w:rFonts w:ascii="Adelle Sans;sans-serif" w:hAnsi="Adelle Sans;sans-serif"/>
                <w:b/>
                <w:color w:val="000000"/>
                <w:sz w:val="18"/>
              </w:rPr>
              <w:t>233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09"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Cash, cash equivalents and restricted cash – beginning of period</w:t>
            </w:r>
          </w:p>
        </w:tc>
        <w:tc>
          <w:tcPr>
            <w:tcW w:w="1438"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1,848</w:t>
            </w:r>
          </w:p>
        </w:tc>
        <w:tc>
          <w:tcPr>
            <w:tcW w:w="726"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1,309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color w:val="000000"/>
                <w:sz w:val="18"/>
              </w:rPr>
            </w:pPr>
            <w:r>
              <w:rPr>
                <w:rFonts w:ascii="Adelle Sans;sans-serif" w:hAnsi="Adelle Sans;sans-serif"/>
                <w:b/>
                <w:color w:val="000000"/>
                <w:sz w:val="18"/>
              </w:rPr>
              <w:t>Cash, cash equivalents and restricted cash – end of period</w:t>
            </w:r>
          </w:p>
        </w:tc>
        <w:tc>
          <w:tcPr>
            <w:tcW w:w="1438"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color w:val="000000"/>
                <w:sz w:val="18"/>
              </w:rPr>
            </w:pPr>
            <w:r>
              <w:rPr>
                <w:rFonts w:ascii="Adelle Sans;sans-serif" w:hAnsi="Adelle Sans;sans-serif"/>
                <w:b/>
                <w:color w:val="000000"/>
                <w:sz w:val="18"/>
              </w:rPr>
              <w:t>1,656</w:t>
            </w:r>
          </w:p>
        </w:tc>
        <w:tc>
          <w:tcPr>
            <w:tcW w:w="72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color w:val="000000"/>
                <w:sz w:val="18"/>
              </w:rPr>
            </w:pPr>
            <w:r>
              <w:rPr>
                <w:rFonts w:ascii="Adelle Sans;sans-serif" w:hAnsi="Adelle Sans;sans-serif"/>
                <w:b/>
                <w:color w:val="000000"/>
                <w:sz w:val="18"/>
              </w:rPr>
              <w:t>1,542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drawing>
          <wp:inline distT="0" distB="0" distL="0" distR="0">
            <wp:extent cx="1276350" cy="352425"/>
            <wp:effectExtent l="0" t="0" r="0" b="0"/>
            <wp:docPr id="14"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7" descr=""/>
                    <pic:cNvPicPr>
                      <a:picLocks noChangeAspect="1" noChangeArrowheads="1"/>
                    </pic:cNvPicPr>
                  </pic:nvPicPr>
                  <pic:blipFill>
                    <a:blip r:embed="rId8"/>
                    <a:stretch>
                      <a:fillRect/>
                    </a:stretch>
                  </pic:blipFill>
                  <pic:spPr bwMode="auto">
                    <a:xfrm>
                      <a:off x="0" y="0"/>
                      <a:ext cx="1276350" cy="352425"/>
                    </a:xfrm>
                    <a:prstGeom prst="rect">
                      <a:avLst/>
                    </a:prstGeom>
                  </pic:spPr>
                </pic:pic>
              </a:graphicData>
            </a:graphic>
          </wp:inline>
        </w:drawing>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671955"/>
                <wp:effectExtent l="0" t="0" r="0" b="0"/>
                <wp:wrapNone/>
                <wp:docPr id="15" name="Frame8"/>
                <a:graphic xmlns:a="http://schemas.openxmlformats.org/drawingml/2006/main">
                  <a:graphicData uri="http://schemas.microsoft.com/office/word/2010/wordprocessingShape">
                    <wps:wsp>
                      <wps:cNvSpPr txBox="1"/>
                      <wps:spPr>
                        <a:xfrm>
                          <a:off x="0" y="0"/>
                          <a:ext cx="6480175" cy="1671955"/>
                        </a:xfrm>
                        <a:prstGeom prst="rect"/>
                        <a:solidFill>
                          <a:srgbClr val="FFFFFF"/>
                        </a:solidFill>
                      </wps:spPr>
                      <wps:txbx>
                        <w:txbxContent>
                          <w:p>
                            <w:pPr>
                              <w:pStyle w:val="TextBody"/>
                              <w:bidi w:val="0"/>
                              <w:spacing w:lineRule="auto" w:line="268" w:before="0" w:after="0"/>
                              <w:jc w:val="left"/>
                              <w:rPr/>
                            </w:pPr>
                            <w:r>
                              <w:rPr>
                                <w:rFonts w:ascii="Adelle Sans Light;sans-serif" w:hAnsi="Adelle Sans Light;sans-serif"/>
                                <w:b w:val="false"/>
                                <w:color w:val="6D6D6D"/>
                                <w:sz w:val="8"/>
                              </w:rPr>
                              <w:t>(6)</w:t>
                            </w:r>
                            <w:r>
                              <w:rPr>
                                <w:color w:val="6D6D6D"/>
                              </w:rPr>
                              <w:t xml:space="preserve"> </w:t>
                            </w:r>
                            <w:r>
                              <w:rPr>
                                <w:rFonts w:ascii="Adelle Sans Light;sans-serif" w:hAnsi="Adelle Sans Light;sans-serif"/>
                                <w:b w:val="false"/>
                                <w:color w:val="6D6D6D"/>
                                <w:sz w:val="12"/>
                              </w:rPr>
                              <w:t xml:space="preserve">Starting in April 2026, the cash flows associated with merchant cash advances are presented within investing cash flows rather than operating cash flows on a basis consistent with loans, given the similar nature of the underlying lending activities. For the three months ended June 30, 2026, the changes described above resulted in a net cash use of $37 million presented in Investing activities after consideration of repayments and purchases and originations. </w:t>
                            </w:r>
                            <w:r>
                              <w:br w:type="page"/>
                            </w:r>
                          </w:p>
                          <w:p>
                            <w:pPr>
                              <w:pStyle w:val="TextBody"/>
                              <w:bidi w:val="0"/>
                              <w:spacing w:before="0" w:after="120"/>
                              <w:jc w:val="right"/>
                              <w:rPr/>
                            </w:pPr>
                            <w:r>
                              <w:rPr/>
                            </w:r>
                          </w:p>
                          <w:p>
                            <w:pPr>
                              <w:pStyle w:val="TextBody"/>
                              <w:bidi w:val="0"/>
                              <w:spacing w:before="0" w:after="120"/>
                              <w:jc w:val="right"/>
                              <w:rPr/>
                            </w:pPr>
                            <w:r>
                              <w:rPr/>
                            </w:r>
                          </w:p>
                          <w:p>
                            <w:pPr>
                              <w:pStyle w:val="TextBody"/>
                              <w:bidi w:val="0"/>
                              <w:spacing w:before="0" w:after="120"/>
                              <w:jc w:val="right"/>
                              <w:rPr/>
                            </w:pPr>
                            <w:r>
                              <w:rPr/>
                            </w:r>
                          </w:p>
                          <w:p>
                            <w:pPr>
                              <w:pStyle w:val="TextBody"/>
                              <w:bidi w:val="0"/>
                              <w:spacing w:lineRule="auto" w:line="417" w:before="0" w:after="200"/>
                              <w:jc w:val="right"/>
                              <w:rPr>
                                <w:rFonts w:ascii="Adelle Sans Light;sans-serif" w:hAnsi="Adelle Sans Light;sans-serif"/>
                                <w:b w:val="false"/>
                                <w:color w:val="6D6D6D"/>
                                <w:sz w:val="18"/>
                              </w:rPr>
                            </w:pPr>
                            <w:r>
                              <w:rPr>
                                <w:rFonts w:ascii="Adelle Sans Light;sans-serif" w:hAnsi="Adelle Sans Light;sans-serif"/>
                                <w:b w:val="false"/>
                                <w:color w:val="6D6D6D"/>
                                <w:sz w:val="18"/>
                              </w:rPr>
                              <w:t>5</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left"/>
                        <w:rPr/>
                      </w:pPr>
                      <w:r>
                        <w:rPr>
                          <w:rFonts w:ascii="Adelle Sans Light;sans-serif" w:hAnsi="Adelle Sans Light;sans-serif"/>
                          <w:b w:val="false"/>
                          <w:color w:val="6D6D6D"/>
                          <w:sz w:val="8"/>
                        </w:rPr>
                        <w:t>(6)</w:t>
                      </w:r>
                      <w:r>
                        <w:rPr>
                          <w:color w:val="6D6D6D"/>
                        </w:rPr>
                        <w:t xml:space="preserve"> </w:t>
                      </w:r>
                      <w:r>
                        <w:rPr>
                          <w:rFonts w:ascii="Adelle Sans Light;sans-serif" w:hAnsi="Adelle Sans Light;sans-serif"/>
                          <w:b w:val="false"/>
                          <w:color w:val="6D6D6D"/>
                          <w:sz w:val="12"/>
                        </w:rPr>
                        <w:t xml:space="preserve">Starting in April 2026, the cash flows associated with merchant cash advances are presented within investing cash flows rather than operating cash flows on a basis consistent with loans, given the similar nature of the underlying lending activities. For the three months ended June 30, 2026, the changes described above resulted in a net cash use of $37 million presented in Investing activities after consideration of repayments and purchases and originations. </w:t>
                      </w:r>
                    </w:p>
                    <w:p>
                      <w:pPr>
                        <w:pStyle w:val="TextBody"/>
                        <w:bidi w:val="0"/>
                        <w:spacing w:before="0" w:after="120"/>
                        <w:jc w:val="right"/>
                        <w:rPr/>
                      </w:pPr>
                      <w:r>
                        <w:rPr/>
                      </w:r>
                    </w:p>
                    <w:p>
                      <w:pPr>
                        <w:pStyle w:val="TextBody"/>
                        <w:bidi w:val="0"/>
                        <w:spacing w:before="0" w:after="120"/>
                        <w:jc w:val="right"/>
                        <w:rPr/>
                      </w:pPr>
                      <w:r>
                        <w:rPr/>
                      </w:r>
                    </w:p>
                    <w:p>
                      <w:pPr>
                        <w:pStyle w:val="TextBody"/>
                        <w:bidi w:val="0"/>
                        <w:spacing w:before="0" w:after="120"/>
                        <w:jc w:val="right"/>
                        <w:rPr/>
                      </w:pPr>
                      <w:r>
                        <w:rPr/>
                      </w:r>
                    </w:p>
                    <w:p>
                      <w:pPr>
                        <w:pStyle w:val="TextBody"/>
                        <w:bidi w:val="0"/>
                        <w:spacing w:lineRule="auto" w:line="417" w:before="0" w:after="200"/>
                        <w:jc w:val="right"/>
                        <w:rPr>
                          <w:rFonts w:ascii="Adelle Sans Light;sans-serif" w:hAnsi="Adelle Sans Light;sans-serif"/>
                          <w:b w:val="false"/>
                          <w:color w:val="6D6D6D"/>
                          <w:sz w:val="18"/>
                        </w:rPr>
                      </w:pPr>
                      <w:r>
                        <w:rPr>
                          <w:rFonts w:ascii="Adelle Sans Light;sans-serif" w:hAnsi="Adelle Sans Light;sans-serif"/>
                          <w:b w:val="false"/>
                          <w:color w:val="6D6D6D"/>
                          <w:sz w:val="18"/>
                        </w:rPr>
                        <w:t>5</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200"/>
        <w:jc w:val="left"/>
        <w:rPr>
          <w:rFonts w:ascii="Adelle Sans;sans-serif" w:hAnsi="Adelle Sans;sans-serif"/>
          <w:b/>
          <w:color w:val="000000"/>
          <w:sz w:val="22"/>
        </w:rPr>
      </w:pPr>
      <w:r>
        <w:rPr>
          <w:rFonts w:ascii="Adelle Sans;sans-serif" w:hAnsi="Adelle Sans;sans-serif"/>
          <w:b/>
          <w:color w:val="000000"/>
          <w:sz w:val="22"/>
        </w:rPr>
        <w:t>Reconciliation of Non-GAAP Financial Measures</w:t>
      </w:r>
    </w:p>
    <w:p>
      <w:pPr>
        <w:pStyle w:val="TextBody"/>
        <w:bidi w:val="0"/>
        <w:spacing w:lineRule="auto" w:line="288" w:before="0" w:after="0"/>
        <w:jc w:val="left"/>
        <w:rPr>
          <w:rFonts w:ascii="Adelle Sans;sans-serif" w:hAnsi="Adelle Sans;sans-serif"/>
          <w:b/>
          <w:color w:val="000000"/>
          <w:sz w:val="20"/>
        </w:rPr>
      </w:pPr>
      <w:r>
        <w:rPr>
          <w:rFonts w:ascii="Adelle Sans;sans-serif" w:hAnsi="Adelle Sans;sans-serif"/>
          <w:b/>
          <w:color w:val="000000"/>
          <w:sz w:val="20"/>
        </w:rPr>
        <w:t>Free Cash Flow Reconciliation</w:t>
      </w:r>
    </w:p>
    <w:p>
      <w:pPr>
        <w:pStyle w:val="TextBody"/>
        <w:bidi w:val="0"/>
        <w:spacing w:lineRule="auto" w:line="288" w:before="0" w:after="200"/>
        <w:jc w:val="left"/>
        <w:rPr>
          <w:rFonts w:ascii="Adelle Sans Light;sans-serif" w:hAnsi="Adelle Sans Light;sans-serif"/>
          <w:b w:val="false"/>
          <w:color w:val="000000"/>
          <w:sz w:val="16"/>
        </w:rPr>
      </w:pPr>
      <w:r>
        <w:rPr>
          <w:rFonts w:ascii="Adelle Sans Light;sans-serif" w:hAnsi="Adelle Sans Light;sans-serif"/>
          <w:b w:val="false"/>
          <w:color w:val="000000"/>
          <w:sz w:val="16"/>
        </w:rPr>
        <w:t>(In US $ millions, except percentages)</w:t>
      </w:r>
    </w:p>
    <w:p>
      <w:pPr>
        <w:pStyle w:val="TextBody"/>
        <w:bidi w:val="0"/>
        <w:spacing w:lineRule="auto" w:line="417" w:before="0" w:after="0"/>
        <w:jc w:val="left"/>
        <w:rPr>
          <w:rFonts w:ascii="Adelle Sans Light;sans-serif" w:hAnsi="Adelle Sans Light;sans-serif"/>
          <w:b w:val="false"/>
          <w:color w:val="000000"/>
          <w:sz w:val="18"/>
        </w:rPr>
      </w:pPr>
      <w:r>
        <w:rPr>
          <w:rFonts w:ascii="Adelle Sans Light;sans-serif" w:hAnsi="Adelle Sans Light;sans-serif"/>
          <w:b w:val="false"/>
          <w:color w:val="000000"/>
          <w:sz w:val="18"/>
        </w:rPr>
        <w:t>The following table illustrates how free cash flow is calculated in this press release:</w:t>
      </w:r>
    </w:p>
    <w:tbl>
      <w:tblPr>
        <w:tblW w:w="7355" w:type="dxa"/>
        <w:jc w:val="left"/>
        <w:tblInd w:w="0" w:type="dxa"/>
        <w:tblLayout w:type="fixed"/>
        <w:tblCellMar>
          <w:top w:w="28" w:type="dxa"/>
          <w:left w:w="28" w:type="dxa"/>
          <w:bottom w:w="28" w:type="dxa"/>
          <w:right w:w="28" w:type="dxa"/>
        </w:tblCellMar>
      </w:tblPr>
      <w:tblGrid>
        <w:gridCol w:w="1103"/>
        <w:gridCol w:w="968"/>
        <w:gridCol w:w="974"/>
        <w:gridCol w:w="438"/>
        <w:gridCol w:w="327"/>
        <w:gridCol w:w="816"/>
        <w:gridCol w:w="186"/>
        <w:gridCol w:w="186"/>
        <w:gridCol w:w="186"/>
        <w:gridCol w:w="438"/>
        <w:gridCol w:w="327"/>
        <w:gridCol w:w="816"/>
        <w:gridCol w:w="109"/>
        <w:gridCol w:w="109"/>
        <w:gridCol w:w="109"/>
        <w:gridCol w:w="109"/>
        <w:gridCol w:w="154"/>
      </w:tblGrid>
      <w:tr>
        <w:trPr/>
        <w:tc>
          <w:tcPr>
            <w:tcW w:w="1103"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color w:val="000000"/>
                <w:sz w:val="18"/>
              </w:rPr>
            </w:pPr>
            <w:r>
              <w:rPr>
                <w:rFonts w:ascii="Adelle Sans;sans-serif" w:hAnsi="Adelle Sans;sans-serif"/>
                <w:b/>
                <w:color w:val="000000"/>
                <w:sz w:val="18"/>
              </w:rPr>
              <w:t>June 30, 2026</w:t>
            </w:r>
          </w:p>
        </w:tc>
        <w:tc>
          <w:tcPr>
            <w:tcW w:w="55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color w:val="000000"/>
                <w:sz w:val="18"/>
              </w:rPr>
            </w:pPr>
            <w:r>
              <w:rPr>
                <w:rFonts w:ascii="Adelle Sans;sans-serif" w:hAnsi="Adelle Sans;sans-serif"/>
                <w:b/>
                <w:color w:val="000000"/>
                <w:sz w:val="18"/>
              </w:rPr>
              <w:t>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0"/>
              <w:jc w:val="left"/>
              <w:rPr>
                <w:rFonts w:ascii="Adelle Sans;sans-serif" w:hAnsi="Adelle Sans;sans-serif"/>
                <w:b w:val="false"/>
                <w:color w:val="000000"/>
                <w:sz w:val="18"/>
              </w:rPr>
            </w:pPr>
            <w:r>
              <w:rPr>
                <w:rFonts w:ascii="Adelle Sans;sans-serif" w:hAnsi="Adelle Sans;sans-serif"/>
                <w:b w:val="false"/>
                <w:color w:val="000000"/>
                <w:sz w:val="18"/>
              </w:rPr>
              <w:t xml:space="preserve">Net cash provided by operating </w:t>
            </w:r>
          </w:p>
          <w:p>
            <w:pPr>
              <w:pStyle w:val="TableContents"/>
              <w:bidi w:val="0"/>
              <w:spacing w:lineRule="auto" w:line="240" w:before="0" w:after="0"/>
              <w:jc w:val="left"/>
              <w:rPr/>
            </w:pPr>
            <w:r>
              <w:rPr>
                <w:rFonts w:ascii="Adelle Sans;sans-serif" w:hAnsi="Adelle Sans;sans-serif"/>
                <w:b w:val="false"/>
                <w:color w:val="000000"/>
                <w:sz w:val="18"/>
              </w:rPr>
              <w:t>activities</w:t>
            </w:r>
            <w:r>
              <w:rPr>
                <w:rFonts w:ascii="Adelle Sans;sans-serif" w:hAnsi="Adelle Sans;sans-serif"/>
                <w:b w:val="false"/>
                <w:color w:val="000000"/>
                <w:sz w:val="12"/>
              </w:rPr>
              <w:t>(6)</w:t>
            </w:r>
          </w:p>
        </w:tc>
        <w:tc>
          <w:tcPr>
            <w:tcW w:w="765" w:type="dxa"/>
            <w:gridSpan w:val="2"/>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658 </w:t>
            </w:r>
          </w:p>
        </w:tc>
        <w:tc>
          <w:tcPr>
            <w:tcW w:w="816" w:type="dxa"/>
            <w:tcBorders>
              <w:top w:val="single" w:sz="8"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428 </w:t>
            </w:r>
          </w:p>
        </w:tc>
        <w:tc>
          <w:tcPr>
            <w:tcW w:w="816" w:type="dxa"/>
            <w:tcBorders>
              <w:top w:val="single" w:sz="8" w:space="0" w:color="000000"/>
            </w:tcBorders>
            <w:shd w:fill="F7F7F7"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delle Sans;sans-serif" w:hAnsi="Adelle Sans;sans-serif"/>
                <w:b w:val="false"/>
                <w:color w:val="000000"/>
                <w:sz w:val="18"/>
              </w:rPr>
              <w:t>less: capital expenditures</w:t>
            </w:r>
            <w:r>
              <w:rPr>
                <w:rFonts w:ascii="Adelle Sans;sans-serif" w:hAnsi="Adelle Sans;sans-serif"/>
                <w:b w:val="false"/>
                <w:color w:val="000000"/>
                <w:sz w:val="12"/>
              </w:rPr>
              <w:t>(7)</w:t>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(4)</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(6)</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Free cash flow</w:t>
            </w:r>
          </w:p>
        </w:tc>
        <w:tc>
          <w:tcPr>
            <w:tcW w:w="765"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654 </w:t>
            </w:r>
          </w:p>
        </w:tc>
        <w:tc>
          <w:tcPr>
            <w:tcW w:w="816"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422 </w:t>
            </w:r>
          </w:p>
        </w:tc>
        <w:tc>
          <w:tcPr>
            <w:tcW w:w="816" w:type="dxa"/>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Revenue</w:t>
            </w:r>
          </w:p>
        </w:tc>
        <w:tc>
          <w:tcPr>
            <w:tcW w:w="765"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3,583 </w:t>
            </w:r>
          </w:p>
        </w:tc>
        <w:tc>
          <w:tcPr>
            <w:tcW w:w="81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2,680 </w:t>
            </w:r>
          </w:p>
        </w:tc>
        <w:tc>
          <w:tcPr>
            <w:tcW w:w="81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Free cash flow margin</w:t>
            </w:r>
          </w:p>
        </w:tc>
        <w:tc>
          <w:tcPr>
            <w:tcW w:w="765" w:type="dxa"/>
            <w:gridSpan w:val="2"/>
            <w:tcBorders>
              <w:top w:val="single" w:sz="4"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18</w:t>
            </w:r>
          </w:p>
        </w:tc>
        <w:tc>
          <w:tcPr>
            <w:tcW w:w="816" w:type="dxa"/>
            <w:tcBorders>
              <w:top w:val="single" w:sz="4"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w:t>
            </w:r>
          </w:p>
        </w:tc>
        <w:tc>
          <w:tcPr>
            <w:tcW w:w="558" w:type="dxa"/>
            <w:gridSpan w:val="3"/>
            <w:tcBorders>
              <w:top w:val="single" w:sz="4"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4"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16</w:t>
            </w:r>
          </w:p>
        </w:tc>
        <w:tc>
          <w:tcPr>
            <w:tcW w:w="816" w:type="dxa"/>
            <w:tcBorders>
              <w:top w:val="single" w:sz="4"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delle Sans;sans-serif" w:hAnsi="Adelle Sans;sans-serif"/>
          <w:b/>
          <w:color w:val="000000"/>
          <w:sz w:val="20"/>
        </w:rPr>
      </w:pPr>
      <w:r>
        <w:rPr>
          <w:rFonts w:ascii="Adelle Sans;sans-serif" w:hAnsi="Adelle Sans;sans-serif"/>
          <w:b/>
          <w:color w:val="000000"/>
          <w:sz w:val="20"/>
        </w:rPr>
        <w:t>Net Income Excluding the Impact of Equity Investments Reconciliation</w:t>
      </w:r>
    </w:p>
    <w:p>
      <w:pPr>
        <w:pStyle w:val="TextBody"/>
        <w:bidi w:val="0"/>
        <w:spacing w:lineRule="auto" w:line="288" w:before="0" w:after="200"/>
        <w:jc w:val="left"/>
        <w:rPr>
          <w:rFonts w:ascii="Adelle Sans Light;sans-serif" w:hAnsi="Adelle Sans Light;sans-serif"/>
          <w:b w:val="false"/>
          <w:color w:val="000000"/>
          <w:sz w:val="16"/>
        </w:rPr>
      </w:pPr>
      <w:r>
        <w:rPr>
          <w:rFonts w:ascii="Adelle Sans Light;sans-serif" w:hAnsi="Adelle Sans Light;sans-serif"/>
          <w:b w:val="false"/>
          <w:color w:val="000000"/>
          <w:sz w:val="16"/>
        </w:rPr>
        <w:t>(In US $ millions)</w:t>
      </w:r>
    </w:p>
    <w:p>
      <w:pPr>
        <w:pStyle w:val="TextBody"/>
        <w:bidi w:val="0"/>
        <w:spacing w:lineRule="auto" w:line="288" w:before="0" w:after="0"/>
        <w:jc w:val="left"/>
        <w:rPr>
          <w:rFonts w:ascii="Adelle Sans Light;sans-serif" w:hAnsi="Adelle Sans Light;sans-serif"/>
          <w:b w:val="false"/>
          <w:color w:val="000000"/>
          <w:sz w:val="18"/>
        </w:rPr>
      </w:pPr>
      <w:r>
        <w:rPr>
          <w:rFonts w:ascii="Adelle Sans Light;sans-serif" w:hAnsi="Adelle Sans Light;sans-serif"/>
          <w:b w:val="false"/>
          <w:color w:val="000000"/>
          <w:sz w:val="18"/>
        </w:rPr>
        <w:t>The following table illustrates how Net income excluding the impact of equity investments is calculated in this press release:</w:t>
      </w:r>
    </w:p>
    <w:tbl>
      <w:tblPr>
        <w:tblW w:w="8564" w:type="dxa"/>
        <w:jc w:val="left"/>
        <w:tblInd w:w="0" w:type="dxa"/>
        <w:tblLayout w:type="fixed"/>
        <w:tblCellMar>
          <w:top w:w="28" w:type="dxa"/>
          <w:left w:w="28" w:type="dxa"/>
          <w:bottom w:w="28" w:type="dxa"/>
          <w:right w:w="28" w:type="dxa"/>
        </w:tblCellMar>
      </w:tblPr>
      <w:tblGrid>
        <w:gridCol w:w="1551"/>
        <w:gridCol w:w="1363"/>
        <w:gridCol w:w="1376"/>
        <w:gridCol w:w="490"/>
        <w:gridCol w:w="490"/>
        <w:gridCol w:w="490"/>
        <w:gridCol w:w="248"/>
        <w:gridCol w:w="248"/>
        <w:gridCol w:w="248"/>
        <w:gridCol w:w="490"/>
        <w:gridCol w:w="490"/>
        <w:gridCol w:w="490"/>
        <w:gridCol w:w="109"/>
        <w:gridCol w:w="109"/>
        <w:gridCol w:w="109"/>
        <w:gridCol w:w="109"/>
        <w:gridCol w:w="154"/>
      </w:tblGrid>
      <w:tr>
        <w:trPr/>
        <w:tc>
          <w:tcPr>
            <w:tcW w:w="1551"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color w:val="000000"/>
                <w:sz w:val="18"/>
              </w:rPr>
            </w:pPr>
            <w:r>
              <w:rPr>
                <w:rFonts w:ascii="Adelle Sans;sans-serif" w:hAnsi="Adelle Sans;sans-serif"/>
                <w:b/>
                <w:color w:val="000000"/>
                <w:sz w:val="18"/>
              </w:rPr>
              <w:t>June 30, 2026</w:t>
            </w:r>
          </w:p>
        </w:tc>
        <w:tc>
          <w:tcPr>
            <w:tcW w:w="74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color w:val="000000"/>
                <w:sz w:val="18"/>
              </w:rPr>
            </w:pPr>
            <w:r>
              <w:rPr>
                <w:rFonts w:ascii="Adelle Sans;sans-serif" w:hAnsi="Adelle Sans;sans-serif"/>
                <w:b/>
                <w:color w:val="000000"/>
                <w:sz w:val="18"/>
              </w:rPr>
              <w:t>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90" w:type="dxa"/>
            <w:gridSpan w:val="3"/>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Net Income</w:t>
            </w:r>
          </w:p>
        </w:tc>
        <w:tc>
          <w:tcPr>
            <w:tcW w:w="1470" w:type="dxa"/>
            <w:gridSpan w:val="3"/>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1,502</w:t>
            </w:r>
          </w:p>
        </w:tc>
        <w:tc>
          <w:tcPr>
            <w:tcW w:w="744"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906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 xml:space="preserve">less: equity investments, </w:t>
              <w:br/>
              <w:t>marked to market, net of taxes</w:t>
            </w:r>
          </w:p>
        </w:tc>
        <w:tc>
          <w:tcPr>
            <w:tcW w:w="1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1,063</w:t>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568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90" w:type="dxa"/>
            <w:gridSpan w:val="3"/>
            <w:tcBorders>
              <w:top w:val="single" w:sz="4" w:space="0" w:color="000000"/>
            </w:tcBorders>
            <w:shd w:fill="F7F7F7" w:val="clear"/>
            <w:tcMar>
              <w:top w:w="52" w:type="dxa"/>
              <w:left w:w="0" w:type="dxa"/>
              <w:bottom w:w="0" w:type="dxa"/>
              <w:right w:w="0" w:type="dxa"/>
            </w:tcMar>
            <w:vAlign w:val="center"/>
          </w:tcPr>
          <w:p>
            <w:pPr>
              <w:pStyle w:val="TableContents"/>
              <w:bidi w:val="0"/>
              <w:spacing w:lineRule="auto" w:line="240" w:before="0" w:after="0"/>
              <w:jc w:val="left"/>
              <w:rPr>
                <w:rFonts w:ascii="Adelle Sans;sans-serif" w:hAnsi="Adelle Sans;sans-serif"/>
                <w:b w:val="false"/>
                <w:color w:val="000000"/>
                <w:sz w:val="18"/>
              </w:rPr>
            </w:pPr>
            <w:r>
              <w:rPr>
                <w:rFonts w:ascii="Adelle Sans;sans-serif" w:hAnsi="Adelle Sans;sans-serif"/>
                <w:b w:val="false"/>
                <w:color w:val="000000"/>
                <w:sz w:val="18"/>
              </w:rPr>
              <w:t xml:space="preserve">Net income </w:t>
            </w:r>
          </w:p>
          <w:p>
            <w:pPr>
              <w:pStyle w:val="TableContents"/>
              <w:bidi w:val="0"/>
              <w:spacing w:lineRule="auto" w:line="240" w:before="0" w:after="0"/>
              <w:jc w:val="left"/>
              <w:rPr/>
            </w:pPr>
            <w:r>
              <w:rPr>
                <w:rFonts w:ascii="Adelle Sans;sans-serif" w:hAnsi="Adelle Sans;sans-serif"/>
                <w:b w:val="false"/>
                <w:color w:val="000000"/>
                <w:sz w:val="18"/>
              </w:rPr>
              <w:t>excluding the impact of equity investments</w:t>
            </w:r>
            <w:r>
              <w:rPr>
                <w:rFonts w:ascii="Adelle Sans;sans-serif" w:hAnsi="Adelle Sans;sans-serif"/>
                <w:b w:val="false"/>
                <w:color w:val="000000"/>
                <w:sz w:val="12"/>
              </w:rPr>
              <w:t xml:space="preserve">(3) </w:t>
            </w:r>
          </w:p>
        </w:tc>
        <w:tc>
          <w:tcPr>
            <w:tcW w:w="1470" w:type="dxa"/>
            <w:gridSpan w:val="3"/>
            <w:tcBorders>
              <w:top w:val="single" w:sz="4"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439</w:t>
            </w:r>
          </w:p>
        </w:tc>
        <w:tc>
          <w:tcPr>
            <w:tcW w:w="744" w:type="dxa"/>
            <w:gridSpan w:val="3"/>
            <w:tcBorders>
              <w:top w:val="single" w:sz="4"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4"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338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drawing>
          <wp:inline distT="0" distB="0" distL="0" distR="0">
            <wp:extent cx="1276350" cy="352425"/>
            <wp:effectExtent l="0" t="0" r="0" b="0"/>
            <wp:docPr id="16"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8" descr=""/>
                    <pic:cNvPicPr>
                      <a:picLocks noChangeAspect="1" noChangeArrowheads="1"/>
                    </pic:cNvPicPr>
                  </pic:nvPicPr>
                  <pic:blipFill>
                    <a:blip r:embed="rId9"/>
                    <a:stretch>
                      <a:fillRect/>
                    </a:stretch>
                  </pic:blipFill>
                  <pic:spPr bwMode="auto">
                    <a:xfrm>
                      <a:off x="0" y="0"/>
                      <a:ext cx="1276350" cy="352425"/>
                    </a:xfrm>
                    <a:prstGeom prst="rect">
                      <a:avLst/>
                    </a:prstGeom>
                  </pic:spPr>
                </pic:pic>
              </a:graphicData>
            </a:graphic>
          </wp:inline>
        </w:drawing>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821055"/>
                <wp:effectExtent l="0" t="0" r="0" b="0"/>
                <wp:wrapNone/>
                <wp:docPr id="17" name="Frame9"/>
                <a:graphic xmlns:a="http://schemas.openxmlformats.org/drawingml/2006/main">
                  <a:graphicData uri="http://schemas.microsoft.com/office/word/2010/wordprocessingShape">
                    <wps:wsp>
                      <wps:cNvSpPr txBox="1"/>
                      <wps:spPr>
                        <a:xfrm>
                          <a:off x="0" y="0"/>
                          <a:ext cx="6480175" cy="821055"/>
                        </a:xfrm>
                        <a:prstGeom prst="rect"/>
                        <a:solidFill>
                          <a:srgbClr val="FFFFFF"/>
                        </a:solidFill>
                      </wps:spPr>
                      <wps:txbx>
                        <w:txbxContent>
                          <w:p>
                            <w:pPr>
                              <w:pStyle w:val="TextBody"/>
                              <w:bidi w:val="0"/>
                              <w:spacing w:lineRule="auto" w:line="288" w:before="0" w:after="180"/>
                              <w:ind w:left="0" w:right="0" w:hanging="90"/>
                              <w:jc w:val="left"/>
                              <w:rPr/>
                            </w:pPr>
                            <w:r>
                              <w:rPr>
                                <w:rFonts w:ascii="Adelle Sans Light;sans-serif" w:hAnsi="Adelle Sans Light;sans-serif"/>
                                <w:b w:val="false"/>
                                <w:color w:val="6D6D6D"/>
                                <w:sz w:val="8"/>
                              </w:rPr>
                              <w:t xml:space="preserve">(7) </w:t>
                            </w:r>
                            <w:r>
                              <w:rPr>
                                <w:rFonts w:ascii="Adelle Sans Light;sans-serif" w:hAnsi="Adelle Sans Light;sans-serif"/>
                                <w:b w:val="false"/>
                                <w:i/>
                                <w:color w:val="6D6D6D"/>
                                <w:sz w:val="12"/>
                              </w:rPr>
                              <w:t>Capital expenditures</w:t>
                            </w:r>
                            <w:r>
                              <w:rPr>
                                <w:color w:val="6D6D6D"/>
                              </w:rPr>
                              <w:t xml:space="preserve"> </w:t>
                            </w:r>
                            <w:r>
                              <w:rPr>
                                <w:rFonts w:ascii="Adelle Sans Light;sans-serif" w:hAnsi="Adelle Sans Light;sans-serif"/>
                                <w:b w:val="false"/>
                                <w:color w:val="6D6D6D"/>
                                <w:sz w:val="12"/>
                              </w:rPr>
                              <w:t>is equivalent to the amount included in “Purchases of property and equipment” on our Condensed Consolidated Statements of Cash Flows for the reported period.</w:t>
                            </w:r>
                            <w:r>
                              <w:br w:type="page"/>
                            </w:r>
                          </w:p>
                          <w:p>
                            <w:pPr>
                              <w:pStyle w:val="TextBody"/>
                              <w:bidi w:val="0"/>
                              <w:spacing w:lineRule="auto" w:line="417" w:before="0" w:after="0"/>
                              <w:jc w:val="right"/>
                              <w:rPr>
                                <w:rFonts w:ascii="Adelle Sans Light;sans-serif" w:hAnsi="Adelle Sans Light;sans-serif"/>
                                <w:b w:val="false"/>
                                <w:color w:val="6D6D6D"/>
                                <w:sz w:val="18"/>
                              </w:rPr>
                            </w:pPr>
                            <w:r>
                              <w:rPr>
                                <w:rFonts w:ascii="Adelle Sans Light;sans-serif" w:hAnsi="Adelle Sans Light;sans-serif"/>
                                <w:b w:val="false"/>
                                <w:color w:val="6D6D6D"/>
                                <w:sz w:val="18"/>
                              </w:rPr>
                              <w:t>6</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hanging="90"/>
                        <w:jc w:val="left"/>
                        <w:rPr/>
                      </w:pPr>
                      <w:r>
                        <w:rPr>
                          <w:rFonts w:ascii="Adelle Sans Light;sans-serif" w:hAnsi="Adelle Sans Light;sans-serif"/>
                          <w:b w:val="false"/>
                          <w:color w:val="6D6D6D"/>
                          <w:sz w:val="8"/>
                        </w:rPr>
                        <w:t xml:space="preserve">(7) </w:t>
                      </w:r>
                      <w:r>
                        <w:rPr>
                          <w:rFonts w:ascii="Adelle Sans Light;sans-serif" w:hAnsi="Adelle Sans Light;sans-serif"/>
                          <w:b w:val="false"/>
                          <w:i/>
                          <w:color w:val="6D6D6D"/>
                          <w:sz w:val="12"/>
                        </w:rPr>
                        <w:t>Capital expenditures</w:t>
                      </w:r>
                      <w:r>
                        <w:rPr>
                          <w:color w:val="6D6D6D"/>
                        </w:rPr>
                        <w:t xml:space="preserve"> </w:t>
                      </w:r>
                      <w:r>
                        <w:rPr>
                          <w:rFonts w:ascii="Adelle Sans Light;sans-serif" w:hAnsi="Adelle Sans Light;sans-serif"/>
                          <w:b w:val="false"/>
                          <w:color w:val="6D6D6D"/>
                          <w:sz w:val="12"/>
                        </w:rPr>
                        <w:t>is equivalent to the amount included in “Purchases of property and equipment” on our Condensed Consolidated Statements of Cash Flows for the reported period.</w:t>
                      </w:r>
                    </w:p>
                    <w:p>
                      <w:pPr>
                        <w:pStyle w:val="TextBody"/>
                        <w:bidi w:val="0"/>
                        <w:spacing w:lineRule="auto" w:line="417" w:before="0" w:after="0"/>
                        <w:jc w:val="right"/>
                        <w:rPr>
                          <w:rFonts w:ascii="Adelle Sans Light;sans-serif" w:hAnsi="Adelle Sans Light;sans-serif"/>
                          <w:b w:val="false"/>
                          <w:color w:val="6D6D6D"/>
                          <w:sz w:val="18"/>
                        </w:rPr>
                      </w:pPr>
                      <w:r>
                        <w:rPr>
                          <w:rFonts w:ascii="Adelle Sans Light;sans-serif" w:hAnsi="Adelle Sans Light;sans-serif"/>
                          <w:b w:val="false"/>
                          <w:color w:val="6D6D6D"/>
                          <w:sz w:val="18"/>
                        </w:rPr>
                        <w:t>6</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rFonts w:ascii="Adelle Sans;sans-serif" w:hAnsi="Adelle Sans;sans-serif"/>
          <w:b/>
          <w:color w:val="000000"/>
          <w:sz w:val="22"/>
        </w:rPr>
      </w:pPr>
      <w:r>
        <w:rPr>
          <w:rFonts w:ascii="Adelle Sans;sans-serif" w:hAnsi="Adelle Sans;sans-serif"/>
          <w:b/>
          <w:color w:val="000000"/>
          <w:sz w:val="22"/>
        </w:rPr>
        <w:t>Constant Currency Analysis</w:t>
      </w:r>
    </w:p>
    <w:p>
      <w:pPr>
        <w:pStyle w:val="TextBody"/>
        <w:bidi w:val="0"/>
        <w:spacing w:lineRule="auto" w:line="288" w:before="0" w:after="200"/>
        <w:jc w:val="left"/>
        <w:rPr>
          <w:rFonts w:ascii="Adelle Sans Light;sans-serif" w:hAnsi="Adelle Sans Light;sans-serif"/>
          <w:b w:val="false"/>
          <w:color w:val="000000"/>
          <w:sz w:val="16"/>
        </w:rPr>
      </w:pPr>
      <w:r>
        <w:rPr>
          <w:rFonts w:ascii="Adelle Sans Light;sans-serif" w:hAnsi="Adelle Sans Light;sans-serif"/>
          <w:b w:val="false"/>
          <w:color w:val="000000"/>
          <w:sz w:val="16"/>
        </w:rPr>
        <w:t>(In US $ millions, except percentages)</w:t>
      </w:r>
    </w:p>
    <w:p>
      <w:pPr>
        <w:pStyle w:val="TextBody"/>
        <w:bidi w:val="0"/>
        <w:spacing w:lineRule="auto" w:line="417" w:before="0" w:after="200"/>
        <w:jc w:val="both"/>
        <w:rPr>
          <w:rFonts w:ascii="Adelle Sans Light;sans-serif" w:hAnsi="Adelle Sans Light;sans-serif"/>
          <w:b w:val="false"/>
          <w:color w:val="000000"/>
          <w:sz w:val="18"/>
        </w:rPr>
      </w:pPr>
      <w:r>
        <w:rPr>
          <w:rFonts w:ascii="Adelle Sans Light;sans-serif" w:hAnsi="Adelle Sans Light;sans-serif"/>
          <w:b w:val="false"/>
          <w:color w:val="000000"/>
          <w:sz w:val="18"/>
        </w:rPr>
        <w:t>The following table converts our GMV, revenues, gross profit, and operating income using the comparative period's monthly average exchange rates. We have provided the below disclosure as we believe it presents a clear comparison of our period-to-period operating results by removing the impact of fluctuations in foreign exchange rates and to assist investors in understanding our financial and operating performance. The table below and our Condensed Consolidated Statements of Operations disclosure are supplements to our Condensed Consolidated Financial Statements, which are prepared and presented in accordance with US GAAP (excluding GMV).</w:t>
      </w:r>
    </w:p>
    <w:tbl>
      <w:tblPr>
        <w:tblW w:w="10205" w:type="dxa"/>
        <w:jc w:val="left"/>
        <w:tblInd w:w="0" w:type="dxa"/>
        <w:tblLayout w:type="fixed"/>
        <w:tblCellMar>
          <w:top w:w="28" w:type="dxa"/>
          <w:left w:w="28" w:type="dxa"/>
          <w:bottom w:w="28" w:type="dxa"/>
          <w:right w:w="28" w:type="dxa"/>
        </w:tblCellMar>
      </w:tblPr>
      <w:tblGrid>
        <w:gridCol w:w="633"/>
        <w:gridCol w:w="388"/>
        <w:gridCol w:w="389"/>
        <w:gridCol w:w="353"/>
        <w:gridCol w:w="353"/>
        <w:gridCol w:w="496"/>
        <w:gridCol w:w="109"/>
        <w:gridCol w:w="109"/>
        <w:gridCol w:w="109"/>
        <w:gridCol w:w="203"/>
        <w:gridCol w:w="203"/>
        <w:gridCol w:w="492"/>
        <w:gridCol w:w="109"/>
        <w:gridCol w:w="109"/>
        <w:gridCol w:w="109"/>
        <w:gridCol w:w="368"/>
        <w:gridCol w:w="368"/>
        <w:gridCol w:w="917"/>
        <w:gridCol w:w="109"/>
        <w:gridCol w:w="109"/>
        <w:gridCol w:w="109"/>
        <w:gridCol w:w="296"/>
        <w:gridCol w:w="296"/>
        <w:gridCol w:w="743"/>
        <w:gridCol w:w="109"/>
        <w:gridCol w:w="109"/>
        <w:gridCol w:w="109"/>
        <w:gridCol w:w="264"/>
        <w:gridCol w:w="168"/>
        <w:gridCol w:w="423"/>
        <w:gridCol w:w="109"/>
        <w:gridCol w:w="109"/>
        <w:gridCol w:w="109"/>
        <w:gridCol w:w="246"/>
        <w:gridCol w:w="246"/>
        <w:gridCol w:w="725"/>
      </w:tblGrid>
      <w:tr>
        <w:trPr/>
        <w:tc>
          <w:tcPr>
            <w:tcW w:w="633"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8"/>
              </w:rPr>
            </w:pPr>
            <w:r>
              <w:rPr>
                <w:rFonts w:ascii="Adelle Sans;sans-serif" w:hAnsi="Adelle Sans;sans-serif"/>
                <w:b/>
                <w:color w:val="000000"/>
                <w:sz w:val="18"/>
              </w:rPr>
              <w:t>Three months ended June 30,</w:t>
            </w:r>
          </w:p>
        </w:tc>
      </w:tr>
      <w:tr>
        <w:trPr/>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6"/>
              </w:rPr>
            </w:pPr>
            <w:r>
              <w:rPr>
                <w:rFonts w:ascii="Adelle Sans;sans-serif" w:hAnsi="Adelle Sans;sans-serif"/>
                <w:b/>
                <w:color w:val="000000"/>
                <w:sz w:val="16"/>
              </w:rPr>
              <w:t>GMV</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6"/>
              </w:rPr>
            </w:pPr>
            <w:r>
              <w:rPr>
                <w:rFonts w:ascii="Adelle Sans;sans-serif" w:hAnsi="Adelle Sans;sans-serif"/>
                <w:b/>
                <w:color w:val="000000"/>
                <w:sz w:val="16"/>
              </w:rPr>
              <w:t>Revenue</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6"/>
              </w:rPr>
            </w:pPr>
            <w:r>
              <w:rPr>
                <w:rFonts w:ascii="Adelle Sans;sans-serif" w:hAnsi="Adelle Sans;sans-serif"/>
                <w:b/>
                <w:color w:val="000000"/>
                <w:sz w:val="16"/>
              </w:rPr>
              <w:t>Subscription solutions revenue</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6"/>
              </w:rPr>
            </w:pPr>
            <w:r>
              <w:rPr>
                <w:rFonts w:ascii="Adelle Sans;sans-serif" w:hAnsi="Adelle Sans;sans-serif"/>
                <w:b/>
                <w:color w:val="000000"/>
                <w:sz w:val="16"/>
              </w:rPr>
              <w:t>Merchant solutions revenue</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6"/>
              </w:rPr>
            </w:pPr>
            <w:r>
              <w:rPr>
                <w:rFonts w:ascii="Adelle Sans;sans-serif" w:hAnsi="Adelle Sans;sans-serif"/>
                <w:b/>
                <w:color w:val="000000"/>
                <w:sz w:val="16"/>
              </w:rPr>
              <w:t>Gross profit</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delle Sans;sans-serif" w:hAnsi="Adelle Sans;sans-serif"/>
                <w:b/>
                <w:color w:val="000000"/>
                <w:sz w:val="16"/>
              </w:rPr>
            </w:pPr>
            <w:r>
              <w:rPr>
                <w:rFonts w:ascii="Adelle Sans;sans-serif" w:hAnsi="Adelle Sans;sans-serif"/>
                <w:b/>
                <w:color w:val="000000"/>
                <w:sz w:val="16"/>
              </w:rPr>
              <w:t>Operating income</w:t>
            </w:r>
          </w:p>
        </w:tc>
      </w:tr>
      <w:tr>
        <w:trPr/>
        <w:tc>
          <w:tcPr>
            <w:tcW w:w="1410" w:type="dxa"/>
            <w:gridSpan w:val="3"/>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2025 as reported</w:t>
            </w:r>
          </w:p>
        </w:tc>
        <w:tc>
          <w:tcPr>
            <w:tcW w:w="1202" w:type="dxa"/>
            <w:gridSpan w:val="3"/>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87,837</w:t>
            </w:r>
          </w:p>
        </w:tc>
        <w:tc>
          <w:tcPr>
            <w:tcW w:w="327"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2,680</w:t>
            </w:r>
          </w:p>
        </w:tc>
        <w:tc>
          <w:tcPr>
            <w:tcW w:w="327"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656</w:t>
            </w:r>
          </w:p>
        </w:tc>
        <w:tc>
          <w:tcPr>
            <w:tcW w:w="327"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2,024</w:t>
            </w:r>
          </w:p>
        </w:tc>
        <w:tc>
          <w:tcPr>
            <w:tcW w:w="327"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1,302</w:t>
            </w:r>
          </w:p>
        </w:tc>
        <w:tc>
          <w:tcPr>
            <w:tcW w:w="327" w:type="dxa"/>
            <w:gridSpan w:val="3"/>
            <w:tcBorders>
              <w:top w:val="single" w:sz="8"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291</w:t>
            </w:r>
          </w:p>
        </w:tc>
      </w:tr>
      <w:tr>
        <w:trPr/>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2026 as reported</w:t>
            </w:r>
          </w:p>
        </w:tc>
        <w:tc>
          <w:tcPr>
            <w:tcW w:w="1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115,567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3,583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802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2,781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1,708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488</w:t>
            </w:r>
          </w:p>
        </w:tc>
      </w:tr>
      <w:tr>
        <w:trPr/>
        <w:tc>
          <w:tcPr>
            <w:tcW w:w="1410"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Percentage change YoY</w:t>
            </w:r>
          </w:p>
        </w:tc>
        <w:tc>
          <w:tcPr>
            <w:tcW w:w="706"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32</w:t>
            </w:r>
          </w:p>
        </w:tc>
        <w:tc>
          <w:tcPr>
            <w:tcW w:w="496" w:type="dxa"/>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w:t>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34</w:t>
            </w:r>
          </w:p>
        </w:tc>
        <w:tc>
          <w:tcPr>
            <w:tcW w:w="492" w:type="dxa"/>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w:t>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22</w:t>
            </w:r>
          </w:p>
        </w:tc>
        <w:tc>
          <w:tcPr>
            <w:tcW w:w="917" w:type="dxa"/>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w:t>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37</w:t>
            </w:r>
          </w:p>
        </w:tc>
        <w:tc>
          <w:tcPr>
            <w:tcW w:w="743" w:type="dxa"/>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w:t>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31</w:t>
            </w:r>
          </w:p>
        </w:tc>
        <w:tc>
          <w:tcPr>
            <w:tcW w:w="423" w:type="dxa"/>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w:t>
            </w:r>
          </w:p>
        </w:tc>
        <w:tc>
          <w:tcPr>
            <w:tcW w:w="327" w:type="dxa"/>
            <w:gridSpan w:val="3"/>
            <w:tcBorders/>
            <w:shd w:fill="F7F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F7F7F7" w:val="clear"/>
            <w:tcMar>
              <w:top w:w="0"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68</w:t>
            </w:r>
          </w:p>
        </w:tc>
        <w:tc>
          <w:tcPr>
            <w:tcW w:w="725" w:type="dxa"/>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w:t>
            </w:r>
          </w:p>
        </w:tc>
      </w:tr>
      <w:tr>
        <w:trPr/>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Constant currency impact</w:t>
            </w:r>
          </w:p>
        </w:tc>
        <w:tc>
          <w:tcPr>
            <w:tcW w:w="70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1,149 </w:t>
            </w:r>
          </w:p>
        </w:tc>
        <w:tc>
          <w:tcPr>
            <w:tcW w:w="49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16 </w:t>
            </w:r>
          </w:p>
        </w:tc>
        <w:tc>
          <w:tcPr>
            <w:tcW w:w="492"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3 </w:t>
            </w:r>
          </w:p>
        </w:tc>
        <w:tc>
          <w:tcPr>
            <w:tcW w:w="917"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44 </w:t>
            </w:r>
          </w:p>
        </w:tc>
        <w:tc>
          <w:tcPr>
            <w:tcW w:w="743"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12 </w:t>
            </w:r>
          </w:p>
        </w:tc>
        <w:tc>
          <w:tcPr>
            <w:tcW w:w="423"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11 </w:t>
            </w:r>
          </w:p>
        </w:tc>
        <w:tc>
          <w:tcPr>
            <w:tcW w:w="725"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shd w:fill="F7F7F7" w:val="clear"/>
            <w:tcMar>
              <w:top w:w="0"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 xml:space="preserve">Percentage change YoY </w:t>
              <w:br/>
              <w:t>constant currency</w:t>
            </w:r>
          </w:p>
        </w:tc>
        <w:tc>
          <w:tcPr>
            <w:tcW w:w="706" w:type="dxa"/>
            <w:gridSpan w:val="2"/>
            <w:tcBorders>
              <w:top w:val="single" w:sz="4"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30</w:t>
            </w:r>
          </w:p>
        </w:tc>
        <w:tc>
          <w:tcPr>
            <w:tcW w:w="496" w:type="dxa"/>
            <w:tcBorders>
              <w:top w:val="single" w:sz="4"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w:t>
            </w:r>
          </w:p>
        </w:tc>
        <w:tc>
          <w:tcPr>
            <w:tcW w:w="327" w:type="dxa"/>
            <w:gridSpan w:val="3"/>
            <w:tcBorders>
              <w:top w:val="single" w:sz="4"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33</w:t>
            </w:r>
          </w:p>
        </w:tc>
        <w:tc>
          <w:tcPr>
            <w:tcW w:w="492" w:type="dxa"/>
            <w:tcBorders>
              <w:top w:val="single" w:sz="4"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w:t>
            </w:r>
          </w:p>
        </w:tc>
        <w:tc>
          <w:tcPr>
            <w:tcW w:w="327" w:type="dxa"/>
            <w:gridSpan w:val="3"/>
            <w:tcBorders>
              <w:top w:val="single" w:sz="4"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22</w:t>
            </w:r>
          </w:p>
        </w:tc>
        <w:tc>
          <w:tcPr>
            <w:tcW w:w="917" w:type="dxa"/>
            <w:tcBorders>
              <w:top w:val="single" w:sz="4"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w:t>
            </w:r>
          </w:p>
        </w:tc>
        <w:tc>
          <w:tcPr>
            <w:tcW w:w="327" w:type="dxa"/>
            <w:gridSpan w:val="3"/>
            <w:tcBorders>
              <w:top w:val="single" w:sz="4"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top w:val="single" w:sz="4"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35</w:t>
            </w:r>
          </w:p>
        </w:tc>
        <w:tc>
          <w:tcPr>
            <w:tcW w:w="743" w:type="dxa"/>
            <w:tcBorders>
              <w:top w:val="single" w:sz="4"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w:t>
            </w:r>
          </w:p>
        </w:tc>
        <w:tc>
          <w:tcPr>
            <w:tcW w:w="327" w:type="dxa"/>
            <w:gridSpan w:val="3"/>
            <w:tcBorders>
              <w:top w:val="single" w:sz="4"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top w:val="single" w:sz="4"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30</w:t>
            </w:r>
          </w:p>
        </w:tc>
        <w:tc>
          <w:tcPr>
            <w:tcW w:w="423" w:type="dxa"/>
            <w:tcBorders>
              <w:top w:val="single" w:sz="4"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w:t>
            </w:r>
          </w:p>
        </w:tc>
        <w:tc>
          <w:tcPr>
            <w:tcW w:w="327" w:type="dxa"/>
            <w:gridSpan w:val="3"/>
            <w:tcBorders>
              <w:top w:val="single" w:sz="4" w:space="0" w:color="000000"/>
            </w:tcBorders>
            <w:shd w:fill="F7F7F7"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op w:val="single" w:sz="4"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right"/>
              <w:rPr>
                <w:rFonts w:ascii="Adelle Sans;sans-serif" w:hAnsi="Adelle Sans;sans-serif"/>
                <w:b w:val="false"/>
                <w:color w:val="000000"/>
                <w:sz w:val="18"/>
              </w:rPr>
            </w:pPr>
            <w:r>
              <w:rPr>
                <w:rFonts w:ascii="Adelle Sans;sans-serif" w:hAnsi="Adelle Sans;sans-serif"/>
                <w:b w:val="false"/>
                <w:color w:val="000000"/>
                <w:sz w:val="18"/>
              </w:rPr>
              <w:t>64</w:t>
            </w:r>
          </w:p>
        </w:tc>
        <w:tc>
          <w:tcPr>
            <w:tcW w:w="725" w:type="dxa"/>
            <w:tcBorders>
              <w:top w:val="single" w:sz="4" w:space="0" w:color="000000"/>
            </w:tcBorders>
            <w:shd w:fill="F7F7F7" w:val="clear"/>
            <w:tcMar>
              <w:top w:w="52" w:type="dxa"/>
              <w:left w:w="0" w:type="dxa"/>
              <w:bottom w:w="0" w:type="dxa"/>
              <w:right w:w="0" w:type="dxa"/>
            </w:tcMar>
            <w:vAlign w:val="center"/>
          </w:tcPr>
          <w:p>
            <w:pPr>
              <w:pStyle w:val="TableContents"/>
              <w:bidi w:val="0"/>
              <w:spacing w:lineRule="auto" w:line="240" w:before="0" w:after="283"/>
              <w:jc w:val="left"/>
              <w:rPr>
                <w:rFonts w:ascii="Adelle Sans;sans-serif" w:hAnsi="Adelle Sans;sans-serif"/>
                <w:b w:val="false"/>
                <w:color w:val="000000"/>
                <w:sz w:val="18"/>
              </w:rPr>
            </w:pPr>
            <w:r>
              <w:rPr>
                <w:rFonts w:ascii="Adelle Sans;sans-serif" w:hAnsi="Adelle Sans;sans-serif"/>
                <w:b w:val="false"/>
                <w:color w:val="000000"/>
                <w:sz w:val="18"/>
              </w:rPr>
              <w:t>%</w:t>
            </w:r>
          </w:p>
        </w:tc>
      </w:tr>
      <w:tr>
        <w:trPr/>
        <w:tc>
          <w:tcPr>
            <w:tcW w:w="1410"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r>
      <w:tr>
        <w:trPr/>
        <w:tc>
          <w:tcPr>
            <w:tcW w:w="1410"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7593" w:type="dxa"/>
            <w:gridSpan w:val="30"/>
            <w:tcBorders/>
          </w:tcPr>
          <w:p>
            <w:pPr>
              <w:pStyle w:val="TableContents"/>
              <w:bidi w:val="0"/>
              <w:spacing w:before="0" w:after="283"/>
              <w:jc w:val="left"/>
              <w:rPr>
                <w:sz w:val="4"/>
                <w:szCs w:val="4"/>
              </w:rPr>
            </w:pPr>
            <w:r>
              <w:rPr>
                <w:sz w:val="4"/>
                <w:szCs w:val="4"/>
              </w:rPr>
            </w:r>
          </w:p>
        </w:tc>
      </w:tr>
      <w:tr>
        <w:trPr/>
        <w:tc>
          <w:tcPr>
            <w:tcW w:w="1410"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r>
      <w:tr>
        <w:trPr/>
        <w:tc>
          <w:tcPr>
            <w:tcW w:w="1410"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r>
      <w:tr>
        <w:trPr/>
        <w:tc>
          <w:tcPr>
            <w:tcW w:w="1410"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r>
      <w:tr>
        <w:trPr/>
        <w:tc>
          <w:tcPr>
            <w:tcW w:w="1410"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r>
      <w:tr>
        <w:trPr/>
        <w:tc>
          <w:tcPr>
            <w:tcW w:w="1410"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r>
      <w:tr>
        <w:trPr/>
        <w:tc>
          <w:tcPr>
            <w:tcW w:w="1410"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drawing>
          <wp:inline distT="0" distB="0" distL="0" distR="0">
            <wp:extent cx="1276350" cy="352425"/>
            <wp:effectExtent l="0" t="0" r="0" b="0"/>
            <wp:docPr id="18"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9" descr=""/>
                    <pic:cNvPicPr>
                      <a:picLocks noChangeAspect="1" noChangeArrowheads="1"/>
                    </pic:cNvPicPr>
                  </pic:nvPicPr>
                  <pic:blipFill>
                    <a:blip r:embed="rId10"/>
                    <a:stretch>
                      <a:fillRect/>
                    </a:stretch>
                  </pic:blipFill>
                  <pic:spPr bwMode="auto">
                    <a:xfrm>
                      <a:off x="0" y="0"/>
                      <a:ext cx="1276350" cy="352425"/>
                    </a:xfrm>
                    <a:prstGeom prst="rect">
                      <a:avLst/>
                    </a:prstGeom>
                  </pic:spPr>
                </pic:pic>
              </a:graphicData>
            </a:graphic>
          </wp:inline>
        </w:drawing>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407035"/>
                <wp:effectExtent l="0" t="0" r="0" b="0"/>
                <wp:wrapNone/>
                <wp:docPr id="19" name="Frame10"/>
                <a:graphic xmlns:a="http://schemas.openxmlformats.org/drawingml/2006/main">
                  <a:graphicData uri="http://schemas.microsoft.com/office/word/2010/wordprocessingShape">
                    <wps:wsp>
                      <wps:cNvSpPr txBox="1"/>
                      <wps:spPr>
                        <a:xfrm>
                          <a:off x="0" y="0"/>
                          <a:ext cx="6480175" cy="407035"/>
                        </a:xfrm>
                        <a:prstGeom prst="rect"/>
                        <a:solidFill>
                          <a:srgbClr val="FFFFFF"/>
                        </a:solidFill>
                      </wps:spPr>
                      <wps:txbx>
                        <w:txbxContent>
                          <w:p>
                            <w:pPr>
                              <w:pStyle w:val="TextBody"/>
                              <w:bidi w:val="0"/>
                              <w:spacing w:lineRule="auto" w:line="417" w:before="0" w:after="0"/>
                              <w:ind w:left="0" w:right="0" w:hanging="90"/>
                              <w:jc w:val="right"/>
                              <w:rPr>
                                <w:rFonts w:ascii="Adelle Sans Light;sans-serif" w:hAnsi="Adelle Sans Light;sans-serif"/>
                                <w:b w:val="false"/>
                                <w:color w:val="6D6D6D"/>
                                <w:sz w:val="18"/>
                              </w:rPr>
                            </w:pPr>
                            <w:r>
                              <w:rPr>
                                <w:rFonts w:ascii="Adelle Sans Light;sans-serif" w:hAnsi="Adelle Sans Light;sans-serif"/>
                                <w:b w:val="false"/>
                                <w:color w:val="6D6D6D"/>
                                <w:sz w:val="18"/>
                              </w:rPr>
                              <w:t>7</w:t>
                            </w:r>
                            <w:r>
                              <w:br w:type="page"/>
                            </w:r>
                          </w:p>
                          <w:p>
                            <w:pPr>
                              <w:pStyle w:val="TextBody"/>
                              <w:bidi w:val="0"/>
                              <w:spacing w:before="0" w:after="160"/>
                              <w:ind w:left="0" w:right="0" w:hanging="9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17" w:before="0" w:after="0"/>
                        <w:ind w:left="0" w:right="0" w:hanging="90"/>
                        <w:jc w:val="right"/>
                        <w:rPr>
                          <w:rFonts w:ascii="Adelle Sans Light;sans-serif" w:hAnsi="Adelle Sans Light;sans-serif"/>
                          <w:b w:val="false"/>
                          <w:color w:val="6D6D6D"/>
                          <w:sz w:val="18"/>
                        </w:rPr>
                      </w:pPr>
                      <w:r>
                        <w:rPr>
                          <w:rFonts w:ascii="Adelle Sans Light;sans-serif" w:hAnsi="Adelle Sans Light;sans-serif"/>
                          <w:b w:val="false"/>
                          <w:color w:val="6D6D6D"/>
                          <w:sz w:val="18"/>
                        </w:rPr>
                        <w:t>7</w:t>
                      </w:r>
                    </w:p>
                    <w:p>
                      <w:pPr>
                        <w:pStyle w:val="TextBody"/>
                        <w:bidi w:val="0"/>
                        <w:spacing w:before="0" w:after="160"/>
                        <w:ind w:left="0" w:right="0" w:hanging="90"/>
                        <w:jc w:val="right"/>
                        <w:rPr/>
                      </w:pPr>
                      <w:r>
                        <w:rPr/>
                      </w:r>
                    </w:p>
                  </w:txbxContent>
                </v:textbox>
                <w10:wrap type="none"/>
              </v:rect>
            </w:pict>
          </mc:Fallback>
        </mc:AlternateContent>
      </w:r>
    </w:p>
    <w:p>
      <w:pPr>
        <w:pStyle w:val="TextBody"/>
        <w:bidi w:val="0"/>
        <w:spacing w:lineRule="auto" w:line="288" w:before="0" w:after="200"/>
        <w:jc w:val="left"/>
        <w:rPr>
          <w:rFonts w:ascii="Adelle Sans;sans-serif" w:hAnsi="Adelle Sans;sans-serif"/>
          <w:b/>
          <w:color w:val="000000"/>
          <w:sz w:val="22"/>
        </w:rPr>
      </w:pPr>
      <w:r>
        <w:rPr>
          <w:rFonts w:ascii="Adelle Sans;sans-serif" w:hAnsi="Adelle Sans;sans-serif"/>
          <w:b/>
          <w:color w:val="000000"/>
          <w:sz w:val="22"/>
        </w:rPr>
        <w:t>Regulatory Disclosures and Forward-looking Statements</w:t>
      </w:r>
    </w:p>
    <w:p>
      <w:pPr>
        <w:pStyle w:val="TextBody"/>
        <w:bidi w:val="0"/>
        <w:spacing w:lineRule="auto" w:line="288" w:before="0" w:after="200"/>
        <w:jc w:val="left"/>
        <w:rPr>
          <w:rFonts w:ascii="Adelle Sans;sans-serif" w:hAnsi="Adelle Sans;sans-serif"/>
          <w:b/>
          <w:color w:val="000000"/>
          <w:sz w:val="20"/>
        </w:rPr>
      </w:pPr>
      <w:r>
        <w:rPr>
          <w:rFonts w:ascii="Adelle Sans;sans-serif" w:hAnsi="Adelle Sans;sans-serif"/>
          <w:b/>
          <w:color w:val="000000"/>
          <w:sz w:val="20"/>
        </w:rPr>
        <w:t xml:space="preserve">Advisory Regarding Forward-looking Statements </w:t>
      </w:r>
    </w:p>
    <w:p>
      <w:pPr>
        <w:pStyle w:val="TextBody"/>
        <w:bidi w:val="0"/>
        <w:spacing w:lineRule="auto" w:line="417" w:before="0" w:after="200"/>
        <w:jc w:val="both"/>
        <w:rPr/>
      </w:pPr>
      <w:r>
        <w:rPr>
          <w:rFonts w:ascii="Adelle Sans Light;sans-serif" w:hAnsi="Adelle Sans Light;sans-serif"/>
          <w:b w:val="false"/>
          <w:color w:val="000000"/>
          <w:sz w:val="18"/>
        </w:rPr>
        <w:t xml:space="preserve">This press release contains forward-looking statements and forward-looking information (collectively, “forward-looking statements“), including statements related to Shopify’s financial outlook, such as expected revenue and expenses for the next fiscal quarter, Shopify's expectations regarding its ability to support merchants as they scale, and Shopify's expectations regarding the development of emerging technologies, including AI. These statements can be identified by words such as “will“ and “expect“ and are based on Shopify's current projections and expectations about future events and financial results. Known and unknown risks may cause actual results to differ materially from those described in the forward-looking statements. These risks include, but are not limited to, the Company’s ability to maintain expected growth and manage expenses, the impact of changes in economic conditions and consumer spending in key markets such as the United States, Europe, and globally, the impact of measures that affect international trade, including tariffs, the adoption and impact of emerging technologies such as AI, our reliance on third-party providers to deliver services, a cyberattack or security breach, and serious errors or defects in software or hardware. Other factors and risks that may cause actual results to differ materially from those set out in the forward-looking statements are set out in Shopify's Form 10-Q under the heading “Risk Factors“ and other filings made with US and Canadian securities regulators, available at </w:t>
      </w:r>
      <w:r>
        <w:rPr>
          <w:rFonts w:ascii="Adelle Sans Light;sans-serif" w:hAnsi="Adelle Sans Light;sans-serif"/>
          <w:b w:val="false"/>
          <w:color w:val="14896B"/>
          <w:sz w:val="18"/>
          <w:u w:val="single"/>
        </w:rPr>
        <w:t>www.sec.gov</w:t>
      </w:r>
      <w:r>
        <w:rPr>
          <w:color w:val="000000"/>
        </w:rPr>
        <w:t xml:space="preserve"> </w:t>
      </w:r>
      <w:r>
        <w:rPr>
          <w:rFonts w:ascii="Adelle Sans Light;sans-serif" w:hAnsi="Adelle Sans Light;sans-serif"/>
          <w:b w:val="false"/>
          <w:color w:val="000000"/>
          <w:sz w:val="18"/>
        </w:rPr>
        <w:t xml:space="preserve">and </w:t>
      </w:r>
      <w:r>
        <w:rPr>
          <w:rFonts w:ascii="Adelle Sans Light;sans-serif" w:hAnsi="Adelle Sans Light;sans-serif"/>
          <w:b w:val="false"/>
          <w:color w:val="14896B"/>
          <w:sz w:val="18"/>
          <w:u w:val="single"/>
        </w:rPr>
        <w:t>www.sedarplus.ca</w:t>
      </w:r>
      <w:r>
        <w:rPr>
          <w:rFonts w:ascii="Adelle Sans Light;sans-serif" w:hAnsi="Adelle Sans Light;sans-serif"/>
          <w:b w:val="false"/>
          <w:color w:val="000000"/>
          <w:sz w:val="18"/>
        </w:rPr>
        <w:t>. Undue reliance should not be placed on the forward-looking statements in this press release, which are based on information available to management on the date hereof and represent management’s beliefs regarding future events, projections, and financial trends, which, by their nature, are inherently uncertain. The forward-looking statements are provided to give additional information about management’s expectations and beliefs and may not be appropriate for other purposes. Shopify undertakes no duty to publicly update or revise any forward-looking statements, except as may be required by law.</w:t>
      </w:r>
    </w:p>
    <w:p>
      <w:pPr>
        <w:pStyle w:val="TextBody"/>
        <w:bidi w:val="0"/>
        <w:spacing w:before="0" w:after="20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058035"/>
                <wp:effectExtent l="0" t="0" r="0" b="0"/>
                <wp:wrapNone/>
                <wp:docPr id="20" name="Frame11"/>
                <a:graphic xmlns:a="http://schemas.openxmlformats.org/drawingml/2006/main">
                  <a:graphicData uri="http://schemas.microsoft.com/office/word/2010/wordprocessingShape">
                    <wps:wsp>
                      <wps:cNvSpPr txBox="1"/>
                      <wps:spPr>
                        <a:xfrm>
                          <a:off x="0" y="0"/>
                          <a:ext cx="6480175" cy="2058035"/>
                        </a:xfrm>
                        <a:prstGeom prst="rect"/>
                        <a:solidFill>
                          <a:srgbClr val="FFFFFF"/>
                        </a:solidFill>
                      </wps:spPr>
                      <wps:txbx>
                        <w:txbxContent>
                          <w:p>
                            <w:pPr>
                              <w:pStyle w:val="TextBody"/>
                              <w:bidi w:val="0"/>
                              <w:spacing w:lineRule="auto" w:line="288" w:before="0" w:after="120"/>
                              <w:jc w:val="left"/>
                              <w:rPr>
                                <w:rFonts w:ascii="Adelle Sans Light;sans-serif" w:hAnsi="Adelle Sans Light;sans-serif"/>
                                <w:b w:val="false"/>
                                <w:color w:val="6D6D6D"/>
                                <w:sz w:val="12"/>
                                <w:shd w:fill="FFFFFF" w:val="clear"/>
                              </w:rPr>
                            </w:pPr>
                            <w:r>
                              <w:rPr>
                                <w:rFonts w:ascii="Adelle Sans Light;sans-serif" w:hAnsi="Adelle Sans Light;sans-serif"/>
                                <w:b w:val="false"/>
                                <w:color w:val="6D6D6D"/>
                                <w:sz w:val="12"/>
                                <w:shd w:fill="FFFFFF" w:val="clear"/>
                              </w:rPr>
                              <w:t xml:space="preserve">Endnotes: </w:t>
                            </w:r>
                            <w:r>
                              <w:br w:type="page"/>
                            </w:r>
                          </w:p>
                          <w:p>
                            <w:pPr>
                              <w:pStyle w:val="TextBody"/>
                              <w:bidi w:val="0"/>
                              <w:spacing w:lineRule="auto" w:line="288" w:before="0" w:after="120"/>
                              <w:jc w:val="left"/>
                              <w:rPr/>
                            </w:pPr>
                            <w:r>
                              <w:rPr>
                                <w:rFonts w:ascii="Adelle Sans Light;sans-serif" w:hAnsi="Adelle Sans Light;sans-serif"/>
                                <w:b w:val="false"/>
                                <w:i/>
                                <w:color w:val="6D6D6D"/>
                                <w:sz w:val="12"/>
                                <w:shd w:fill="FFFFFF" w:val="clear"/>
                              </w:rPr>
                              <w:t>Gross Merchandise Volume,</w:t>
                            </w:r>
                            <w:r>
                              <w:rPr>
                                <w:color w:val="6D6D6D"/>
                                <w:shd w:fill="FFFFFF" w:val="clear"/>
                              </w:rPr>
                              <w:t xml:space="preserve"> </w:t>
                            </w:r>
                            <w:r>
                              <w:rPr>
                                <w:rFonts w:ascii="Adelle Sans Light;sans-serif" w:hAnsi="Adelle Sans Light;sans-serif"/>
                                <w:b w:val="false"/>
                                <w:color w:val="6D6D6D"/>
                                <w:sz w:val="12"/>
                                <w:shd w:fill="FFFFFF" w:val="clear"/>
                              </w:rPr>
                              <w:t xml:space="preserve">or GMV, represents the total dollar value of orders facilitated through the Shopify platform including certain apps and channels for which a revenue-sharing arrangement is in place in the period, net of refunds, and inclusive of shipping and handling, duty, and value-added taxes. </w:t>
                            </w:r>
                          </w:p>
                          <w:p>
                            <w:pPr>
                              <w:pStyle w:val="TextBody"/>
                              <w:bidi w:val="0"/>
                              <w:spacing w:lineRule="auto" w:line="288" w:before="0" w:after="120"/>
                              <w:jc w:val="left"/>
                              <w:rPr/>
                            </w:pPr>
                            <w:r>
                              <w:rPr>
                                <w:rFonts w:ascii="Adelle Sans Light;sans-serif" w:hAnsi="Adelle Sans Light;sans-serif"/>
                                <w:b w:val="false"/>
                                <w:i/>
                                <w:color w:val="6D6D6D"/>
                                <w:sz w:val="12"/>
                                <w:shd w:fill="FFFFFF" w:val="clear"/>
                              </w:rPr>
                              <w:t>Monthly Recurring Revenue</w:t>
                            </w:r>
                            <w:r>
                              <w:rPr>
                                <w:rFonts w:ascii="Adelle Sans Light;sans-serif" w:hAnsi="Adelle Sans Light;sans-serif"/>
                                <w:b w:val="false"/>
                                <w:color w:val="6D6D6D"/>
                                <w:sz w:val="12"/>
                                <w:shd w:fill="FFFFFF" w:val="clear"/>
                              </w:rPr>
                              <w:t>, or MRR, is the aggregate value of all subscription plans, excluding variable platform fees, in effect on the last day of the period, assuming merchants maintain their subscription the following month and is used by management as a directional indicator of subscription solutions revenue going forward.</w:t>
                            </w:r>
                          </w:p>
                          <w:p>
                            <w:pPr>
                              <w:pStyle w:val="TextBody"/>
                              <w:bidi w:val="0"/>
                              <w:spacing w:lineRule="auto" w:line="288" w:before="0" w:after="120"/>
                              <w:jc w:val="left"/>
                              <w:rPr/>
                            </w:pPr>
                            <w:r>
                              <w:rPr>
                                <w:rFonts w:ascii="Adelle Sans Light;sans-serif" w:hAnsi="Adelle Sans Light;sans-serif"/>
                                <w:b w:val="false"/>
                                <w:i/>
                                <w:color w:val="6D6D6D"/>
                                <w:sz w:val="12"/>
                                <w:shd w:fill="FFFFFF" w:val="clear"/>
                              </w:rPr>
                              <w:t>Free cash flow</w:t>
                            </w:r>
                            <w:r>
                              <w:rPr>
                                <w:color w:val="6D6D6D"/>
                                <w:shd w:fill="FFFFFF" w:val="clear"/>
                              </w:rPr>
                              <w:t xml:space="preserve"> </w:t>
                            </w:r>
                            <w:r>
                              <w:rPr>
                                <w:rFonts w:ascii="Adelle Sans Light;sans-serif" w:hAnsi="Adelle Sans Light;sans-serif"/>
                                <w:b w:val="false"/>
                                <w:color w:val="6D6D6D"/>
                                <w:sz w:val="12"/>
                                <w:shd w:fill="FFFFFF" w:val="clear"/>
                              </w:rPr>
                              <w:t xml:space="preserve">and </w:t>
                            </w:r>
                            <w:r>
                              <w:rPr>
                                <w:rFonts w:ascii="Adelle Sans Light;sans-serif" w:hAnsi="Adelle Sans Light;sans-serif"/>
                                <w:b w:val="false"/>
                                <w:i/>
                                <w:color w:val="6D6D6D"/>
                                <w:sz w:val="12"/>
                                <w:shd w:fill="FFFFFF" w:val="clear"/>
                              </w:rPr>
                              <w:t>free cash flow margin</w:t>
                            </w:r>
                            <w:r>
                              <w:rPr>
                                <w:color w:val="6D6D6D"/>
                                <w:shd w:fill="FFFFFF" w:val="clear"/>
                              </w:rPr>
                              <w:t xml:space="preserve"> </w:t>
                            </w:r>
                            <w:r>
                              <w:rPr>
                                <w:rFonts w:ascii="Adelle Sans Light;sans-serif" w:hAnsi="Adelle Sans Light;sans-serif"/>
                                <w:b w:val="false"/>
                                <w:color w:val="6D6D6D"/>
                                <w:sz w:val="12"/>
                                <w:shd w:fill="FFFFFF" w:val="clear"/>
                              </w:rPr>
                              <w:t xml:space="preserve">are non-GAAP financial measures that are reconciled in the non-GAAP reconciliation within this press release. These non-GAAP financial measures do not have standardized meanings under US GAAP and may not be comparable to similar measures presented by other companies. Shopify believes free cash flow and free cash flow margin provide useful information to help investors and others understand our operating results and the performance of our business in the same manner as management. Shopify does not reconcile forward-looking non-GAAP free cash flow margin because certain financial information, the probable significance of which cannot be determined, is not available and cannot be reasonably estimated. Free cash flow is a non-GAAP financial measure calculated as cash flow from operations less capital expenditures. </w:t>
                            </w:r>
                          </w:p>
                          <w:p>
                            <w:pPr>
                              <w:pStyle w:val="TextBody"/>
                              <w:bidi w:val="0"/>
                              <w:spacing w:lineRule="auto" w:line="417" w:before="0" w:after="0"/>
                              <w:ind w:left="0" w:right="0" w:hanging="90"/>
                              <w:jc w:val="right"/>
                              <w:rPr>
                                <w:rFonts w:ascii="Adelle Sans Light;sans-serif" w:hAnsi="Adelle Sans Light;sans-serif"/>
                                <w:b w:val="false"/>
                                <w:color w:val="6D6D6D"/>
                                <w:sz w:val="18"/>
                              </w:rPr>
                            </w:pPr>
                            <w:r>
                              <w:rPr>
                                <w:rFonts w:ascii="Adelle Sans Light;sans-serif" w:hAnsi="Adelle Sans Light;sans-serif"/>
                                <w:b w:val="false"/>
                                <w:color w:val="6D6D6D"/>
                                <w:sz w:val="18"/>
                              </w:rPr>
                              <w:t>8</w:t>
                            </w:r>
                          </w:p>
                          <w:p>
                            <w:pPr>
                              <w:pStyle w:val="TextBody"/>
                              <w:bidi w:val="0"/>
                              <w:spacing w:before="0" w:after="0"/>
                              <w:ind w:left="0" w:right="0" w:hanging="9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left"/>
                        <w:rPr>
                          <w:rFonts w:ascii="Adelle Sans Light;sans-serif" w:hAnsi="Adelle Sans Light;sans-serif"/>
                          <w:b w:val="false"/>
                          <w:color w:val="6D6D6D"/>
                          <w:sz w:val="12"/>
                          <w:shd w:fill="FFFFFF" w:val="clear"/>
                        </w:rPr>
                      </w:pPr>
                      <w:r>
                        <w:rPr>
                          <w:rFonts w:ascii="Adelle Sans Light;sans-serif" w:hAnsi="Adelle Sans Light;sans-serif"/>
                          <w:b w:val="false"/>
                          <w:color w:val="6D6D6D"/>
                          <w:sz w:val="12"/>
                          <w:shd w:fill="FFFFFF" w:val="clear"/>
                        </w:rPr>
                        <w:t xml:space="preserve">Endnotes: </w:t>
                      </w:r>
                    </w:p>
                    <w:p>
                      <w:pPr>
                        <w:pStyle w:val="TextBody"/>
                        <w:bidi w:val="0"/>
                        <w:spacing w:lineRule="auto" w:line="288" w:before="0" w:after="120"/>
                        <w:jc w:val="left"/>
                        <w:rPr/>
                      </w:pPr>
                      <w:r>
                        <w:rPr>
                          <w:rFonts w:ascii="Adelle Sans Light;sans-serif" w:hAnsi="Adelle Sans Light;sans-serif"/>
                          <w:b w:val="false"/>
                          <w:i/>
                          <w:color w:val="6D6D6D"/>
                          <w:sz w:val="12"/>
                          <w:shd w:fill="FFFFFF" w:val="clear"/>
                        </w:rPr>
                        <w:t>Gross Merchandise Volume,</w:t>
                      </w:r>
                      <w:r>
                        <w:rPr>
                          <w:color w:val="6D6D6D"/>
                          <w:shd w:fill="FFFFFF" w:val="clear"/>
                        </w:rPr>
                        <w:t xml:space="preserve"> </w:t>
                      </w:r>
                      <w:r>
                        <w:rPr>
                          <w:rFonts w:ascii="Adelle Sans Light;sans-serif" w:hAnsi="Adelle Sans Light;sans-serif"/>
                          <w:b w:val="false"/>
                          <w:color w:val="6D6D6D"/>
                          <w:sz w:val="12"/>
                          <w:shd w:fill="FFFFFF" w:val="clear"/>
                        </w:rPr>
                        <w:t xml:space="preserve">or GMV, represents the total dollar value of orders facilitated through the Shopify platform including certain apps and channels for which a revenue-sharing arrangement is in place in the period, net of refunds, and inclusive of shipping and handling, duty, and value-added taxes. </w:t>
                      </w:r>
                    </w:p>
                    <w:p>
                      <w:pPr>
                        <w:pStyle w:val="TextBody"/>
                        <w:bidi w:val="0"/>
                        <w:spacing w:lineRule="auto" w:line="288" w:before="0" w:after="120"/>
                        <w:jc w:val="left"/>
                        <w:rPr/>
                      </w:pPr>
                      <w:r>
                        <w:rPr>
                          <w:rFonts w:ascii="Adelle Sans Light;sans-serif" w:hAnsi="Adelle Sans Light;sans-serif"/>
                          <w:b w:val="false"/>
                          <w:i/>
                          <w:color w:val="6D6D6D"/>
                          <w:sz w:val="12"/>
                          <w:shd w:fill="FFFFFF" w:val="clear"/>
                        </w:rPr>
                        <w:t>Monthly Recurring Revenue</w:t>
                      </w:r>
                      <w:r>
                        <w:rPr>
                          <w:rFonts w:ascii="Adelle Sans Light;sans-serif" w:hAnsi="Adelle Sans Light;sans-serif"/>
                          <w:b w:val="false"/>
                          <w:color w:val="6D6D6D"/>
                          <w:sz w:val="12"/>
                          <w:shd w:fill="FFFFFF" w:val="clear"/>
                        </w:rPr>
                        <w:t>, or MRR, is the aggregate value of all subscription plans, excluding variable platform fees, in effect on the last day of the period, assuming merchants maintain their subscription the following month and is used by management as a directional indicator of subscription solutions revenue going forward.</w:t>
                      </w:r>
                    </w:p>
                    <w:p>
                      <w:pPr>
                        <w:pStyle w:val="TextBody"/>
                        <w:bidi w:val="0"/>
                        <w:spacing w:lineRule="auto" w:line="288" w:before="0" w:after="120"/>
                        <w:jc w:val="left"/>
                        <w:rPr/>
                      </w:pPr>
                      <w:r>
                        <w:rPr>
                          <w:rFonts w:ascii="Adelle Sans Light;sans-serif" w:hAnsi="Adelle Sans Light;sans-serif"/>
                          <w:b w:val="false"/>
                          <w:i/>
                          <w:color w:val="6D6D6D"/>
                          <w:sz w:val="12"/>
                          <w:shd w:fill="FFFFFF" w:val="clear"/>
                        </w:rPr>
                        <w:t>Free cash flow</w:t>
                      </w:r>
                      <w:r>
                        <w:rPr>
                          <w:color w:val="6D6D6D"/>
                          <w:shd w:fill="FFFFFF" w:val="clear"/>
                        </w:rPr>
                        <w:t xml:space="preserve"> </w:t>
                      </w:r>
                      <w:r>
                        <w:rPr>
                          <w:rFonts w:ascii="Adelle Sans Light;sans-serif" w:hAnsi="Adelle Sans Light;sans-serif"/>
                          <w:b w:val="false"/>
                          <w:color w:val="6D6D6D"/>
                          <w:sz w:val="12"/>
                          <w:shd w:fill="FFFFFF" w:val="clear"/>
                        </w:rPr>
                        <w:t xml:space="preserve">and </w:t>
                      </w:r>
                      <w:r>
                        <w:rPr>
                          <w:rFonts w:ascii="Adelle Sans Light;sans-serif" w:hAnsi="Adelle Sans Light;sans-serif"/>
                          <w:b w:val="false"/>
                          <w:i/>
                          <w:color w:val="6D6D6D"/>
                          <w:sz w:val="12"/>
                          <w:shd w:fill="FFFFFF" w:val="clear"/>
                        </w:rPr>
                        <w:t>free cash flow margin</w:t>
                      </w:r>
                      <w:r>
                        <w:rPr>
                          <w:color w:val="6D6D6D"/>
                          <w:shd w:fill="FFFFFF" w:val="clear"/>
                        </w:rPr>
                        <w:t xml:space="preserve"> </w:t>
                      </w:r>
                      <w:r>
                        <w:rPr>
                          <w:rFonts w:ascii="Adelle Sans Light;sans-serif" w:hAnsi="Adelle Sans Light;sans-serif"/>
                          <w:b w:val="false"/>
                          <w:color w:val="6D6D6D"/>
                          <w:sz w:val="12"/>
                          <w:shd w:fill="FFFFFF" w:val="clear"/>
                        </w:rPr>
                        <w:t xml:space="preserve">are non-GAAP financial measures that are reconciled in the non-GAAP reconciliation within this press release. These non-GAAP financial measures do not have standardized meanings under US GAAP and may not be comparable to similar measures presented by other companies. Shopify believes free cash flow and free cash flow margin provide useful information to help investors and others understand our operating results and the performance of our business in the same manner as management. Shopify does not reconcile forward-looking non-GAAP free cash flow margin because certain financial information, the probable significance of which cannot be determined, is not available and cannot be reasonably estimated. Free cash flow is a non-GAAP financial measure calculated as cash flow from operations less capital expenditures. </w:t>
                      </w:r>
                    </w:p>
                    <w:p>
                      <w:pPr>
                        <w:pStyle w:val="TextBody"/>
                        <w:bidi w:val="0"/>
                        <w:spacing w:lineRule="auto" w:line="417" w:before="0" w:after="0"/>
                        <w:ind w:left="0" w:right="0" w:hanging="90"/>
                        <w:jc w:val="right"/>
                        <w:rPr>
                          <w:rFonts w:ascii="Adelle Sans Light;sans-serif" w:hAnsi="Adelle Sans Light;sans-serif"/>
                          <w:b w:val="false"/>
                          <w:color w:val="6D6D6D"/>
                          <w:sz w:val="18"/>
                        </w:rPr>
                      </w:pPr>
                      <w:r>
                        <w:rPr>
                          <w:rFonts w:ascii="Adelle Sans Light;sans-serif" w:hAnsi="Adelle Sans Light;sans-serif"/>
                          <w:b w:val="false"/>
                          <w:color w:val="6D6D6D"/>
                          <w:sz w:val="18"/>
                        </w:rPr>
                        <w:t>8</w:t>
                      </w:r>
                    </w:p>
                    <w:p>
                      <w:pPr>
                        <w:pStyle w:val="TextBody"/>
                        <w:bidi w:val="0"/>
                        <w:spacing w:before="0" w:after="0"/>
                        <w:ind w:left="0" w:right="0" w:hanging="90"/>
                        <w:jc w:val="righ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delle Sans">
    <w:altName w:val="sans-serif"/>
    <w:charset w:val="01"/>
    <w:family w:val="auto"/>
    <w:pitch w:val="default"/>
  </w:font>
  <w:font w:name="Adelle Sans Light">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image" Target="media/image1.jpeg"/><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2838</Words>
  <Characters>16148</Characters>
  <CharactersWithSpaces>18621</CharactersWithSpaces>
  <Paragraphs>475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