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181717"/>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181717"/>
        </w:rPr>
        <w:t>SECURITIES AND EXCHANGE COMMISSION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181717"/>
        </w:rPr>
        <w:t>Washington, D.C. 20549</w:t>
      </w:r>
    </w:p>
    <w:p>
      <w:pPr>
        <w:spacing w:after="0" w:line="17"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181717"/>
        </w:rPr>
        <w:t>Form 10-Q</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71" w:lineRule="exact"/>
        <w:rPr>
          <w:sz w:val="24"/>
          <w:szCs w:val="24"/>
          <w:color w:val="auto"/>
        </w:rPr>
      </w:pPr>
    </w:p>
    <w:p>
      <w:pPr>
        <w:ind w:left="480" w:hanging="303"/>
        <w:spacing w:after="0"/>
        <w:tabs>
          <w:tab w:leader="none" w:pos="480" w:val="left"/>
        </w:tabs>
        <w:numPr>
          <w:ilvl w:val="0"/>
          <w:numId w:val="1"/>
        </w:numPr>
        <w:rPr>
          <w:rFonts w:ascii="MS PGothic" w:cs="MS PGothic" w:eastAsia="MS PGothic" w:hAnsi="MS PGothic"/>
          <w:sz w:val="14"/>
          <w:szCs w:val="14"/>
          <w:color w:val="181717"/>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55" w:lineRule="exact"/>
        <w:rPr>
          <w:sz w:val="24"/>
          <w:szCs w:val="24"/>
          <w:color w:val="auto"/>
        </w:rPr>
      </w:pPr>
    </w:p>
    <w:p>
      <w:pPr>
        <w:ind w:left="480" w:hanging="303"/>
        <w:spacing w:after="0"/>
        <w:tabs>
          <w:tab w:leader="none" w:pos="480" w:val="left"/>
        </w:tabs>
        <w:numPr>
          <w:ilvl w:val="0"/>
          <w:numId w:val="2"/>
        </w:numPr>
        <w:rPr>
          <w:rFonts w:ascii="MS PGothic" w:cs="MS PGothic" w:eastAsia="MS PGothic" w:hAnsi="MS PGothic"/>
          <w:sz w:val="14"/>
          <w:szCs w:val="14"/>
          <w:color w:val="181717"/>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181717"/>
        </w:rPr>
        <w:t>For the transition period from ___________ to ___________</w:t>
      </w:r>
    </w:p>
    <w:p>
      <w:pPr>
        <w:spacing w:after="0" w:line="31"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81717"/>
        </w:rPr>
        <w:t>Shopify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181717"/>
        </w:rPr>
        <w:t>(Exact name of registrant as specified in its charter)</w:t>
      </w:r>
    </w:p>
    <w:p>
      <w:pPr>
        <w:spacing w:after="0" w:line="15"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4260" w:type="dxa"/>
            <w:vAlign w:val="bottom"/>
          </w:tcPr>
          <w:p>
            <w:pPr>
              <w:jc w:val="center"/>
              <w:ind w:left="228"/>
              <w:spacing w:after="0"/>
              <w:rPr>
                <w:sz w:val="20"/>
                <w:szCs w:val="20"/>
                <w:color w:val="auto"/>
              </w:rPr>
            </w:pPr>
            <w:r>
              <w:rPr>
                <w:rFonts w:ascii="Arial" w:cs="Arial" w:eastAsia="Arial" w:hAnsi="Arial"/>
                <w:sz w:val="14"/>
                <w:szCs w:val="14"/>
                <w:b w:val="1"/>
                <w:bCs w:val="1"/>
                <w:color w:val="auto"/>
              </w:rPr>
              <w:t>Canada</w:t>
            </w:r>
          </w:p>
        </w:tc>
        <w:tc>
          <w:tcPr>
            <w:tcW w:w="25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001-37400</w:t>
            </w:r>
          </w:p>
        </w:tc>
        <w:tc>
          <w:tcPr>
            <w:tcW w:w="460" w:type="dxa"/>
            <w:vAlign w:val="bottom"/>
          </w:tcPr>
          <w:p>
            <w:pPr>
              <w:spacing w:after="0"/>
              <w:rPr>
                <w:sz w:val="17"/>
                <w:szCs w:val="17"/>
                <w:color w:val="auto"/>
              </w:rPr>
            </w:pPr>
          </w:p>
        </w:tc>
        <w:tc>
          <w:tcPr>
            <w:tcW w:w="4020" w:type="dxa"/>
            <w:vAlign w:val="bottom"/>
          </w:tcPr>
          <w:p>
            <w:pPr>
              <w:jc w:val="center"/>
              <w:ind w:right="448"/>
              <w:spacing w:after="0"/>
              <w:rPr>
                <w:sz w:val="20"/>
                <w:szCs w:val="20"/>
                <w:color w:val="auto"/>
              </w:rPr>
            </w:pPr>
            <w:r>
              <w:rPr>
                <w:rFonts w:ascii="Arial" w:cs="Arial" w:eastAsia="Arial" w:hAnsi="Arial"/>
                <w:sz w:val="14"/>
                <w:szCs w:val="14"/>
                <w:b w:val="1"/>
                <w:bCs w:val="1"/>
                <w:color w:val="auto"/>
              </w:rPr>
              <w:t>98-0486686</w:t>
            </w:r>
          </w:p>
        </w:tc>
      </w:tr>
      <w:tr>
        <w:trPr>
          <w:trHeight w:val="196"/>
        </w:trPr>
        <w:tc>
          <w:tcPr>
            <w:tcW w:w="4260" w:type="dxa"/>
            <w:vAlign w:val="bottom"/>
          </w:tcPr>
          <w:p>
            <w:pPr>
              <w:jc w:val="center"/>
              <w:ind w:left="228"/>
              <w:spacing w:after="0"/>
              <w:rPr>
                <w:sz w:val="20"/>
                <w:szCs w:val="20"/>
                <w:color w:val="auto"/>
              </w:rPr>
            </w:pPr>
            <w:r>
              <w:rPr>
                <w:rFonts w:ascii="Arial" w:cs="Arial" w:eastAsia="Arial" w:hAnsi="Arial"/>
                <w:sz w:val="14"/>
                <w:szCs w:val="14"/>
                <w:color w:val="auto"/>
              </w:rPr>
              <w:t>(State or other jurisdiction of incorporation or organization)</w:t>
            </w:r>
          </w:p>
        </w:tc>
        <w:tc>
          <w:tcPr>
            <w:tcW w:w="220" w:type="dxa"/>
            <w:vAlign w:val="bottom"/>
          </w:tcPr>
          <w:p>
            <w:pPr>
              <w:spacing w:after="0"/>
              <w:rPr>
                <w:sz w:val="17"/>
                <w:szCs w:val="17"/>
                <w:color w:val="auto"/>
              </w:rPr>
            </w:pPr>
          </w:p>
        </w:tc>
        <w:tc>
          <w:tcPr>
            <w:tcW w:w="2740" w:type="dxa"/>
            <w:vAlign w:val="bottom"/>
            <w:gridSpan w:val="2"/>
          </w:tcPr>
          <w:p>
            <w:pPr>
              <w:jc w:val="center"/>
              <w:ind w:right="440"/>
              <w:spacing w:after="0"/>
              <w:rPr>
                <w:sz w:val="20"/>
                <w:szCs w:val="20"/>
                <w:color w:val="auto"/>
              </w:rPr>
            </w:pPr>
            <w:r>
              <w:rPr>
                <w:rFonts w:ascii="Arial" w:cs="Arial" w:eastAsia="Arial" w:hAnsi="Arial"/>
                <w:sz w:val="14"/>
                <w:szCs w:val="14"/>
                <w:color w:val="auto"/>
              </w:rPr>
              <w:t>(Commission File Number)</w:t>
            </w:r>
          </w:p>
        </w:tc>
        <w:tc>
          <w:tcPr>
            <w:tcW w:w="4020" w:type="dxa"/>
            <w:vAlign w:val="bottom"/>
          </w:tcPr>
          <w:p>
            <w:pPr>
              <w:jc w:val="center"/>
              <w:ind w:right="448"/>
              <w:spacing w:after="0"/>
              <w:rPr>
                <w:sz w:val="20"/>
                <w:szCs w:val="20"/>
                <w:color w:val="auto"/>
              </w:rPr>
            </w:pPr>
            <w:r>
              <w:rPr>
                <w:rFonts w:ascii="Arial" w:cs="Arial" w:eastAsia="Arial" w:hAnsi="Arial"/>
                <w:sz w:val="14"/>
                <w:szCs w:val="14"/>
                <w:color w:val="auto"/>
              </w:rPr>
              <w:t>(IRS Employer Identification No.)</w:t>
            </w:r>
          </w:p>
        </w:tc>
      </w:tr>
      <w:tr>
        <w:trPr>
          <w:trHeight w:val="263"/>
        </w:trPr>
        <w:tc>
          <w:tcPr>
            <w:tcW w:w="4260" w:type="dxa"/>
            <w:vAlign w:val="bottom"/>
          </w:tcPr>
          <w:p>
            <w:pPr>
              <w:jc w:val="center"/>
              <w:ind w:left="248"/>
              <w:spacing w:after="0"/>
              <w:rPr>
                <w:sz w:val="20"/>
                <w:szCs w:val="20"/>
                <w:color w:val="auto"/>
              </w:rPr>
            </w:pPr>
            <w:r>
              <w:rPr>
                <w:rFonts w:ascii="Arial" w:cs="Arial" w:eastAsia="Arial" w:hAnsi="Arial"/>
                <w:sz w:val="14"/>
                <w:szCs w:val="14"/>
                <w:b w:val="1"/>
                <w:bCs w:val="1"/>
                <w:color w:val="auto"/>
              </w:rPr>
              <w:t>151 O'Connor Street, Ground Floor</w:t>
            </w: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20" w:type="dxa"/>
            <w:vAlign w:val="bottom"/>
          </w:tcPr>
          <w:p>
            <w:pPr>
              <w:jc w:val="center"/>
              <w:ind w:right="428"/>
              <w:spacing w:after="0"/>
              <w:rPr>
                <w:sz w:val="20"/>
                <w:szCs w:val="20"/>
                <w:color w:val="auto"/>
              </w:rPr>
            </w:pPr>
            <w:r>
              <w:rPr>
                <w:rFonts w:ascii="Arial" w:cs="Arial" w:eastAsia="Arial" w:hAnsi="Arial"/>
                <w:sz w:val="14"/>
                <w:szCs w:val="14"/>
                <w:b w:val="1"/>
                <w:bCs w:val="1"/>
                <w:color w:val="auto"/>
              </w:rPr>
              <w:t>85 10th Avenue, Suite 800</w:t>
            </w:r>
          </w:p>
        </w:tc>
      </w:tr>
      <w:tr>
        <w:trPr>
          <w:trHeight w:val="203"/>
        </w:trPr>
        <w:tc>
          <w:tcPr>
            <w:tcW w:w="4260" w:type="dxa"/>
            <w:vAlign w:val="bottom"/>
          </w:tcPr>
          <w:p>
            <w:pPr>
              <w:jc w:val="center"/>
              <w:ind w:left="208"/>
              <w:spacing w:after="0"/>
              <w:rPr>
                <w:sz w:val="20"/>
                <w:szCs w:val="20"/>
                <w:color w:val="auto"/>
              </w:rPr>
            </w:pPr>
            <w:r>
              <w:rPr>
                <w:rFonts w:ascii="Arial" w:cs="Arial" w:eastAsia="Arial" w:hAnsi="Arial"/>
                <w:sz w:val="14"/>
                <w:szCs w:val="14"/>
                <w:b w:val="1"/>
                <w:bCs w:val="1"/>
                <w:color w:val="auto"/>
              </w:rPr>
              <w:t>Ottawa, Ontario</w:t>
            </w: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jc w:val="center"/>
              <w:ind w:right="488"/>
              <w:spacing w:after="0"/>
              <w:rPr>
                <w:sz w:val="20"/>
                <w:szCs w:val="20"/>
                <w:color w:val="auto"/>
              </w:rPr>
            </w:pPr>
            <w:r>
              <w:rPr>
                <w:rFonts w:ascii="Arial" w:cs="Arial" w:eastAsia="Arial" w:hAnsi="Arial"/>
                <w:sz w:val="14"/>
                <w:szCs w:val="14"/>
                <w:b w:val="1"/>
                <w:bCs w:val="1"/>
                <w:color w:val="auto"/>
              </w:rPr>
              <w:t>New York, New York</w:t>
            </w:r>
          </w:p>
        </w:tc>
      </w:tr>
      <w:tr>
        <w:trPr>
          <w:trHeight w:val="203"/>
        </w:trPr>
        <w:tc>
          <w:tcPr>
            <w:tcW w:w="4260" w:type="dxa"/>
            <w:vAlign w:val="bottom"/>
          </w:tcPr>
          <w:p>
            <w:pPr>
              <w:jc w:val="center"/>
              <w:ind w:left="268"/>
              <w:spacing w:after="0"/>
              <w:rPr>
                <w:sz w:val="20"/>
                <w:szCs w:val="20"/>
                <w:color w:val="auto"/>
              </w:rPr>
            </w:pPr>
            <w:r>
              <w:rPr>
                <w:rFonts w:ascii="Arial" w:cs="Arial" w:eastAsia="Arial" w:hAnsi="Arial"/>
                <w:sz w:val="14"/>
                <w:szCs w:val="14"/>
                <w:b w:val="1"/>
                <w:bCs w:val="1"/>
                <w:color w:val="auto"/>
              </w:rPr>
              <w:t>Canada K2P 2L8</w:t>
            </w: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ind w:left="1440"/>
              <w:spacing w:after="0"/>
              <w:rPr>
                <w:sz w:val="20"/>
                <w:szCs w:val="20"/>
                <w:color w:val="auto"/>
              </w:rPr>
            </w:pPr>
            <w:r>
              <w:rPr>
                <w:rFonts w:ascii="Arial" w:cs="Arial" w:eastAsia="Arial" w:hAnsi="Arial"/>
                <w:sz w:val="14"/>
                <w:szCs w:val="14"/>
                <w:b w:val="1"/>
                <w:bCs w:val="1"/>
                <w:color w:val="auto"/>
              </w:rPr>
              <w:t>USA 10011</w:t>
            </w:r>
          </w:p>
        </w:tc>
      </w:tr>
      <w:tr>
        <w:trPr>
          <w:trHeight w:val="196"/>
        </w:trPr>
        <w:tc>
          <w:tcPr>
            <w:tcW w:w="4260" w:type="dxa"/>
            <w:vAlign w:val="bottom"/>
          </w:tcPr>
          <w:p>
            <w:pPr>
              <w:spacing w:after="0"/>
              <w:rPr>
                <w:sz w:val="17"/>
                <w:szCs w:val="17"/>
                <w:color w:val="auto"/>
              </w:rPr>
            </w:pPr>
          </w:p>
        </w:tc>
        <w:tc>
          <w:tcPr>
            <w:tcW w:w="2960" w:type="dxa"/>
            <w:vAlign w:val="bottom"/>
            <w:gridSpan w:val="3"/>
          </w:tcPr>
          <w:p>
            <w:pPr>
              <w:jc w:val="center"/>
              <w:ind w:right="240"/>
              <w:spacing w:after="0"/>
              <w:rPr>
                <w:sz w:val="20"/>
                <w:szCs w:val="20"/>
                <w:color w:val="auto"/>
              </w:rPr>
            </w:pPr>
            <w:r>
              <w:rPr>
                <w:rFonts w:ascii="Arial" w:cs="Arial" w:eastAsia="Arial" w:hAnsi="Arial"/>
                <w:sz w:val="14"/>
                <w:szCs w:val="14"/>
                <w:color w:val="auto"/>
              </w:rPr>
              <w:t>(Address of Principal Executive Offices)</w:t>
            </w:r>
          </w:p>
        </w:tc>
        <w:tc>
          <w:tcPr>
            <w:tcW w:w="4020" w:type="dxa"/>
            <w:vAlign w:val="bottom"/>
          </w:tcPr>
          <w:p>
            <w:pPr>
              <w:spacing w:after="0"/>
              <w:rPr>
                <w:sz w:val="17"/>
                <w:szCs w:val="17"/>
                <w:color w:val="auto"/>
              </w:rPr>
            </w:pPr>
          </w:p>
        </w:tc>
      </w:tr>
      <w:tr>
        <w:trPr>
          <w:trHeight w:val="290"/>
        </w:trPr>
        <w:tc>
          <w:tcPr>
            <w:tcW w:w="11240" w:type="dxa"/>
            <w:vAlign w:val="bottom"/>
            <w:gridSpan w:val="5"/>
          </w:tcPr>
          <w:p>
            <w:pPr>
              <w:jc w:val="center"/>
              <w:spacing w:after="0"/>
              <w:rPr>
                <w:sz w:val="20"/>
                <w:szCs w:val="20"/>
                <w:color w:val="auto"/>
              </w:rPr>
            </w:pPr>
            <w:r>
              <w:rPr>
                <w:rFonts w:ascii="Arial" w:cs="Arial" w:eastAsia="Arial" w:hAnsi="Arial"/>
                <w:sz w:val="14"/>
                <w:szCs w:val="14"/>
                <w:color w:val="181717"/>
              </w:rPr>
              <w:t xml:space="preserve">Registrant’s telephone number, including area code: </w:t>
            </w:r>
            <w:r>
              <w:rPr>
                <w:rFonts w:ascii="Arial" w:cs="Arial" w:eastAsia="Arial" w:hAnsi="Arial"/>
                <w:sz w:val="14"/>
                <w:szCs w:val="14"/>
                <w:b w:val="1"/>
                <w:bCs w:val="1"/>
                <w:color w:val="000000"/>
              </w:rPr>
              <w:t>(613) 241-2828 x 1045</w:t>
            </w:r>
          </w:p>
        </w:tc>
      </w:tr>
      <w:tr>
        <w:trPr>
          <w:trHeight w:val="237"/>
        </w:trPr>
        <w:tc>
          <w:tcPr>
            <w:tcW w:w="4260" w:type="dxa"/>
            <w:vAlign w:val="bottom"/>
          </w:tcPr>
          <w:p>
            <w:pPr>
              <w:spacing w:after="0"/>
              <w:rPr>
                <w:sz w:val="20"/>
                <w:szCs w:val="20"/>
                <w:color w:val="auto"/>
              </w:rPr>
            </w:pPr>
            <w:r>
              <w:rPr>
                <w:rFonts w:ascii="Arial" w:cs="Arial" w:eastAsia="Arial" w:hAnsi="Arial"/>
                <w:sz w:val="14"/>
                <w:szCs w:val="14"/>
                <w:color w:val="181717"/>
              </w:rPr>
              <w:t>Securities registered pursuant to Section 12(b) of the Act:</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89"/>
        </w:trPr>
        <w:tc>
          <w:tcPr>
            <w:tcW w:w="4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r>
      <w:tr>
        <w:trPr>
          <w:trHeight w:val="192"/>
        </w:trPr>
        <w:tc>
          <w:tcPr>
            <w:tcW w:w="4260" w:type="dxa"/>
            <w:vAlign w:val="bottom"/>
            <w:tcBorders>
              <w:left w:val="single" w:sz="8" w:color="auto"/>
              <w:bottom w:val="single" w:sz="8" w:color="auto"/>
            </w:tcBorders>
          </w:tcPr>
          <w:p>
            <w:pPr>
              <w:jc w:val="center"/>
              <w:ind w:left="148"/>
              <w:spacing w:after="0"/>
              <w:rPr>
                <w:sz w:val="20"/>
                <w:szCs w:val="20"/>
                <w:color w:val="auto"/>
              </w:rPr>
            </w:pPr>
            <w:r>
              <w:rPr>
                <w:rFonts w:ascii="Arial" w:cs="Arial" w:eastAsia="Arial" w:hAnsi="Arial"/>
                <w:sz w:val="14"/>
                <w:szCs w:val="14"/>
                <w:color w:val="auto"/>
              </w:rPr>
              <w:t>Title of each class</w:t>
            </w:r>
          </w:p>
        </w:tc>
        <w:tc>
          <w:tcPr>
            <w:tcW w:w="22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60" w:type="dxa"/>
            <w:vAlign w:val="bottom"/>
            <w:tcBorders>
              <w:bottom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jc w:val="center"/>
              <w:ind w:right="428"/>
              <w:spacing w:after="0"/>
              <w:rPr>
                <w:sz w:val="20"/>
                <w:szCs w:val="20"/>
                <w:color w:val="auto"/>
              </w:rPr>
            </w:pPr>
            <w:r>
              <w:rPr>
                <w:rFonts w:ascii="Arial" w:cs="Arial" w:eastAsia="Arial" w:hAnsi="Arial"/>
                <w:sz w:val="14"/>
                <w:szCs w:val="14"/>
                <w:color w:val="auto"/>
              </w:rPr>
              <w:t>Name of each exchange on which registered</w:t>
            </w:r>
          </w:p>
        </w:tc>
      </w:tr>
      <w:tr>
        <w:trPr>
          <w:trHeight w:val="199"/>
        </w:trPr>
        <w:tc>
          <w:tcPr>
            <w:tcW w:w="4260" w:type="dxa"/>
            <w:vAlign w:val="bottom"/>
            <w:tcBorders>
              <w:left w:val="single" w:sz="8" w:color="auto"/>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Class A Subordinate Voting Shares</w:t>
            </w:r>
          </w:p>
        </w:tc>
        <w:tc>
          <w:tcPr>
            <w:tcW w:w="22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SHOP</w:t>
            </w:r>
          </w:p>
        </w:tc>
        <w:tc>
          <w:tcPr>
            <w:tcW w:w="46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53"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1817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33" w:lineRule="exact"/>
        <w:rPr>
          <w:sz w:val="24"/>
          <w:szCs w:val="24"/>
          <w:color w:val="auto"/>
        </w:rPr>
      </w:pPr>
    </w:p>
    <w:p>
      <w:pPr>
        <w:ind w:right="520"/>
        <w:spacing w:after="0" w:line="193" w:lineRule="exact"/>
        <w:rPr>
          <w:sz w:val="20"/>
          <w:szCs w:val="20"/>
          <w:color w:val="auto"/>
        </w:rPr>
      </w:pPr>
      <w:r>
        <w:rPr>
          <w:rFonts w:ascii="Arial" w:cs="Arial" w:eastAsia="Arial" w:hAnsi="Arial"/>
          <w:sz w:val="14"/>
          <w:szCs w:val="14"/>
          <w:color w:val="181717"/>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33"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181717"/>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80" w:type="dxa"/>
            <w:vAlign w:val="bottom"/>
          </w:tcPr>
          <w:p>
            <w:pPr>
              <w:ind w:left="980"/>
              <w:spacing w:after="0" w:line="141" w:lineRule="exact"/>
              <w:rPr>
                <w:sz w:val="20"/>
                <w:szCs w:val="20"/>
                <w:color w:val="auto"/>
              </w:rPr>
            </w:pPr>
            <w:r>
              <w:rPr>
                <w:rFonts w:ascii="MS PGothic" w:cs="MS PGothic" w:eastAsia="MS PGothic" w:hAnsi="MS PGothic"/>
                <w:sz w:val="14"/>
                <w:szCs w:val="14"/>
                <w:color w:val="181717"/>
              </w:rPr>
              <w:t>☒</w:t>
            </w:r>
          </w:p>
        </w:tc>
        <w:tc>
          <w:tcPr>
            <w:tcW w:w="43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24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2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3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1817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181717"/>
        </w:rPr>
        <w:t xml:space="preserve">Indicate by check mark whether the registrant is a shell company (as defined in Rule 12b-2 of the Exchange Act).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113" w:lineRule="exact"/>
        <w:rPr>
          <w:sz w:val="24"/>
          <w:szCs w:val="24"/>
          <w:color w:val="auto"/>
        </w:rPr>
      </w:pPr>
    </w:p>
    <w:p>
      <w:pPr>
        <w:ind w:right="120"/>
        <w:spacing w:after="0" w:line="305" w:lineRule="auto"/>
        <w:rPr>
          <w:sz w:val="20"/>
          <w:szCs w:val="20"/>
          <w:color w:val="auto"/>
        </w:rPr>
      </w:pPr>
      <w:r>
        <w:rPr>
          <w:rFonts w:ascii="Arial" w:cs="Arial" w:eastAsia="Arial" w:hAnsi="Arial"/>
          <w:sz w:val="14"/>
          <w:szCs w:val="14"/>
          <w:color w:val="181717"/>
        </w:rPr>
        <w:t xml:space="preserve">The registrant had 1,219,581,025 Class A Subordinate Voting Shares, 78,073,584 Class B Restricted Voting Shares and </w:t>
      </w:r>
      <w:r>
        <w:rPr>
          <w:rFonts w:ascii="Arial" w:cs="Arial" w:eastAsia="Arial" w:hAnsi="Arial"/>
          <w:sz w:val="14"/>
          <w:szCs w:val="14"/>
          <w:color w:val="000000"/>
        </w:rPr>
        <w:t>1</w:t>
      </w:r>
      <w:r>
        <w:rPr>
          <w:rFonts w:ascii="Arial" w:cs="Arial" w:eastAsia="Arial" w:hAnsi="Arial"/>
          <w:sz w:val="14"/>
          <w:szCs w:val="14"/>
          <w:color w:val="181717"/>
        </w:rPr>
        <w:t xml:space="preserve"> Founder Share issued and outstanding as of </w:t>
      </w:r>
      <w:r>
        <w:rPr>
          <w:rFonts w:ascii="Arial" w:cs="Arial" w:eastAsia="Arial" w:hAnsi="Arial"/>
          <w:sz w:val="14"/>
          <w:szCs w:val="14"/>
          <w:color w:val="000000"/>
        </w:rPr>
        <w:t>May 1,</w:t>
      </w:r>
      <w:r>
        <w:rPr>
          <w:rFonts w:ascii="Arial" w:cs="Arial" w:eastAsia="Arial" w:hAnsi="Arial"/>
          <w:sz w:val="14"/>
          <w:szCs w:val="14"/>
          <w:color w:val="181717"/>
        </w:rPr>
        <w:t xml:space="preserve"> </w:t>
      </w:r>
      <w:r>
        <w:rPr>
          <w:rFonts w:ascii="Arial" w:cs="Arial" w:eastAsia="Arial" w:hAnsi="Arial"/>
          <w:sz w:val="14"/>
          <w:szCs w:val="14"/>
          <w:color w:val="000000"/>
        </w:rPr>
        <w:t>2026</w:t>
      </w:r>
      <w:r>
        <w:rPr>
          <w:rFonts w:ascii="Arial" w:cs="Arial" w:eastAsia="Arial" w:hAnsi="Arial"/>
          <w:sz w:val="14"/>
          <w:szCs w:val="14"/>
          <w:color w:val="181717"/>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7"/>
              </w:rPr>
              <w:t>Page</w:t>
            </w:r>
          </w:p>
        </w:tc>
      </w:tr>
      <w:tr>
        <w:trPr>
          <w:trHeight w:val="48"/>
        </w:trPr>
        <w:tc>
          <w:tcPr>
            <w:tcW w:w="2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1: Financial Statements (unaudited)</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5</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39</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4: Controls and Procedures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47"/>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1: Legal Proceedings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44</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1A: Risk Factors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44</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3: Defaults Upon Senior Securities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4: Mine Safety Disclosures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44</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5: Other Information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6: Exhibits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45</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Signatures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1177"/>
        </w:trPr>
        <w:tc>
          <w:tcPr>
            <w:tcW w:w="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Quarterly Report on Form 10-Q contains forward-looking statements under the provisions of the United States ("U.S.") Private Securities Litigation Reform Act of 1995, Section 27A of the U.S. Securities Act of 1933 (as amended, the "Securities Act"), Section 21E of the U.S. Securities Exchange Act of 1934 (as amended, the "Exchange Act") and forward-looking information within the meaning of applicable Canadian securities legislation.</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some cases, you can identify forward-looking statements by terminology such as "enable", "may", "might", "will", "should", "could", "expects", "focused on", "intends", "plans", "anticipates", "believes", "predicts", "potential", "continue", "become", "seek", "strive" or the negative of these terms or other similar words. Any forward-looking statements are based on our management’s perception of historic trends, current conditions and expected future developments, as well as other assumptions that management believes are appropriate in the circumstances. In addition, any statements or information that refer to expectations, beliefs, plans, projections, objectives, performance or other characterizations of future events or circumstances, including any underlying assumptions, are forward-looking. In particular, forward-looking statements include, but are not limited to, statements about:</w:t>
      </w:r>
    </w:p>
    <w:p>
      <w:pPr>
        <w:spacing w:after="0" w:line="88" w:lineRule="exact"/>
        <w:rPr>
          <w:sz w:val="20"/>
          <w:szCs w:val="20"/>
          <w:color w:val="auto"/>
        </w:rPr>
      </w:pPr>
    </w:p>
    <w:p>
      <w:pPr>
        <w:jc w:val="both"/>
        <w:ind w:left="820" w:hanging="326"/>
        <w:spacing w:after="0" w:line="255"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grow and retain our merchant base; localize features; offer more sales channels that can connect to our platform; increase and extend the functionality of our platform; catalyze merchants' sales growth; leverage emerging technologies, including artificial intelligence ("AI"); enhance our ecosystem and partner programs; provide a high level of merchant service; hire key talent and retain and motivate qualified personnel; and maximize long-term value;</w:t>
      </w:r>
    </w:p>
    <w:p>
      <w:pPr>
        <w:spacing w:after="0" w:line="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and solutions enabling and increasing the probability of merchant success;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future macroeconomic conditions and their impact on Shopify and our merchants, including with regard to inflationary pressures, international trade risks and trade protection measures, including tariffs, trade wars, barriers and restrictions, or threats of such actions and related uncertainty;</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impact of seasonality on our current and future business;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fluctuations in foreign currencies;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grow our addressable markets and meet merchant needs;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invest in data analytics, machine learning and AI;</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of emerging technologies, including AI, and applications of these technologies to our business;</w:t>
      </w:r>
    </w:p>
    <w:p>
      <w:pPr>
        <w:ind w:left="820" w:right="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regarding future growth and investments to drive future growth, the impact of those investments and our ability to manage such growth effectively;</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further tailor our sales strategies to attract large volume brands;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platform's capabilities;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ecosystem and partner program, including through the formation of strategic partnerships;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quickly distribute new versions of our platform;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sustainability initiatives;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assumptions regarding competitive factors in our markets and the expectation of increased competition;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continuously enhance, protect and safeguard our intellectual property;</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cybersecurity attacks in the future and future efforts to harden our infrastructure to build resilience in the face of such threats;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legislation and government regulation and the impact on our platform;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strategic decisions on short-term revenue or profitability;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devote additional resources to improve our operational infrastructure and continue to enhance its scalability;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revenue, gross margin, operating expenses and cash flows;</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risks, including foreign currency exchange risk and interest rate risk, and the effectiveness of our hedging activities;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liquidity position;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expansion of our platform and offerings internationally;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corporate culture as we execute with a remote-first global workforce;</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adoption of our platform and solutions by Shopify Plus merchants and enterprise-level businesses;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the growth of our business will depend in part on the success of our relationships with third parties;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pursue additional third-party relationships;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future investment in the business, including with respect to key talent, sales and marketing, research and development, the creation and implementation of new products and services, the functionality of our platform, merchant service and support, security and operational requirements, our network infrastructure, acquisitions and the expansion of our international operations;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optimize marketing spend and successfully sell to and support enterprise merchants in order to drive growth;</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Flex Comp compensation system in attracting, motivating and retaining qualified personnel;</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as our consumer-facing offerings evolve and grow in popularity, the risk of additional laws and regulations impacting our business will also increase;</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continue our use and development of open source software;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acquisitions, divestitures and investments;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synergies and other benefits from acquisitions, including from the integration of acquired technology;</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exploration, expansion and evolution of other products, models, structures and additional markets for our lending and financing products;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changes in our pricing models;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we will not pay any cash dividends in the foreseeable future;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adoption and impact of new accounting standards;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of Class B restricted voting shares and preferred shares;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the Founder Share;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invest our future earnings, if any, to fund our growth;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adapting our current facilities.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Factors that may cause actual results to differ materially from current expectations may include, but are not limited to, risks and uncertainties that are discussed in greater detail in Part I — Item 1A "Risk Factors" of the Company’s Annual Report on Form 10-K for the year ended December 31, 2025 (the "2025 Form 10-K"), as well as in our condensed consolidated financial statements, related notes, and the other information appearing elsewhere in this report and our other filings with the Securities and Exchange Commission ("SEC").</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No forward-looking statement is a guarantee of future results. These statements are inherently uncertain and investors are cautioned not to unduly rely upon these statements. You should read this Quarterly Report on Form 10-Q and the documents that we reference in this Quarterly Report on Form 10-Q completely and with the understanding that our actual future results may be materially different from any future results expressed or implied by these forward-looking statements.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at the date of this Quarterly Report on Form 10-Q. We anticipate that subsequent events and developments may cause our views to change. However, while we may elect to update these forward-looking statements at some point in the future, we have no current intention of doing so except to the extent required by applicable law. Therefore, these forward-looking statements do not represent our views as of any date other than the date of this Quarterly Report on Form 10-Q.</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990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92"/>
        </w:trPr>
        <w:tc>
          <w:tcPr>
            <w:tcW w:w="990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Index</w:t>
            </w:r>
          </w:p>
        </w:tc>
        <w:tc>
          <w:tcPr>
            <w:tcW w:w="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900" w:type="dxa"/>
            <w:vAlign w:val="bottom"/>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w:t>
            </w:r>
          </w:p>
        </w:tc>
      </w:tr>
      <w:tr>
        <w:trPr>
          <w:trHeight w:val="270"/>
        </w:trPr>
        <w:tc>
          <w:tcPr>
            <w:tcW w:w="2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w:t>
            </w:r>
          </w:p>
        </w:tc>
      </w:tr>
      <w:tr>
        <w:trPr>
          <w:trHeight w:val="270"/>
        </w:trPr>
        <w:tc>
          <w:tcPr>
            <w:tcW w:w="2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w:t>
            </w:r>
          </w:p>
        </w:tc>
      </w:tr>
      <w:tr>
        <w:trPr>
          <w:trHeight w:val="270"/>
        </w:trPr>
        <w:tc>
          <w:tcPr>
            <w:tcW w:w="2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w:t>
            </w:r>
          </w:p>
        </w:tc>
      </w:tr>
      <w:tr>
        <w:trPr>
          <w:trHeight w:val="270"/>
        </w:trPr>
        <w:tc>
          <w:tcPr>
            <w:tcW w:w="2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Notes to the Condensed Consolidated Financial Statements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w:t>
            </w:r>
          </w:p>
        </w:tc>
      </w:tr>
      <w:tr>
        <w:trPr>
          <w:trHeight w:val="262"/>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2"/>
                <w:szCs w:val="22"/>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Nature of Business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Basis of Presentation and Consolidation</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Significant Accounting Policies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Financial Instruments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Trade and Other Receivables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Loans and Merchant Cash Advances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Contingencies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Related Parties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r>
      <w:tr>
        <w:trPr>
          <w:trHeight w:val="270"/>
        </w:trPr>
        <w:tc>
          <w:tcPr>
            <w:tcW w:w="540" w:type="dxa"/>
            <w:vAlign w:val="bottom"/>
            <w:gridSpan w:val="3"/>
          </w:tcPr>
          <w:p>
            <w:pPr>
              <w:ind w:left="240"/>
              <w:spacing w:after="0"/>
              <w:rPr>
                <w:sz w:val="20"/>
                <w:szCs w:val="20"/>
                <w:color w:val="auto"/>
              </w:rPr>
            </w:pPr>
            <w:r>
              <w:rPr>
                <w:rFonts w:ascii="Arial" w:cs="Arial" w:eastAsia="Arial" w:hAnsi="Arial"/>
                <w:sz w:val="18"/>
                <w:szCs w:val="18"/>
                <w:color w:val="auto"/>
              </w:rPr>
              <w:t>10.</w:t>
            </w:r>
          </w:p>
        </w:tc>
        <w:tc>
          <w:tcPr>
            <w:tcW w:w="936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r>
      <w:tr>
        <w:trPr>
          <w:trHeight w:val="270"/>
        </w:trPr>
        <w:tc>
          <w:tcPr>
            <w:tcW w:w="20" w:type="dxa"/>
            <w:vAlign w:val="bottom"/>
          </w:tcPr>
          <w:p>
            <w:pPr>
              <w:spacing w:after="0"/>
              <w:rPr>
                <w:sz w:val="23"/>
                <w:szCs w:val="23"/>
                <w:color w:val="auto"/>
              </w:rPr>
            </w:pP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11.  Changes in Accumulated Other Comprehensive (Loss) Income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r>
      <w:tr>
        <w:trPr>
          <w:trHeight w:val="270"/>
        </w:trPr>
        <w:tc>
          <w:tcPr>
            <w:tcW w:w="540" w:type="dxa"/>
            <w:vAlign w:val="bottom"/>
            <w:gridSpan w:val="3"/>
          </w:tcPr>
          <w:p>
            <w:pPr>
              <w:ind w:left="240"/>
              <w:spacing w:after="0"/>
              <w:rPr>
                <w:sz w:val="20"/>
                <w:szCs w:val="20"/>
                <w:color w:val="auto"/>
              </w:rPr>
            </w:pPr>
            <w:r>
              <w:rPr>
                <w:rFonts w:ascii="Arial" w:cs="Arial" w:eastAsia="Arial" w:hAnsi="Arial"/>
                <w:sz w:val="18"/>
                <w:szCs w:val="18"/>
                <w:color w:val="auto"/>
              </w:rPr>
              <w:t>12.</w:t>
            </w:r>
          </w:p>
        </w:tc>
        <w:tc>
          <w:tcPr>
            <w:tcW w:w="93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r>
      <w:tr>
        <w:trPr>
          <w:trHeight w:val="270"/>
        </w:trPr>
        <w:tc>
          <w:tcPr>
            <w:tcW w:w="20" w:type="dxa"/>
            <w:vAlign w:val="bottom"/>
          </w:tcPr>
          <w:p>
            <w:pPr>
              <w:spacing w:after="0"/>
              <w:rPr>
                <w:sz w:val="23"/>
                <w:szCs w:val="23"/>
                <w:color w:val="auto"/>
              </w:rPr>
            </w:pP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13.  Net Loss per Share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r>
      <w:tr>
        <w:trPr>
          <w:trHeight w:val="270"/>
        </w:trPr>
        <w:tc>
          <w:tcPr>
            <w:tcW w:w="20" w:type="dxa"/>
            <w:vAlign w:val="bottom"/>
          </w:tcPr>
          <w:p>
            <w:pPr>
              <w:spacing w:after="0"/>
              <w:rPr>
                <w:sz w:val="23"/>
                <w:szCs w:val="23"/>
                <w:color w:val="auto"/>
              </w:rPr>
            </w:pP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14.  Segment and Geographical Information</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r>
      <w:tr>
        <w:trPr>
          <w:trHeight w:val="89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Pr>
          <w:p>
            <w:pPr>
              <w:ind w:left="504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7"/>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(Expressed in US $ millions, except share amounts)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9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March 31, 2026</w:t>
            </w:r>
          </w:p>
        </w:tc>
        <w:tc>
          <w:tcPr>
            <w:tcW w:w="2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09"/>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b w:val="1"/>
                <w:bCs w:val="1"/>
                <w:color w:val="auto"/>
              </w:rPr>
              <w:t>Current assets</w:t>
            </w:r>
          </w:p>
        </w:tc>
        <w:tc>
          <w:tcPr>
            <w:tcW w:w="2160" w:type="dxa"/>
            <w:vAlign w:val="bottom"/>
            <w:shd w:val="clear" w:color="auto" w:fill="F7F7F7"/>
          </w:tcPr>
          <w:p>
            <w:pPr>
              <w:spacing w:after="0"/>
              <w:rPr>
                <w:sz w:val="18"/>
                <w:szCs w:val="18"/>
                <w:color w:val="auto"/>
              </w:rPr>
            </w:pPr>
          </w:p>
        </w:tc>
        <w:tc>
          <w:tcPr>
            <w:tcW w:w="20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1,848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Marketable securities</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3,895</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Trade and other receivables, net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449</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Loans and merchant cash advances,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2,097</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5"/>
        </w:trPr>
        <w:tc>
          <w:tcPr>
            <w:tcW w:w="6980" w:type="dxa"/>
            <w:vAlign w:val="bottom"/>
            <w:tcBorders>
              <w:bottom w:val="single" w:sz="8" w:color="F7F7F7"/>
            </w:tcBorders>
          </w:tcPr>
          <w:p>
            <w:pPr>
              <w:ind w:left="340"/>
              <w:spacing w:after="0"/>
              <w:rPr>
                <w:sz w:val="20"/>
                <w:szCs w:val="20"/>
                <w:color w:val="auto"/>
              </w:rPr>
            </w:pPr>
            <w:r>
              <w:rPr>
                <w:rFonts w:ascii="Arial" w:cs="Arial" w:eastAsia="Arial" w:hAnsi="Arial"/>
                <w:sz w:val="16"/>
                <w:szCs w:val="16"/>
                <w:color w:val="auto"/>
              </w:rPr>
              <w:t>Other current assets</w:t>
            </w: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206</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6980" w:type="dxa"/>
            <w:vAlign w:val="bottom"/>
            <w:shd w:val="clear" w:color="auto" w:fill="F7F7F7"/>
          </w:tcPr>
          <w:p>
            <w:pPr>
              <w:spacing w:after="0"/>
              <w:rPr>
                <w:sz w:val="18"/>
                <w:szCs w:val="18"/>
                <w:color w:val="auto"/>
              </w:rPr>
            </w:pP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8,495</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196"/>
        </w:trPr>
        <w:tc>
          <w:tcPr>
            <w:tcW w:w="6980" w:type="dxa"/>
            <w:vAlign w:val="bottom"/>
          </w:tcPr>
          <w:p>
            <w:pPr>
              <w:ind w:left="340"/>
              <w:spacing w:after="0"/>
              <w:rPr>
                <w:sz w:val="20"/>
                <w:szCs w:val="20"/>
                <w:color w:val="auto"/>
              </w:rPr>
            </w:pPr>
            <w:r>
              <w:rPr>
                <w:rFonts w:ascii="Arial" w:cs="Arial" w:eastAsia="Arial" w:hAnsi="Arial"/>
                <w:sz w:val="16"/>
                <w:szCs w:val="16"/>
                <w:b w:val="1"/>
                <w:bCs w:val="1"/>
                <w:color w:val="auto"/>
              </w:rPr>
              <w:t>Long-term assets</w:t>
            </w:r>
          </w:p>
        </w:tc>
        <w:tc>
          <w:tcPr>
            <w:tcW w:w="2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Property and equipment,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54</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Operating lease right-of-use assets, net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84</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Intangible assets,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28</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Deferred tax assets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Other long-term assets</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30</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Long-term investments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708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Equity and other investments ($2,563 and $3,619, carried at fair value)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3,533</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Equity method investment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581</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Goodwill</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491</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F7F7F7"/>
            </w:tcBorders>
          </w:tcPr>
          <w:p>
            <w:pPr>
              <w:spacing w:after="0"/>
              <w:rPr>
                <w:sz w:val="18"/>
                <w:szCs w:val="18"/>
                <w:color w:val="auto"/>
              </w:rPr>
            </w:pP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5,626</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6"/>
                <w:szCs w:val="16"/>
                <w:b w:val="1"/>
                <w:bCs w:val="1"/>
                <w:color w:val="auto"/>
              </w:rPr>
              <w:t>Total assets</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b w:val="1"/>
                <w:bCs w:val="1"/>
                <w:color w:val="auto"/>
              </w:rPr>
              <w:t>14,121</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15,189</w:t>
            </w:r>
          </w:p>
        </w:tc>
        <w:tc>
          <w:tcPr>
            <w:tcW w:w="0" w:type="dxa"/>
            <w:vAlign w:val="bottom"/>
          </w:tcPr>
          <w:p>
            <w:pPr>
              <w:spacing w:after="0"/>
              <w:rPr>
                <w:sz w:val="1"/>
                <w:szCs w:val="1"/>
                <w:color w:val="auto"/>
              </w:rPr>
            </w:pPr>
          </w:p>
        </w:tc>
      </w:tr>
      <w:tr>
        <w:trPr>
          <w:trHeight w:val="210"/>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Liabilities and shareholders’ equity</w:t>
            </w: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b w:val="1"/>
                <w:bCs w:val="1"/>
                <w:color w:val="auto"/>
              </w:rPr>
              <w:t>Current liabilities</w:t>
            </w:r>
          </w:p>
        </w:tc>
        <w:tc>
          <w:tcPr>
            <w:tcW w:w="2160" w:type="dxa"/>
            <w:vAlign w:val="bottom"/>
            <w:shd w:val="clear" w:color="auto" w:fill="F7F7F7"/>
          </w:tcPr>
          <w:p>
            <w:pPr>
              <w:spacing w:after="0"/>
              <w:rPr>
                <w:sz w:val="18"/>
                <w:szCs w:val="18"/>
                <w:color w:val="auto"/>
              </w:rPr>
            </w:pPr>
          </w:p>
        </w:tc>
        <w:tc>
          <w:tcPr>
            <w:tcW w:w="20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1,034</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revenue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321</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5"/>
        </w:trPr>
        <w:tc>
          <w:tcPr>
            <w:tcW w:w="6980" w:type="dxa"/>
            <w:vAlign w:val="bottom"/>
            <w:tcBorders>
              <w:bottom w:val="single" w:sz="8" w:color="F7F7F7"/>
            </w:tcBorders>
          </w:tcPr>
          <w:p>
            <w:pPr>
              <w:ind w:left="340"/>
              <w:spacing w:after="0"/>
              <w:rPr>
                <w:sz w:val="20"/>
                <w:szCs w:val="20"/>
                <w:color w:val="auto"/>
              </w:rPr>
            </w:pPr>
            <w:r>
              <w:rPr>
                <w:rFonts w:ascii="Arial" w:cs="Arial" w:eastAsia="Arial" w:hAnsi="Arial"/>
                <w:sz w:val="16"/>
                <w:szCs w:val="16"/>
                <w:color w:val="auto"/>
              </w:rPr>
              <w:t>Operating lease liabilities</w:t>
            </w: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6980" w:type="dxa"/>
            <w:vAlign w:val="bottom"/>
            <w:shd w:val="clear" w:color="auto" w:fill="F7F7F7"/>
          </w:tcPr>
          <w:p>
            <w:pPr>
              <w:spacing w:after="0"/>
              <w:rPr>
                <w:sz w:val="18"/>
                <w:szCs w:val="18"/>
                <w:color w:val="auto"/>
              </w:rPr>
            </w:pP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1,371</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196"/>
        </w:trPr>
        <w:tc>
          <w:tcPr>
            <w:tcW w:w="6980" w:type="dxa"/>
            <w:vAlign w:val="bottom"/>
          </w:tcPr>
          <w:p>
            <w:pPr>
              <w:ind w:left="340"/>
              <w:spacing w:after="0"/>
              <w:rPr>
                <w:sz w:val="20"/>
                <w:szCs w:val="20"/>
                <w:color w:val="auto"/>
              </w:rPr>
            </w:pPr>
            <w:r>
              <w:rPr>
                <w:rFonts w:ascii="Arial" w:cs="Arial" w:eastAsia="Arial" w:hAnsi="Arial"/>
                <w:sz w:val="16"/>
                <w:szCs w:val="16"/>
                <w:b w:val="1"/>
                <w:bCs w:val="1"/>
                <w:color w:val="auto"/>
              </w:rPr>
              <w:t>Long-term liabilities</w:t>
            </w:r>
          </w:p>
        </w:tc>
        <w:tc>
          <w:tcPr>
            <w:tcW w:w="2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revenue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86</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698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163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tax liabilities</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F7F7F7"/>
            </w:tcBorders>
          </w:tcPr>
          <w:p>
            <w:pPr>
              <w:spacing w:after="0"/>
              <w:rPr>
                <w:sz w:val="18"/>
                <w:szCs w:val="18"/>
                <w:color w:val="auto"/>
              </w:rPr>
            </w:pP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249</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97"/>
        </w:trPr>
        <w:tc>
          <w:tcPr>
            <w:tcW w:w="6980" w:type="dxa"/>
            <w:vAlign w:val="bottom"/>
            <w:tcBorders>
              <w:bottom w:val="single" w:sz="8" w:color="auto"/>
            </w:tcBorders>
            <w:shd w:val="clear" w:color="auto" w:fill="F7F7F7"/>
          </w:tcPr>
          <w:p>
            <w:pPr>
              <w:ind w:left="340"/>
              <w:spacing w:after="0"/>
              <w:rPr>
                <w:sz w:val="20"/>
                <w:szCs w:val="20"/>
                <w:color w:val="auto"/>
              </w:rPr>
            </w:pPr>
            <w:r>
              <w:rPr>
                <w:rFonts w:ascii="Arial" w:cs="Arial" w:eastAsia="Arial" w:hAnsi="Arial"/>
                <w:sz w:val="16"/>
                <w:szCs w:val="16"/>
                <w:b w:val="1"/>
                <w:bCs w:val="1"/>
                <w:color w:val="auto"/>
              </w:rPr>
              <w:t>Contingencies (Note 8)</w:t>
            </w:r>
          </w:p>
        </w:tc>
        <w:tc>
          <w:tcPr>
            <w:tcW w:w="2160" w:type="dxa"/>
            <w:vAlign w:val="bottom"/>
            <w:tcBorders>
              <w:bottom w:val="single" w:sz="8" w:color="auto"/>
            </w:tcBorders>
            <w:shd w:val="clear" w:color="auto" w:fill="F7F7F7"/>
          </w:tcPr>
          <w:p>
            <w:pPr>
              <w:spacing w:after="0"/>
              <w:rPr>
                <w:sz w:val="17"/>
                <w:szCs w:val="17"/>
                <w:color w:val="auto"/>
              </w:rPr>
            </w:pPr>
          </w:p>
        </w:tc>
        <w:tc>
          <w:tcPr>
            <w:tcW w:w="2040" w:type="dxa"/>
            <w:vAlign w:val="bottom"/>
            <w:tcBorders>
              <w:bottom w:val="single" w:sz="8" w:color="auto"/>
            </w:tcBorders>
            <w:shd w:val="clear" w:color="auto" w:fill="F7F7F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Shareholders’ equity</w:t>
            </w: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F7F7F7"/>
          </w:tcPr>
          <w:p>
            <w:pPr>
              <w:ind w:left="420"/>
              <w:spacing w:after="0" w:line="162" w:lineRule="exact"/>
              <w:rPr>
                <w:sz w:val="20"/>
                <w:szCs w:val="20"/>
                <w:color w:val="auto"/>
              </w:rPr>
            </w:pPr>
            <w:r>
              <w:rPr>
                <w:rFonts w:ascii="Arial" w:cs="Arial" w:eastAsia="Arial" w:hAnsi="Arial"/>
                <w:sz w:val="16"/>
                <w:szCs w:val="16"/>
                <w:color w:val="auto"/>
              </w:rPr>
              <w:t>Common stock, unlimited Class A subordinate voting shares authorized, 1,222,705,445</w:t>
            </w:r>
          </w:p>
        </w:tc>
        <w:tc>
          <w:tcPr>
            <w:tcW w:w="2160" w:type="dxa"/>
            <w:vAlign w:val="bottom"/>
            <w:shd w:val="clear" w:color="auto" w:fill="F7F7F7"/>
          </w:tcPr>
          <w:p>
            <w:pPr>
              <w:spacing w:after="0"/>
              <w:rPr>
                <w:sz w:val="14"/>
                <w:szCs w:val="14"/>
                <w:color w:val="auto"/>
              </w:rPr>
            </w:pPr>
          </w:p>
        </w:tc>
        <w:tc>
          <w:tcPr>
            <w:tcW w:w="204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F7F7F7"/>
          </w:tcPr>
          <w:p>
            <w:pPr>
              <w:ind w:left="420"/>
              <w:spacing w:after="0" w:line="162" w:lineRule="exact"/>
              <w:rPr>
                <w:sz w:val="20"/>
                <w:szCs w:val="20"/>
                <w:color w:val="auto"/>
              </w:rPr>
            </w:pPr>
            <w:r>
              <w:rPr>
                <w:rFonts w:ascii="Arial" w:cs="Arial" w:eastAsia="Arial" w:hAnsi="Arial"/>
                <w:sz w:val="16"/>
                <w:szCs w:val="16"/>
                <w:color w:val="auto"/>
              </w:rPr>
              <w:t>and 1,225,830,706, issued and outstanding; unlimited Class B restricted voting shares</w:t>
            </w:r>
          </w:p>
        </w:tc>
        <w:tc>
          <w:tcPr>
            <w:tcW w:w="2160" w:type="dxa"/>
            <w:vAlign w:val="bottom"/>
            <w:shd w:val="clear" w:color="auto" w:fill="F7F7F7"/>
          </w:tcPr>
          <w:p>
            <w:pPr>
              <w:spacing w:after="0"/>
              <w:rPr>
                <w:sz w:val="14"/>
                <w:szCs w:val="14"/>
                <w:color w:val="auto"/>
              </w:rPr>
            </w:pPr>
          </w:p>
        </w:tc>
        <w:tc>
          <w:tcPr>
            <w:tcW w:w="204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F7F7F7"/>
          </w:tcPr>
          <w:p>
            <w:pPr>
              <w:ind w:left="420"/>
              <w:spacing w:after="0" w:line="162" w:lineRule="exact"/>
              <w:rPr>
                <w:sz w:val="20"/>
                <w:szCs w:val="20"/>
                <w:color w:val="auto"/>
              </w:rPr>
            </w:pPr>
            <w:r>
              <w:rPr>
                <w:rFonts w:ascii="Arial" w:cs="Arial" w:eastAsia="Arial" w:hAnsi="Arial"/>
                <w:sz w:val="16"/>
                <w:szCs w:val="16"/>
                <w:color w:val="auto"/>
              </w:rPr>
              <w:t>authorized, 78,073,584 and 78,073,594 issued and outstanding; 1 Founder share</w:t>
            </w:r>
          </w:p>
        </w:tc>
        <w:tc>
          <w:tcPr>
            <w:tcW w:w="2160" w:type="dxa"/>
            <w:vAlign w:val="bottom"/>
            <w:vMerge w:val="restart"/>
            <w:shd w:val="clear" w:color="auto" w:fill="F7F7F7"/>
          </w:tcPr>
          <w:p>
            <w:pPr>
              <w:jc w:val="right"/>
              <w:ind w:right="219"/>
              <w:spacing w:after="0"/>
              <w:rPr>
                <w:sz w:val="20"/>
                <w:szCs w:val="20"/>
                <w:color w:val="auto"/>
              </w:rPr>
            </w:pPr>
            <w:r>
              <w:rPr>
                <w:rFonts w:ascii="Arial" w:cs="Arial" w:eastAsia="Arial" w:hAnsi="Arial"/>
                <w:sz w:val="16"/>
                <w:szCs w:val="16"/>
                <w:color w:val="auto"/>
              </w:rPr>
              <w:t>9,971</w:t>
            </w:r>
          </w:p>
        </w:tc>
        <w:tc>
          <w:tcPr>
            <w:tcW w:w="2040" w:type="dxa"/>
            <w:vAlign w:val="bottom"/>
            <w:vMerge w:val="restart"/>
            <w:shd w:val="clear" w:color="auto" w:fill="F7F7F7"/>
          </w:tcPr>
          <w:p>
            <w:pPr>
              <w:jc w:val="right"/>
              <w:ind w:right="79"/>
              <w:spacing w:after="0"/>
              <w:rPr>
                <w:sz w:val="20"/>
                <w:szCs w:val="20"/>
                <w:color w:val="auto"/>
              </w:rPr>
            </w:pPr>
            <w:r>
              <w:rPr>
                <w:rFonts w:ascii="Arial" w:cs="Arial" w:eastAsia="Arial" w:hAnsi="Arial"/>
                <w:sz w:val="16"/>
                <w:szCs w:val="16"/>
                <w:color w:val="auto"/>
              </w:rPr>
              <w:t>10,376</w:t>
            </w: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420"/>
              <w:spacing w:after="0"/>
              <w:rPr>
                <w:sz w:val="20"/>
                <w:szCs w:val="20"/>
                <w:color w:val="auto"/>
              </w:rPr>
            </w:pPr>
            <w:r>
              <w:rPr>
                <w:rFonts w:ascii="Arial" w:cs="Arial" w:eastAsia="Arial" w:hAnsi="Arial"/>
                <w:sz w:val="16"/>
                <w:szCs w:val="16"/>
                <w:color w:val="auto"/>
              </w:rPr>
              <w:t>authorized, 1 and 1 issued and outstanding</w:t>
            </w:r>
          </w:p>
        </w:tc>
        <w:tc>
          <w:tcPr>
            <w:tcW w:w="2160" w:type="dxa"/>
            <w:vAlign w:val="bottom"/>
            <w:vMerge w:val="continue"/>
            <w:shd w:val="clear" w:color="auto" w:fill="F7F7F7"/>
          </w:tcPr>
          <w:p>
            <w:pPr>
              <w:spacing w:after="0"/>
              <w:rPr>
                <w:sz w:val="18"/>
                <w:szCs w:val="18"/>
                <w:color w:val="auto"/>
              </w:rPr>
            </w:pPr>
          </w:p>
        </w:tc>
        <w:tc>
          <w:tcPr>
            <w:tcW w:w="204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255</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7"/>
        </w:trPr>
        <w:tc>
          <w:tcPr>
            <w:tcW w:w="69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Accumulated other comprehensive (loss) income</w:t>
            </w:r>
          </w:p>
        </w:tc>
        <w:tc>
          <w:tcPr>
            <w:tcW w:w="2160" w:type="dxa"/>
            <w:vAlign w:val="bottom"/>
            <w:shd w:val="clear" w:color="auto" w:fill="F7F7F7"/>
          </w:tcPr>
          <w:p>
            <w:pPr>
              <w:jc w:val="right"/>
              <w:ind w:right="199"/>
              <w:spacing w:after="0"/>
              <w:rPr>
                <w:sz w:val="20"/>
                <w:szCs w:val="20"/>
                <w:color w:val="auto"/>
              </w:rPr>
            </w:pPr>
            <w:r>
              <w:rPr>
                <w:rFonts w:ascii="Arial" w:cs="Arial" w:eastAsia="Arial" w:hAnsi="Arial"/>
                <w:sz w:val="16"/>
                <w:szCs w:val="16"/>
                <w:color w:val="auto"/>
              </w:rPr>
              <w:t>(4)</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980" w:type="dxa"/>
            <w:vAlign w:val="bottom"/>
            <w:tcBorders>
              <w:bottom w:val="single" w:sz="8" w:color="F7F7F7"/>
            </w:tcBorders>
          </w:tcPr>
          <w:p>
            <w:pPr>
              <w:ind w:left="460"/>
              <w:spacing w:after="0"/>
              <w:rPr>
                <w:sz w:val="20"/>
                <w:szCs w:val="20"/>
                <w:color w:val="auto"/>
              </w:rPr>
            </w:pPr>
            <w:r>
              <w:rPr>
                <w:rFonts w:ascii="Arial" w:cs="Arial" w:eastAsia="Arial" w:hAnsi="Arial"/>
                <w:sz w:val="16"/>
                <w:szCs w:val="16"/>
                <w:color w:val="auto"/>
              </w:rPr>
              <w:t>Accumulated surplus</w:t>
            </w:r>
          </w:p>
        </w:tc>
        <w:tc>
          <w:tcPr>
            <w:tcW w:w="2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2,279</w:t>
            </w: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6"/>
                <w:szCs w:val="16"/>
                <w:color w:val="auto"/>
              </w:rPr>
              <w:t>Total shareholders’ equity</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12,501</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13,473</w:t>
            </w:r>
          </w:p>
        </w:tc>
        <w:tc>
          <w:tcPr>
            <w:tcW w:w="0" w:type="dxa"/>
            <w:vAlign w:val="bottom"/>
          </w:tcPr>
          <w:p>
            <w:pPr>
              <w:spacing w:after="0"/>
              <w:rPr>
                <w:sz w:val="1"/>
                <w:szCs w:val="1"/>
                <w:color w:val="auto"/>
              </w:rPr>
            </w:pPr>
          </w:p>
        </w:tc>
      </w:tr>
      <w:tr>
        <w:trPr>
          <w:trHeight w:val="217"/>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Total liabilities and shareholders’ equity</w:t>
            </w:r>
          </w:p>
        </w:tc>
        <w:tc>
          <w:tcPr>
            <w:tcW w:w="2160" w:type="dxa"/>
            <w:vAlign w:val="bottom"/>
          </w:tcPr>
          <w:p>
            <w:pPr>
              <w:jc w:val="right"/>
              <w:ind w:right="219"/>
              <w:spacing w:after="0"/>
              <w:rPr>
                <w:sz w:val="20"/>
                <w:szCs w:val="20"/>
                <w:color w:val="auto"/>
              </w:rPr>
            </w:pPr>
            <w:r>
              <w:rPr>
                <w:rFonts w:ascii="Arial" w:cs="Arial" w:eastAsia="Arial" w:hAnsi="Arial"/>
                <w:sz w:val="16"/>
                <w:szCs w:val="16"/>
                <w:b w:val="1"/>
                <w:bCs w:val="1"/>
                <w:color w:val="auto"/>
              </w:rPr>
              <w:t>14,121</w:t>
            </w:r>
          </w:p>
        </w:tc>
        <w:tc>
          <w:tcPr>
            <w:tcW w:w="2040" w:type="dxa"/>
            <w:vAlign w:val="bottom"/>
          </w:tcPr>
          <w:p>
            <w:pPr>
              <w:jc w:val="right"/>
              <w:ind w:right="79"/>
              <w:spacing w:after="0"/>
              <w:rPr>
                <w:sz w:val="20"/>
                <w:szCs w:val="20"/>
                <w:color w:val="auto"/>
              </w:rPr>
            </w:pPr>
            <w:r>
              <w:rPr>
                <w:rFonts w:ascii="Arial" w:cs="Arial" w:eastAsia="Arial" w:hAnsi="Arial"/>
                <w:sz w:val="16"/>
                <w:szCs w:val="16"/>
                <w:b w:val="1"/>
                <w:bCs w:val="1"/>
                <w:color w:val="auto"/>
              </w:rPr>
              <w:t>15,189</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ind w:right="4580"/>
        <w:spacing w:after="0" w:line="252" w:lineRule="auto"/>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rPr>
          <w:sz w:val="20"/>
          <w:szCs w:val="20"/>
          <w:color w:val="auto"/>
        </w:rPr>
      </w:pPr>
      <w:r>
        <w:rPr>
          <w:rFonts w:ascii="Arial" w:cs="Arial" w:eastAsia="Arial" w:hAnsi="Arial"/>
          <w:sz w:val="16"/>
          <w:szCs w:val="16"/>
          <w:color w:val="auto"/>
        </w:rPr>
        <w:t>(Expressed in US $ millions, except share and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8320" w:type="dxa"/>
            <w:vAlign w:val="bottom"/>
          </w:tcPr>
          <w:p>
            <w:pPr>
              <w:ind w:left="1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750</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620</w:t>
            </w:r>
          </w:p>
        </w:tc>
      </w:tr>
      <w:tr>
        <w:trPr>
          <w:trHeight w:val="215"/>
        </w:trPr>
        <w:tc>
          <w:tcPr>
            <w:tcW w:w="832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2,420</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w:t>
            </w:r>
          </w:p>
        </w:tc>
      </w:tr>
      <w:tr>
        <w:trPr>
          <w:trHeight w:val="210"/>
        </w:trPr>
        <w:tc>
          <w:tcPr>
            <w:tcW w:w="8320" w:type="dxa"/>
            <w:vAlign w:val="bottom"/>
            <w:tcBorders>
              <w:bottom w:val="single" w:sz="8" w:color="auto"/>
            </w:tcBorders>
            <w:shd w:val="clear" w:color="auto" w:fill="F7F7F7"/>
          </w:tcPr>
          <w:p>
            <w:pPr>
              <w:spacing w:after="0"/>
              <w:rPr>
                <w:sz w:val="18"/>
                <w:szCs w:val="18"/>
                <w:color w:val="auto"/>
              </w:rPr>
            </w:pP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3,170</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2,360</w:t>
            </w:r>
          </w:p>
        </w:tc>
      </w:tr>
      <w:tr>
        <w:trPr>
          <w:trHeight w:val="88"/>
        </w:trPr>
        <w:tc>
          <w:tcPr>
            <w:tcW w:w="8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Cost of revenues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Subscription solutions</w:t>
            </w:r>
          </w:p>
        </w:tc>
        <w:tc>
          <w:tcPr>
            <w:tcW w:w="1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Merchant solutions</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1,476</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1,068</w:t>
            </w:r>
          </w:p>
        </w:tc>
      </w:tr>
      <w:tr>
        <w:trPr>
          <w:trHeight w:val="209"/>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1,624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109"/>
        </w:trPr>
        <w:tc>
          <w:tcPr>
            <w:tcW w:w="83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280" w:type="dxa"/>
            <w:vAlign w:val="bottom"/>
            <w:tcBorders>
              <w:bottom w:val="single" w:sz="8" w:color="auto"/>
            </w:tcBorders>
            <w:shd w:val="clear" w:color="auto" w:fill="F7F7F7"/>
          </w:tcPr>
          <w:p>
            <w:pPr>
              <w:spacing w:after="0"/>
              <w:rPr>
                <w:sz w:val="9"/>
                <w:szCs w:val="9"/>
                <w:color w:val="auto"/>
              </w:rPr>
            </w:pPr>
          </w:p>
        </w:tc>
        <w:tc>
          <w:tcPr>
            <w:tcW w:w="300" w:type="dxa"/>
            <w:vAlign w:val="bottom"/>
            <w:tcBorders>
              <w:bottom w:val="single" w:sz="8" w:color="auto"/>
            </w:tcBorders>
            <w:shd w:val="clear" w:color="auto" w:fill="F7F7F7"/>
          </w:tcPr>
          <w:p>
            <w:pPr>
              <w:spacing w:after="0"/>
              <w:rPr>
                <w:sz w:val="9"/>
                <w:szCs w:val="9"/>
                <w:color w:val="auto"/>
              </w:rPr>
            </w:pPr>
          </w:p>
        </w:tc>
        <w:tc>
          <w:tcPr>
            <w:tcW w:w="1160" w:type="dxa"/>
            <w:vAlign w:val="bottom"/>
            <w:tcBorders>
              <w:bottom w:val="single" w:sz="8" w:color="auto"/>
            </w:tcBorders>
            <w:shd w:val="clear" w:color="auto" w:fill="F7F7F7"/>
          </w:tcPr>
          <w:p>
            <w:pPr>
              <w:spacing w:after="0"/>
              <w:rPr>
                <w:sz w:val="9"/>
                <w:szCs w:val="9"/>
                <w:color w:val="auto"/>
              </w:rPr>
            </w:pPr>
          </w:p>
        </w:tc>
      </w:tr>
      <w:tr>
        <w:trPr>
          <w:trHeight w:val="210"/>
        </w:trPr>
        <w:tc>
          <w:tcPr>
            <w:tcW w:w="83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1,546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1,169</w:t>
            </w:r>
          </w:p>
        </w:tc>
      </w:tr>
      <w:tr>
        <w:trPr>
          <w:trHeight w:val="88"/>
        </w:trPr>
        <w:tc>
          <w:tcPr>
            <w:tcW w:w="832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128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496</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405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7"/>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832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Transaction and loan losses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1,164</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966</w:t>
            </w:r>
          </w:p>
        </w:tc>
      </w:tr>
      <w:tr>
        <w:trPr>
          <w:trHeight w:val="209"/>
        </w:trPr>
        <w:tc>
          <w:tcPr>
            <w:tcW w:w="83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r>
      <w:tr>
        <w:trPr>
          <w:trHeight w:val="88"/>
        </w:trPr>
        <w:tc>
          <w:tcPr>
            <w:tcW w:w="832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128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6"/>
                <w:szCs w:val="16"/>
                <w:b w:val="1"/>
                <w:bCs w:val="1"/>
                <w:color w:val="auto"/>
              </w:rPr>
              <w:t>Other expense, net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75</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realized gain on equity and other investments</w:t>
            </w:r>
          </w:p>
        </w:tc>
        <w:tc>
          <w:tcPr>
            <w:tcW w:w="1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Net unrealized loss on equity and other investments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(1,064)</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(1,021)</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loss on equity method investment</w:t>
            </w:r>
          </w:p>
        </w:tc>
        <w:tc>
          <w:tcPr>
            <w:tcW w:w="1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Foreign exchange (loss) gain</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32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10"/>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color w:val="auto"/>
              </w:rPr>
              <w:t>Loss before income taxes</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(634)</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(770)</w:t>
            </w:r>
          </w:p>
        </w:tc>
      </w:tr>
      <w:tr>
        <w:trPr>
          <w:trHeight w:val="209"/>
        </w:trPr>
        <w:tc>
          <w:tcPr>
            <w:tcW w:w="832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Recovery of income taxes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10"/>
        </w:trPr>
        <w:tc>
          <w:tcPr>
            <w:tcW w:w="832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(581)</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(682)</w:t>
            </w:r>
          </w:p>
        </w:tc>
      </w:tr>
      <w:tr>
        <w:trPr>
          <w:trHeight w:val="88"/>
        </w:trPr>
        <w:tc>
          <w:tcPr>
            <w:tcW w:w="8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Net loss per share attributable to shareholders: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(0.53)</w:t>
            </w:r>
          </w:p>
        </w:tc>
      </w:tr>
      <w:tr>
        <w:trPr>
          <w:trHeight w:val="217"/>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(0.45)</w:t>
            </w:r>
          </w:p>
        </w:tc>
        <w:tc>
          <w:tcPr>
            <w:tcW w:w="3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(0.53)</w:t>
            </w:r>
          </w:p>
        </w:tc>
      </w:tr>
      <w:tr>
        <w:trPr>
          <w:trHeight w:val="108"/>
        </w:trPr>
        <w:tc>
          <w:tcPr>
            <w:tcW w:w="8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Weighted average shares used to compute net loss per share attributable to shareholders: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1,303,357,874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1,295,377,376</w:t>
            </w:r>
          </w:p>
        </w:tc>
      </w:tr>
      <w:tr>
        <w:trPr>
          <w:trHeight w:val="216"/>
        </w:trPr>
        <w:tc>
          <w:tcPr>
            <w:tcW w:w="8320" w:type="dxa"/>
            <w:vAlign w:val="bottom"/>
            <w:tcBorders>
              <w:bottom w:val="single" w:sz="8" w:color="auto"/>
            </w:tcBorders>
            <w:shd w:val="clear" w:color="auto" w:fill="F7F7F7"/>
          </w:tcPr>
          <w:p>
            <w:pPr>
              <w:ind w:left="3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1,303,357,874</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1,295,377,376</w:t>
            </w:r>
          </w:p>
        </w:tc>
      </w:tr>
      <w:tr>
        <w:trPr>
          <w:trHeight w:val="89"/>
        </w:trPr>
        <w:tc>
          <w:tcPr>
            <w:tcW w:w="8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Other comprehensive (loss) income</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Unrealized gain (loss) on cash flow hedges</w:t>
            </w:r>
          </w:p>
        </w:tc>
        <w:tc>
          <w:tcPr>
            <w:tcW w:w="1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320" w:type="dxa"/>
            <w:vAlign w:val="bottom"/>
            <w:shd w:val="clear" w:color="auto" w:fill="F7F7F7"/>
          </w:tcPr>
          <w:p>
            <w:pPr>
              <w:ind w:left="360"/>
              <w:spacing w:after="0"/>
              <w:rPr>
                <w:sz w:val="20"/>
                <w:szCs w:val="20"/>
                <w:color w:val="auto"/>
              </w:rPr>
            </w:pPr>
            <w:r>
              <w:rPr>
                <w:rFonts w:ascii="Arial" w:cs="Arial" w:eastAsia="Arial" w:hAnsi="Arial"/>
                <w:sz w:val="16"/>
                <w:szCs w:val="16"/>
                <w:color w:val="auto"/>
              </w:rPr>
              <w:t>Tax effect on unrealized gain (loss) on cash flow hedges</w:t>
            </w:r>
          </w:p>
        </w:tc>
        <w:tc>
          <w:tcPr>
            <w:tcW w:w="18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shd w:val="clear" w:color="auto" w:fill="F7F7F7"/>
          </w:tcPr>
          <w:p>
            <w:pPr>
              <w:spacing w:after="0"/>
              <w:rPr>
                <w:sz w:val="18"/>
                <w:szCs w:val="18"/>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32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32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Comprehensive loss</w:t>
            </w:r>
          </w:p>
        </w:tc>
        <w:tc>
          <w:tcPr>
            <w:tcW w:w="180" w:type="dxa"/>
            <w:vAlign w:val="bottom"/>
            <w:shd w:val="clear" w:color="auto" w:fill="F7F7F7"/>
          </w:tcPr>
          <w:p>
            <w:pPr>
              <w:spacing w:after="0"/>
              <w:rPr>
                <w:sz w:val="18"/>
                <w:szCs w:val="18"/>
                <w:color w:val="auto"/>
              </w:rPr>
            </w:pP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(586)</w:t>
            </w:r>
          </w:p>
        </w:tc>
        <w:tc>
          <w:tcPr>
            <w:tcW w:w="300" w:type="dxa"/>
            <w:vAlign w:val="bottom"/>
            <w:shd w:val="clear" w:color="auto" w:fill="F7F7F7"/>
          </w:tcPr>
          <w:p>
            <w:pPr>
              <w:spacing w:after="0"/>
              <w:rPr>
                <w:sz w:val="18"/>
                <w:szCs w:val="18"/>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(678)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rPr>
          <w:sz w:val="20"/>
          <w:szCs w:val="20"/>
          <w:color w:val="auto"/>
        </w:rPr>
      </w:pPr>
      <w:r>
        <w:rPr>
          <w:rFonts w:ascii="Arial" w:cs="Arial" w:eastAsia="Arial" w:hAnsi="Arial"/>
          <w:sz w:val="16"/>
          <w:szCs w:val="16"/>
          <w:color w:val="auto"/>
        </w:rPr>
        <w:t>(Expressed in US $ millions, except share amounts)</w:t>
      </w:r>
    </w:p>
    <w:p>
      <w:pPr>
        <w:spacing w:after="0" w:line="111"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72390</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20" w:lineRule="exact"/>
        <w:rPr>
          <w:sz w:val="20"/>
          <w:szCs w:val="20"/>
          <w:color w:val="auto"/>
        </w:rPr>
      </w:pPr>
    </w:p>
    <w:p>
      <w:pPr>
        <w:jc w:val="both"/>
        <w:ind w:left="4600"/>
        <w:spacing w:after="0"/>
        <w:tabs>
          <w:tab w:leader="none" w:pos="572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20"/>
                <w:szCs w:val="20"/>
                <w:color w:val="auto"/>
              </w:rPr>
            </w:pPr>
            <w:r>
              <w:rPr>
                <w:rFonts w:ascii="Arial" w:cs="Arial" w:eastAsia="Arial" w:hAnsi="Arial"/>
                <w:sz w:val="16"/>
                <w:szCs w:val="16"/>
                <w:b w:val="1"/>
                <w:bCs w:val="1"/>
                <w:color w:val="auto"/>
              </w:rPr>
              <w:t>Additional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940" w:type="dxa"/>
            <w:vAlign w:val="bottom"/>
            <w:vMerge w:val="restart"/>
          </w:tcPr>
          <w:p>
            <w:pPr>
              <w:ind w:left="160"/>
              <w:spacing w:after="0" w:line="148" w:lineRule="exact"/>
              <w:rPr>
                <w:sz w:val="20"/>
                <w:szCs w:val="20"/>
                <w:color w:val="auto"/>
              </w:rPr>
            </w:pPr>
            <w:r>
              <w:rPr>
                <w:rFonts w:ascii="Arial" w:cs="Arial" w:eastAsia="Arial" w:hAnsi="Arial"/>
                <w:sz w:val="16"/>
                <w:szCs w:val="16"/>
                <w:b w:val="1"/>
                <w:bCs w:val="1"/>
                <w:color w:val="auto"/>
              </w:rPr>
              <w:t>Paid-In</w:t>
            </w:r>
          </w:p>
        </w:tc>
        <w:tc>
          <w:tcPr>
            <w:tcW w:w="134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Other</w:t>
            </w:r>
          </w:p>
        </w:tc>
        <w:tc>
          <w:tcPr>
            <w:tcW w:w="126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rPr>
              <w:t>(Deficit)</w:t>
            </w:r>
          </w:p>
        </w:tc>
        <w:tc>
          <w:tcPr>
            <w:tcW w:w="620" w:type="dxa"/>
            <w:vAlign w:val="bottom"/>
            <w:vMerge w:val="restart"/>
          </w:tcPr>
          <w:p>
            <w:pPr>
              <w:ind w:left="260"/>
              <w:spacing w:after="0" w:line="148"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77"/>
        </w:trPr>
        <w:tc>
          <w:tcPr>
            <w:tcW w:w="940" w:type="dxa"/>
            <w:vAlign w:val="bottom"/>
            <w:vMerge w:val="continue"/>
          </w:tcPr>
          <w:p>
            <w:pPr>
              <w:spacing w:after="0"/>
              <w:rPr>
                <w:sz w:val="6"/>
                <w:szCs w:val="6"/>
                <w:color w:val="auto"/>
              </w:rPr>
            </w:pPr>
          </w:p>
        </w:tc>
        <w:tc>
          <w:tcPr>
            <w:tcW w:w="13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12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4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Capital</w:t>
            </w:r>
          </w:p>
        </w:tc>
        <w:tc>
          <w:tcPr>
            <w:tcW w:w="1340" w:type="dxa"/>
            <w:vAlign w:val="bottom"/>
            <w:vMerge w:val="continue"/>
          </w:tcPr>
          <w:p>
            <w:pPr>
              <w:spacing w:after="0"/>
              <w:rPr>
                <w:sz w:val="6"/>
                <w:szCs w:val="6"/>
                <w:color w:val="auto"/>
              </w:rPr>
            </w:pPr>
          </w:p>
        </w:tc>
        <w:tc>
          <w:tcPr>
            <w:tcW w:w="12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Surplus</w:t>
            </w: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12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40" w:space="420"/>
            <w:col w:w="4480"/>
          </w:cols>
          <w:pgMar w:left="320" w:top="944"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2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1,294,580,140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9,634</w:t>
            </w:r>
          </w:p>
        </w:tc>
        <w:tc>
          <w:tcPr>
            <w:tcW w:w="1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w:t>
            </w:r>
          </w:p>
        </w:tc>
        <w:tc>
          <w:tcPr>
            <w:tcW w:w="12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1,629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11,558</w:t>
            </w:r>
          </w:p>
        </w:tc>
        <w:tc>
          <w:tcPr>
            <w:tcW w:w="0" w:type="dxa"/>
            <w:vAlign w:val="bottom"/>
          </w:tcPr>
          <w:p>
            <w:pPr>
              <w:spacing w:after="0"/>
              <w:rPr>
                <w:sz w:val="1"/>
                <w:szCs w:val="1"/>
                <w:color w:val="auto"/>
              </w:rPr>
            </w:pPr>
          </w:p>
        </w:tc>
      </w:tr>
      <w:tr>
        <w:trPr>
          <w:trHeight w:val="210"/>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1,190,811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87</w:t>
            </w:r>
          </w:p>
        </w:tc>
        <w:tc>
          <w:tcPr>
            <w:tcW w:w="1220" w:type="dxa"/>
            <w:vAlign w:val="bottom"/>
            <w:shd w:val="clear" w:color="auto" w:fill="F7F7F7"/>
          </w:tcPr>
          <w:p>
            <w:pPr>
              <w:jc w:val="right"/>
              <w:ind w:right="20"/>
              <w:spacing w:after="0"/>
              <w:rPr>
                <w:sz w:val="20"/>
                <w:szCs w:val="20"/>
                <w:color w:val="auto"/>
              </w:rPr>
            </w:pPr>
            <w:r>
              <w:rPr>
                <w:rFonts w:ascii="Arial" w:cs="Arial" w:eastAsia="Arial" w:hAnsi="Arial"/>
                <w:sz w:val="16"/>
                <w:szCs w:val="16"/>
                <w:color w:val="auto"/>
              </w:rPr>
              <w:t>(28)</w:t>
            </w:r>
          </w:p>
        </w:tc>
        <w:tc>
          <w:tcPr>
            <w:tcW w:w="1280" w:type="dxa"/>
            <w:vAlign w:val="bottom"/>
            <w:shd w:val="clear" w:color="auto" w:fill="F7F7F7"/>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114</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7"/>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1,055,597</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86</w:t>
            </w:r>
          </w:p>
        </w:tc>
        <w:tc>
          <w:tcPr>
            <w:tcW w:w="1220" w:type="dxa"/>
            <w:vAlign w:val="bottom"/>
            <w:shd w:val="clear" w:color="auto" w:fill="F7F7F7"/>
          </w:tcPr>
          <w:p>
            <w:pPr>
              <w:jc w:val="right"/>
              <w:ind w:right="20"/>
              <w:spacing w:after="0"/>
              <w:rPr>
                <w:sz w:val="20"/>
                <w:szCs w:val="20"/>
                <w:color w:val="auto"/>
              </w:rPr>
            </w:pPr>
            <w:r>
              <w:rPr>
                <w:rFonts w:ascii="Arial" w:cs="Arial" w:eastAsia="Arial" w:hAnsi="Arial"/>
                <w:sz w:val="16"/>
                <w:szCs w:val="16"/>
                <w:color w:val="auto"/>
              </w:rPr>
              <w:t>(88)</w:t>
            </w:r>
          </w:p>
        </w:tc>
        <w:tc>
          <w:tcPr>
            <w:tcW w:w="1280" w:type="dxa"/>
            <w:vAlign w:val="bottom"/>
            <w:shd w:val="clear" w:color="auto" w:fill="F7F7F7"/>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Issuance of shares related to business acquisition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252,257</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loss and comprehensive income for the period</w:t>
            </w:r>
          </w:p>
        </w:tc>
        <w:tc>
          <w:tcPr>
            <w:tcW w:w="126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7F7F7"/>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7F7F7"/>
          </w:tcPr>
          <w:p>
            <w:pPr>
              <w:jc w:val="right"/>
              <w:ind w:right="82"/>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shd w:val="clear" w:color="auto" w:fill="F7F7F7"/>
          </w:tcPr>
          <w:p>
            <w:pPr>
              <w:jc w:val="right"/>
              <w:ind w:right="161"/>
              <w:spacing w:after="0"/>
              <w:rPr>
                <w:sz w:val="20"/>
                <w:szCs w:val="20"/>
                <w:color w:val="auto"/>
              </w:rPr>
            </w:pPr>
            <w:r>
              <w:rPr>
                <w:rFonts w:ascii="Arial" w:cs="Arial" w:eastAsia="Arial" w:hAnsi="Arial"/>
                <w:sz w:val="16"/>
                <w:szCs w:val="16"/>
                <w:color w:val="auto"/>
              </w:rPr>
              <w:t>(682)</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As of March 31, 2025</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1,297,078,805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9,831</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279</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w:t>
            </w: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947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11,051</w:t>
            </w:r>
          </w:p>
        </w:tc>
        <w:tc>
          <w:tcPr>
            <w:tcW w:w="0" w:type="dxa"/>
            <w:vAlign w:val="bottom"/>
          </w:tcPr>
          <w:p>
            <w:pPr>
              <w:spacing w:after="0"/>
              <w:rPr>
                <w:sz w:val="1"/>
                <w:szCs w:val="1"/>
                <w:color w:val="auto"/>
              </w:rPr>
            </w:pPr>
          </w:p>
        </w:tc>
      </w:tr>
      <w:tr>
        <w:trPr>
          <w:trHeight w:val="425"/>
        </w:trPr>
        <w:tc>
          <w:tcPr>
            <w:tcW w:w="4320" w:type="dxa"/>
            <w:vAlign w:val="bottom"/>
          </w:tcPr>
          <w:p>
            <w:pPr>
              <w:spacing w:after="0"/>
              <w:rPr>
                <w:sz w:val="24"/>
                <w:szCs w:val="24"/>
                <w:color w:val="auto"/>
              </w:rPr>
            </w:pPr>
          </w:p>
        </w:tc>
        <w:tc>
          <w:tcPr>
            <w:tcW w:w="222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2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Other</w:t>
            </w:r>
          </w:p>
        </w:tc>
        <w:tc>
          <w:tcPr>
            <w:tcW w:w="1280" w:type="dxa"/>
            <w:vAlign w:val="bottom"/>
            <w:vMerge w:val="continue"/>
          </w:tcPr>
          <w:p>
            <w:pPr>
              <w:spacing w:after="0"/>
              <w:rPr>
                <w:sz w:val="7"/>
                <w:szCs w:val="7"/>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20" w:type="dxa"/>
            <w:vAlign w:val="bottom"/>
          </w:tcPr>
          <w:p>
            <w:pPr>
              <w:jc w:val="right"/>
              <w:ind w:right="220"/>
              <w:spacing w:after="0" w:line="115" w:lineRule="exact"/>
              <w:rPr>
                <w:sz w:val="20"/>
                <w:szCs w:val="20"/>
                <w:color w:val="auto"/>
              </w:rPr>
            </w:pPr>
            <w:r>
              <w:rPr>
                <w:rFonts w:ascii="Arial" w:cs="Arial" w:eastAsia="Arial" w:hAnsi="Arial"/>
                <w:sz w:val="13"/>
                <w:szCs w:val="13"/>
                <w:b w:val="1"/>
                <w:bCs w:val="1"/>
                <w:color w:val="auto"/>
              </w:rPr>
              <w:t>Paid-In</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Comprehensive</w:t>
            </w:r>
          </w:p>
        </w:tc>
        <w:tc>
          <w:tcPr>
            <w:tcW w:w="1280" w:type="dxa"/>
            <w:vAlign w:val="bottom"/>
          </w:tcPr>
          <w:p>
            <w:pPr>
              <w:jc w:val="right"/>
              <w:ind w:right="381"/>
              <w:spacing w:after="0" w:line="115" w:lineRule="exact"/>
              <w:rPr>
                <w:sz w:val="20"/>
                <w:szCs w:val="20"/>
                <w:color w:val="auto"/>
              </w:rPr>
            </w:pPr>
            <w:r>
              <w:rPr>
                <w:rFonts w:ascii="Arial" w:cs="Arial" w:eastAsia="Arial" w:hAnsi="Arial"/>
                <w:sz w:val="13"/>
                <w:szCs w:val="13"/>
                <w:b w:val="1"/>
                <w:bCs w:val="1"/>
                <w:color w:val="auto"/>
              </w:rPr>
              <w:t>(Deficit)</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320" w:type="dxa"/>
            <w:vAlign w:val="bottom"/>
          </w:tcPr>
          <w:p>
            <w:pPr>
              <w:spacing w:after="0"/>
              <w:rPr>
                <w:sz w:val="4"/>
                <w:szCs w:val="4"/>
                <w:color w:val="auto"/>
              </w:rPr>
            </w:pPr>
          </w:p>
        </w:tc>
        <w:tc>
          <w:tcPr>
            <w:tcW w:w="12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22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Capital</w:t>
            </w:r>
          </w:p>
        </w:tc>
        <w:tc>
          <w:tcPr>
            <w:tcW w:w="1280" w:type="dxa"/>
            <w:vAlign w:val="bottom"/>
            <w:vMerge w:val="continue"/>
          </w:tcPr>
          <w:p>
            <w:pPr>
              <w:spacing w:after="0"/>
              <w:rPr>
                <w:sz w:val="4"/>
                <w:szCs w:val="4"/>
                <w:color w:val="auto"/>
              </w:rPr>
            </w:pPr>
          </w:p>
        </w:tc>
        <w:tc>
          <w:tcPr>
            <w:tcW w:w="12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Surplus</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1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1,303,904,301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10,376</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236</w:t>
            </w: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2,860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13,473</w:t>
            </w:r>
          </w:p>
        </w:tc>
        <w:tc>
          <w:tcPr>
            <w:tcW w:w="0" w:type="dxa"/>
            <w:vAlign w:val="bottom"/>
          </w:tcPr>
          <w:p>
            <w:pPr>
              <w:spacing w:after="0"/>
              <w:rPr>
                <w:sz w:val="1"/>
                <w:szCs w:val="1"/>
                <w:color w:val="auto"/>
              </w:rPr>
            </w:pPr>
          </w:p>
        </w:tc>
      </w:tr>
      <w:tr>
        <w:trPr>
          <w:trHeight w:val="209"/>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202,056</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w:t>
            </w:r>
          </w:p>
        </w:tc>
        <w:tc>
          <w:tcPr>
            <w:tcW w:w="1220" w:type="dxa"/>
            <w:vAlign w:val="bottom"/>
            <w:shd w:val="clear" w:color="auto" w:fill="F7F7F7"/>
          </w:tcPr>
          <w:p>
            <w:pPr>
              <w:jc w:val="right"/>
              <w:ind w:right="20"/>
              <w:spacing w:after="0"/>
              <w:rPr>
                <w:sz w:val="20"/>
                <w:szCs w:val="20"/>
                <w:color w:val="auto"/>
              </w:rPr>
            </w:pPr>
            <w:r>
              <w:rPr>
                <w:rFonts w:ascii="Arial" w:cs="Arial" w:eastAsia="Arial" w:hAnsi="Arial"/>
                <w:sz w:val="16"/>
                <w:szCs w:val="16"/>
                <w:color w:val="auto"/>
              </w:rPr>
              <w:t>(4)</w:t>
            </w:r>
          </w:p>
        </w:tc>
        <w:tc>
          <w:tcPr>
            <w:tcW w:w="1280" w:type="dxa"/>
            <w:vAlign w:val="bottom"/>
            <w:shd w:val="clear" w:color="auto" w:fill="F7F7F7"/>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132</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886,692</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106</w:t>
            </w:r>
          </w:p>
        </w:tc>
        <w:tc>
          <w:tcPr>
            <w:tcW w:w="1220" w:type="dxa"/>
            <w:vAlign w:val="bottom"/>
            <w:shd w:val="clear" w:color="auto" w:fill="F7F7F7"/>
          </w:tcPr>
          <w:p>
            <w:pPr>
              <w:jc w:val="right"/>
              <w:ind w:right="20"/>
              <w:spacing w:after="0"/>
              <w:rPr>
                <w:sz w:val="20"/>
                <w:szCs w:val="20"/>
                <w:color w:val="auto"/>
              </w:rPr>
            </w:pPr>
            <w:r>
              <w:rPr>
                <w:rFonts w:ascii="Arial" w:cs="Arial" w:eastAsia="Arial" w:hAnsi="Arial"/>
                <w:sz w:val="16"/>
                <w:szCs w:val="16"/>
                <w:color w:val="auto"/>
              </w:rPr>
              <w:t>(109)</w:t>
            </w:r>
          </w:p>
        </w:tc>
        <w:tc>
          <w:tcPr>
            <w:tcW w:w="1280" w:type="dxa"/>
            <w:vAlign w:val="bottom"/>
            <w:shd w:val="clear" w:color="auto" w:fill="F7F7F7"/>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(4,214,019)</w:t>
            </w:r>
          </w:p>
        </w:tc>
        <w:tc>
          <w:tcPr>
            <w:tcW w:w="960" w:type="dxa"/>
            <w:vAlign w:val="bottom"/>
          </w:tcPr>
          <w:p>
            <w:pPr>
              <w:jc w:val="right"/>
              <w:spacing w:after="0"/>
              <w:rPr>
                <w:sz w:val="20"/>
                <w:szCs w:val="20"/>
                <w:color w:val="auto"/>
              </w:rPr>
            </w:pPr>
            <w:r>
              <w:rPr>
                <w:rFonts w:ascii="Arial" w:cs="Arial" w:eastAsia="Arial" w:hAnsi="Arial"/>
                <w:sz w:val="16"/>
                <w:szCs w:val="16"/>
                <w:color w:val="auto"/>
              </w:rPr>
              <w:t>(521)</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7"/>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loss and comprehensive loss for the period</w:t>
            </w:r>
          </w:p>
        </w:tc>
        <w:tc>
          <w:tcPr>
            <w:tcW w:w="126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7F7F7"/>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7F7F7"/>
          </w:tcPr>
          <w:p>
            <w:pPr>
              <w:jc w:val="right"/>
              <w:ind w:right="42"/>
              <w:spacing w:after="0"/>
              <w:rPr>
                <w:sz w:val="20"/>
                <w:szCs w:val="20"/>
                <w:color w:val="auto"/>
              </w:rPr>
            </w:pPr>
            <w:r>
              <w:rPr>
                <w:rFonts w:ascii="Arial" w:cs="Arial" w:eastAsia="Arial" w:hAnsi="Arial"/>
                <w:sz w:val="16"/>
                <w:szCs w:val="16"/>
                <w:color w:val="auto"/>
              </w:rPr>
              <w:t>(5)</w:t>
            </w:r>
          </w:p>
        </w:tc>
        <w:tc>
          <w:tcPr>
            <w:tcW w:w="1280" w:type="dxa"/>
            <w:vAlign w:val="bottom"/>
            <w:tcBorders>
              <w:bottom w:val="single" w:sz="8" w:color="auto"/>
            </w:tcBorders>
            <w:shd w:val="clear" w:color="auto" w:fill="F7F7F7"/>
          </w:tcPr>
          <w:p>
            <w:pPr>
              <w:jc w:val="right"/>
              <w:ind w:right="161"/>
              <w:spacing w:after="0"/>
              <w:rPr>
                <w:sz w:val="20"/>
                <w:szCs w:val="20"/>
                <w:color w:val="auto"/>
              </w:rPr>
            </w:pPr>
            <w:r>
              <w:rPr>
                <w:rFonts w:ascii="Arial" w:cs="Arial" w:eastAsia="Arial" w:hAnsi="Arial"/>
                <w:sz w:val="16"/>
                <w:szCs w:val="16"/>
                <w:color w:val="auto"/>
              </w:rPr>
              <w:t>(581)</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1,300,779,030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9,971</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255</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w:t>
            </w: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2,279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(Expressed in US $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29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Net loss for the period</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(581)</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(682)</w:t>
            </w: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8320" w:type="dxa"/>
            <w:vAlign w:val="bottom"/>
            <w:shd w:val="clear" w:color="auto" w:fill="F7F7F7"/>
          </w:tcPr>
          <w:p>
            <w:pPr>
              <w:ind w:left="460"/>
              <w:spacing w:after="0"/>
              <w:rPr>
                <w:sz w:val="20"/>
                <w:szCs w:val="20"/>
                <w:color w:val="auto"/>
              </w:rPr>
            </w:pPr>
            <w:r>
              <w:rPr>
                <w:rFonts w:ascii="Arial" w:cs="Arial" w:eastAsia="Arial" w:hAnsi="Arial"/>
                <w:sz w:val="16"/>
                <w:szCs w:val="16"/>
                <w:color w:val="auto"/>
              </w:rPr>
              <w:t>Amortization and depreciation</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7</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w:t>
            </w:r>
          </w:p>
        </w:tc>
      </w:tr>
      <w:tr>
        <w:trPr>
          <w:trHeight w:val="215"/>
        </w:trPr>
        <w:tc>
          <w:tcPr>
            <w:tcW w:w="832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132</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114</w:t>
            </w:r>
          </w:p>
        </w:tc>
      </w:tr>
      <w:tr>
        <w:trPr>
          <w:trHeight w:val="217"/>
        </w:trPr>
        <w:tc>
          <w:tcPr>
            <w:tcW w:w="8320" w:type="dxa"/>
            <w:vAlign w:val="bottom"/>
            <w:shd w:val="clear" w:color="auto" w:fill="F7F7F7"/>
          </w:tcPr>
          <w:p>
            <w:pPr>
              <w:ind w:left="480"/>
              <w:spacing w:after="0"/>
              <w:rPr>
                <w:sz w:val="20"/>
                <w:szCs w:val="20"/>
                <w:color w:val="auto"/>
              </w:rPr>
            </w:pPr>
            <w:r>
              <w:rPr>
                <w:rFonts w:ascii="Arial" w:cs="Arial" w:eastAsia="Arial" w:hAnsi="Arial"/>
                <w:sz w:val="16"/>
                <w:szCs w:val="16"/>
                <w:color w:val="auto"/>
              </w:rPr>
              <w:t>Provision for transaction and loan losses</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48</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43</w:t>
            </w:r>
          </w:p>
        </w:tc>
      </w:tr>
      <w:tr>
        <w:trPr>
          <w:trHeight w:val="215"/>
        </w:trPr>
        <w:tc>
          <w:tcPr>
            <w:tcW w:w="8320" w:type="dxa"/>
            <w:vAlign w:val="bottom"/>
          </w:tcPr>
          <w:p>
            <w:pPr>
              <w:ind w:left="460"/>
              <w:spacing w:after="0"/>
              <w:rPr>
                <w:sz w:val="20"/>
                <w:szCs w:val="20"/>
                <w:color w:val="auto"/>
              </w:rPr>
            </w:pPr>
            <w:r>
              <w:rPr>
                <w:rFonts w:ascii="Arial" w:cs="Arial" w:eastAsia="Arial" w:hAnsi="Arial"/>
                <w:sz w:val="16"/>
                <w:szCs w:val="16"/>
                <w:color w:val="auto"/>
              </w:rPr>
              <w:t>Deferred income tax recovery</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(139)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(129)</w:t>
            </w:r>
          </w:p>
        </w:tc>
      </w:tr>
      <w:tr>
        <w:trPr>
          <w:trHeight w:val="217"/>
        </w:trPr>
        <w:tc>
          <w:tcPr>
            <w:tcW w:w="8320" w:type="dxa"/>
            <w:vAlign w:val="bottom"/>
            <w:shd w:val="clear" w:color="auto" w:fill="F7F7F7"/>
          </w:tcPr>
          <w:p>
            <w:pPr>
              <w:ind w:left="480"/>
              <w:spacing w:after="0"/>
              <w:rPr>
                <w:sz w:val="20"/>
                <w:szCs w:val="20"/>
                <w:color w:val="auto"/>
              </w:rPr>
            </w:pPr>
            <w:r>
              <w:rPr>
                <w:rFonts w:ascii="Arial" w:cs="Arial" w:eastAsia="Arial" w:hAnsi="Arial"/>
                <w:sz w:val="16"/>
                <w:szCs w:val="16"/>
                <w:color w:val="auto"/>
              </w:rPr>
              <w:t>Revenue related to non-cash consideration</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(12)</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w:t>
            </w:r>
          </w:p>
        </w:tc>
      </w:tr>
      <w:tr>
        <w:trPr>
          <w:trHeight w:val="215"/>
        </w:trPr>
        <w:tc>
          <w:tcPr>
            <w:tcW w:w="8320" w:type="dxa"/>
            <w:vAlign w:val="bottom"/>
          </w:tcPr>
          <w:p>
            <w:pPr>
              <w:ind w:left="480"/>
              <w:spacing w:after="0"/>
              <w:rPr>
                <w:sz w:val="20"/>
                <w:szCs w:val="20"/>
                <w:color w:val="auto"/>
              </w:rPr>
            </w:pPr>
            <w:r>
              <w:rPr>
                <w:rFonts w:ascii="Arial" w:cs="Arial" w:eastAsia="Arial" w:hAnsi="Arial"/>
                <w:sz w:val="16"/>
                <w:szCs w:val="16"/>
                <w:color w:val="auto"/>
              </w:rPr>
              <w:t>Net loss on equity and other investments</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1,061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1,021</w:t>
            </w:r>
          </w:p>
        </w:tc>
      </w:tr>
      <w:tr>
        <w:trPr>
          <w:trHeight w:val="217"/>
        </w:trPr>
        <w:tc>
          <w:tcPr>
            <w:tcW w:w="8320" w:type="dxa"/>
            <w:vAlign w:val="bottom"/>
            <w:shd w:val="clear" w:color="auto" w:fill="F7F7F7"/>
          </w:tcPr>
          <w:p>
            <w:pPr>
              <w:ind w:left="460"/>
              <w:spacing w:after="0"/>
              <w:rPr>
                <w:sz w:val="20"/>
                <w:szCs w:val="20"/>
                <w:color w:val="auto"/>
              </w:rPr>
            </w:pPr>
            <w:r>
              <w:rPr>
                <w:rFonts w:ascii="Arial" w:cs="Arial" w:eastAsia="Arial" w:hAnsi="Arial"/>
                <w:sz w:val="16"/>
                <w:szCs w:val="16"/>
                <w:color w:val="auto"/>
              </w:rPr>
              <w:t>Net loss on equity method investment</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21</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23</w:t>
            </w:r>
          </w:p>
        </w:tc>
      </w:tr>
      <w:tr>
        <w:trPr>
          <w:trHeight w:val="215"/>
        </w:trPr>
        <w:tc>
          <w:tcPr>
            <w:tcW w:w="8320" w:type="dxa"/>
            <w:vAlign w:val="bottom"/>
          </w:tcPr>
          <w:p>
            <w:pPr>
              <w:ind w:left="460"/>
              <w:spacing w:after="0"/>
              <w:rPr>
                <w:sz w:val="20"/>
                <w:szCs w:val="20"/>
                <w:color w:val="auto"/>
              </w:rPr>
            </w:pPr>
            <w:r>
              <w:rPr>
                <w:rFonts w:ascii="Arial" w:cs="Arial" w:eastAsia="Arial" w:hAnsi="Arial"/>
                <w:sz w:val="16"/>
                <w:szCs w:val="16"/>
                <w:color w:val="auto"/>
              </w:rPr>
              <w:t>Unrealized foreign exchange loss (gain)</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(70)</w:t>
            </w:r>
          </w:p>
        </w:tc>
        <w:tc>
          <w:tcPr>
            <w:tcW w:w="12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(6)</w:t>
            </w:r>
          </w:p>
        </w:tc>
      </w:tr>
      <w:tr>
        <w:trPr>
          <w:trHeight w:val="209"/>
        </w:trPr>
        <w:tc>
          <w:tcPr>
            <w:tcW w:w="8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Net cash provided by operating activities</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481</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367</w:t>
            </w:r>
          </w:p>
        </w:tc>
      </w:tr>
      <w:tr>
        <w:trPr>
          <w:trHeight w:val="210"/>
        </w:trPr>
        <w:tc>
          <w:tcPr>
            <w:tcW w:w="832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64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marketable securities</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(843)</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(1,718)</w:t>
            </w: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Maturities of marketable securities</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1,463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1,331</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and originations of loans</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(1,349)</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(805)</w:t>
            </w: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Repayments and sales of loans</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1,043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637</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(1)</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w:t>
            </w: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Acquisition of businesses, net of cash acquired</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(56)</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2</w:t>
            </w:r>
          </w:p>
        </w:tc>
        <w:tc>
          <w:tcPr>
            <w:tcW w:w="12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8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310</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(619)</w:t>
            </w:r>
          </w:p>
        </w:tc>
      </w:tr>
      <w:tr>
        <w:trPr>
          <w:trHeight w:val="210"/>
        </w:trPr>
        <w:tc>
          <w:tcPr>
            <w:tcW w:w="832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64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Proceeds from the exercise of stock options</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6</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59</w:t>
            </w:r>
          </w:p>
        </w:tc>
      </w:tr>
      <w:tr>
        <w:trPr>
          <w:trHeight w:val="217"/>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Repurchases of common stock</w:t>
            </w: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(491)</w:t>
            </w:r>
          </w:p>
        </w:tc>
        <w:tc>
          <w:tcPr>
            <w:tcW w:w="12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8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(485)</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w:t>
            </w:r>
          </w:p>
        </w:tc>
      </w:tr>
      <w:tr>
        <w:trPr>
          <w:trHeight w:val="210"/>
        </w:trPr>
        <w:tc>
          <w:tcPr>
            <w:tcW w:w="8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Effect of foreign exchange on cash, cash equivalents and restricted cash</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(3)</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w:t>
            </w:r>
          </w:p>
        </w:tc>
      </w:tr>
      <w:tr>
        <w:trPr>
          <w:trHeight w:val="216"/>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1640" w:type="dxa"/>
            <w:vAlign w:val="bottom"/>
          </w:tcPr>
          <w:p>
            <w:pPr>
              <w:jc w:val="right"/>
              <w:ind w:right="339"/>
              <w:spacing w:after="0"/>
              <w:rPr>
                <w:sz w:val="20"/>
                <w:szCs w:val="20"/>
                <w:color w:val="auto"/>
              </w:rPr>
            </w:pPr>
            <w:r>
              <w:rPr>
                <w:rFonts w:ascii="Arial" w:cs="Arial" w:eastAsia="Arial" w:hAnsi="Arial"/>
                <w:sz w:val="16"/>
                <w:szCs w:val="16"/>
                <w:b w:val="1"/>
                <w:bCs w:val="1"/>
                <w:color w:val="auto"/>
              </w:rPr>
              <w:t>303</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(189)</w:t>
            </w:r>
          </w:p>
        </w:tc>
      </w:tr>
      <w:tr>
        <w:trPr>
          <w:trHeight w:val="216"/>
        </w:trPr>
        <w:tc>
          <w:tcPr>
            <w:tcW w:w="8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Cash, cash equivalents and restricted cash – beginning of period</w:t>
            </w: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1,545</w:t>
            </w:r>
          </w:p>
        </w:tc>
        <w:tc>
          <w:tcPr>
            <w:tcW w:w="12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1,498</w:t>
            </w:r>
          </w:p>
        </w:tc>
      </w:tr>
      <w:tr>
        <w:trPr>
          <w:trHeight w:val="210"/>
        </w:trPr>
        <w:tc>
          <w:tcPr>
            <w:tcW w:w="8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1,848</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1,309</w:t>
            </w:r>
          </w:p>
        </w:tc>
      </w:tr>
      <w:tr>
        <w:trPr>
          <w:trHeight w:val="128"/>
        </w:trPr>
        <w:tc>
          <w:tcPr>
            <w:tcW w:w="8320" w:type="dxa"/>
            <w:vAlign w:val="bottom"/>
            <w:shd w:val="clear" w:color="auto" w:fill="F7F7F7"/>
          </w:tcPr>
          <w:p>
            <w:pPr>
              <w:spacing w:after="0"/>
              <w:rPr>
                <w:sz w:val="11"/>
                <w:szCs w:val="11"/>
                <w:color w:val="auto"/>
              </w:rPr>
            </w:pPr>
          </w:p>
        </w:tc>
        <w:tc>
          <w:tcPr>
            <w:tcW w:w="1640" w:type="dxa"/>
            <w:vAlign w:val="bottom"/>
            <w:shd w:val="clear" w:color="auto" w:fill="F7F7F7"/>
          </w:tcPr>
          <w:p>
            <w:pPr>
              <w:spacing w:after="0"/>
              <w:rPr>
                <w:sz w:val="11"/>
                <w:szCs w:val="11"/>
                <w:color w:val="auto"/>
              </w:rPr>
            </w:pPr>
          </w:p>
        </w:tc>
        <w:tc>
          <w:tcPr>
            <w:tcW w:w="1280" w:type="dxa"/>
            <w:vAlign w:val="bottom"/>
            <w:shd w:val="clear" w:color="auto" w:fill="F7F7F7"/>
          </w:tcPr>
          <w:p>
            <w:pPr>
              <w:spacing w:after="0"/>
              <w:rPr>
                <w:sz w:val="11"/>
                <w:szCs w:val="11"/>
                <w:color w:val="auto"/>
              </w:rPr>
            </w:pPr>
          </w:p>
        </w:tc>
      </w:tr>
      <w:tr>
        <w:trPr>
          <w:trHeight w:val="216"/>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Supplemental cash flow information:</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3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Cash paid for income taxes, net</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93</w:t>
            </w:r>
          </w:p>
        </w:tc>
        <w:tc>
          <w:tcPr>
            <w:tcW w:w="12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Shopify Inc. ("Shopify" or the "Company") was incorporated on September 28, 2004. Shopify provides essential internet infrastructure for commerce. Shopify's all-in-one platform makes it easier to start, run and grow a business, powering sales online, in store, and everywhere in between. Shopify's mission is to make commerce better for everyone with a platform and services that are engineered for speed, customization, reliability and security, while delivering a better shopping experience for consumers everywhere. The Company's platform enables merchants to manage, market and sell their products across various sales channels, including online storefronts, physical retail spaces, AI platforms, social media and more. Shopify provides merchants with an integrated back-end system to streamline operations, from managing inventory and transaction management to building relationships with buyers. With a robust and continuously updated infrastructure, Shopify's goal is to provide merchants with cutting-edge technology to thrive in a competitive market.</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 and Consolidation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directly and indirectly held wholly owned subsidiaries. All intercompany accounts and transactions have been eliminated upon consolidation.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condensed consolidated financial statements of the Company have been presented in U.S. dollars ("USD") and have been prepared in accordance with accounting principles generally accepted in the United States of America ("U.S. GAAP"), including the applicable rules and regulations of the Securities and Exchange Commission ("SEC") regarding financial reporting. Certain information and note disclosures normally included in annual financial statements prepared in accordance with U.S. GAAP have been condensed or omitted pursuant to such rules and regulations.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Company, the accompanying unaudited condensed consolidated financial statements contain all adjustments, consisting of only normal recurring adjustments, necessary for the fair statement of its financial position, results of operations and comprehensive loss, changes in shareholders' equity and cash flows for the interim periods. These unaudited quarterly condensed consolidated financial statements should be read in conjunction with the Company's audited consolidated financial statements and related notes included in Item 15 in the Company's 2025 Form 10-K. The consolidated balance sheet at December 31, 2025 is derived from the audited annual financial statements, but does not contain all of the footnote disclosures from the annual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quarterly results for the three months ended March 31, 2026 are not necessarily indicative of the results expected for the full fiscal year.</w:t>
      </w:r>
    </w:p>
    <w:p>
      <w:pPr>
        <w:spacing w:after="0" w:line="18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Significant Accounting Policies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the Company’s significant accounting policies and no material updates in the Company's assessment of the recent accounting pronouncements not yet adopted during the three months ended March 31, 2026, as compared to the significant accounting policies described in the Company’s annual consolidated financial statements for the year ended December 31,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judgments and assumptions that affect the reported amounts of assets and liabilities at the date of the condensed consolidated financial statements and the reported amounts of revenues and expenses during the reporting period. Actual results may differ from the estimates made by management. Significant estimates, judgments and assumptions in these condensed consolidated financial statements include: key judgments related to revenue recognition in determining whether the Company is the principal or an agent to the arrangements with merchants; estimates and judgments involved in applying the measurement alternative associated with equity and other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private companies, including revenue growth rates and revenue multiples based on market comparables; estimates involved in our equity method investment; probabilities of achieving performance milestones associated with non-cash revenue consideration from strategic partnerships; the probability and amount of loss contingencies; and judgments involved in uncertain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 Risk</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holds equity and other investments that are subject to a wide variety of market-related risks that could substantially reduce or increase the fair value of our holdings. The Company's equity and other investments in public companies are recorded at fair value, which is subject to market price volatility. The Company also holds an investment option to purchase Series B common shares in Klaviyo, Inc. which is accounted for as a derivative instrument and valued using the Black-Scholes model, and is subject to market price volatility as well as a discount for lack of marketability. The Company's equity investments in private companies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Furthermore, for the equity method investment, Shopify's share of income and loss from these investments may cause volatility to Shopify's earnings. The Company's debt investments in convertible notes of private companies are recorded at fair value, which are impacted by the underlying entities' valuations and interest rates.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 high concentration of risk associated with a small number of equity and other investments that are impacted by fluctuations in their fair values or by observable changes or impairments.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results of operations and foreign currency assets and liabilities are exposed to foreign currency fluctuations.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majority of the Company's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Euros ("EUR"), British pound sterling ("GBP") and Canadian dollars ("CAD"). Furthermore, a significant proportion of operating expenses are also incurred in the aforementioned foreign currencies.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foreign currency fluctuations associated with revenues and costs may partially offset one another in earnings, the Company uses foreign exchange derivative products to mitigate a portion of the remaining exposure of foreign currency fluctuations as discussed in Note 4. By their nature, derivative financial instruments involve risk, including the credit risk of non-performance by counterparties.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Financial Instruments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measures financial instruments based on quoted prices in active markets (Level 1), inputs from similar instruments such as quoted prices or other observable market data (Level 2) or where little or no market activity exists, using unobservable inputs that require judgment or estimation (Level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holds certain debt securities that are classified as held-to-maturity at the time of purchase as the Company has both the positive intent and ability to hold to maturity. The fair value of corporate bonds are based upon Level 2 inputs, which include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holds debt securities in the form of convertible notes in private companies classified as available-for-sale for which the Company has elected to apply the fair value option. The investments are carried at fair value at each balance sheet date and any movements in the fair values are classified as "Other expense, net" in the condensed consolidated statements of operations and 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debt securities by balance sheet classification and level within the fair value hierarchy: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2026</w:t>
            </w:r>
          </w:p>
        </w:tc>
        <w:tc>
          <w:tcPr>
            <w:tcW w:w="16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Carrying Value</w:t>
            </w:r>
          </w:p>
        </w:tc>
        <w:tc>
          <w:tcPr>
            <w:tcW w:w="162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680" w:type="dxa"/>
            <w:vAlign w:val="bottom"/>
          </w:tcPr>
          <w:p>
            <w:pPr>
              <w:jc w:val="right"/>
              <w:ind w:right="659"/>
              <w:spacing w:after="0" w:line="155" w:lineRule="exact"/>
              <w:rPr>
                <w:sz w:val="20"/>
                <w:szCs w:val="20"/>
                <w:color w:val="auto"/>
              </w:rPr>
            </w:pPr>
            <w:r>
              <w:rPr>
                <w:rFonts w:ascii="Arial" w:cs="Arial" w:eastAsia="Arial" w:hAnsi="Arial"/>
                <w:sz w:val="16"/>
                <w:szCs w:val="16"/>
                <w:b w:val="1"/>
                <w:bCs w:val="1"/>
                <w:color w:val="auto"/>
              </w:rPr>
              <w:t>Cash</w:t>
            </w:r>
          </w:p>
        </w:tc>
        <w:tc>
          <w:tcPr>
            <w:tcW w:w="160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Marketable</w:t>
            </w:r>
          </w:p>
        </w:tc>
        <w:tc>
          <w:tcPr>
            <w:tcW w:w="16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Long-term</w:t>
            </w:r>
          </w:p>
        </w:tc>
        <w:tc>
          <w:tcPr>
            <w:tcW w:w="162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Equity and Other</w:t>
            </w:r>
          </w:p>
        </w:tc>
        <w:tc>
          <w:tcPr>
            <w:tcW w:w="17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Equivalents</w:t>
            </w:r>
          </w:p>
        </w:tc>
        <w:tc>
          <w:tcPr>
            <w:tcW w:w="16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Securities</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Investments</w:t>
            </w:r>
          </w:p>
        </w:tc>
        <w:tc>
          <w:tcPr>
            <w:tcW w:w="16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Investments</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9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(in US $ millions)</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1:</w:t>
            </w:r>
          </w:p>
        </w:tc>
        <w:tc>
          <w:tcPr>
            <w:tcW w:w="1680" w:type="dxa"/>
            <w:vAlign w:val="bottom"/>
            <w:shd w:val="clear" w:color="auto" w:fill="F7F7F7"/>
          </w:tcPr>
          <w:p>
            <w:pPr>
              <w:spacing w:after="0"/>
              <w:rPr>
                <w:sz w:val="18"/>
                <w:szCs w:val="18"/>
                <w:color w:val="auto"/>
              </w:rPr>
            </w:pPr>
          </w:p>
        </w:tc>
        <w:tc>
          <w:tcPr>
            <w:tcW w:w="1600" w:type="dxa"/>
            <w:vAlign w:val="bottom"/>
            <w:shd w:val="clear" w:color="auto" w:fill="F7F7F7"/>
          </w:tcPr>
          <w:p>
            <w:pPr>
              <w:spacing w:after="0"/>
              <w:rPr>
                <w:sz w:val="18"/>
                <w:szCs w:val="18"/>
                <w:color w:val="auto"/>
              </w:rPr>
            </w:pPr>
          </w:p>
        </w:tc>
        <w:tc>
          <w:tcPr>
            <w:tcW w:w="1680" w:type="dxa"/>
            <w:vAlign w:val="bottom"/>
            <w:shd w:val="clear" w:color="auto" w:fill="F7F7F7"/>
          </w:tcPr>
          <w:p>
            <w:pPr>
              <w:spacing w:after="0"/>
              <w:rPr>
                <w:sz w:val="18"/>
                <w:szCs w:val="18"/>
                <w:color w:val="auto"/>
              </w:rPr>
            </w:pPr>
          </w:p>
        </w:tc>
        <w:tc>
          <w:tcPr>
            <w:tcW w:w="1620" w:type="dxa"/>
            <w:vAlign w:val="bottom"/>
            <w:shd w:val="clear" w:color="auto" w:fill="F7F7F7"/>
          </w:tcPr>
          <w:p>
            <w:pPr>
              <w:spacing w:after="0"/>
              <w:rPr>
                <w:sz w:val="18"/>
                <w:szCs w:val="18"/>
                <w:color w:val="auto"/>
              </w:rPr>
            </w:pPr>
          </w:p>
        </w:tc>
        <w:tc>
          <w:tcPr>
            <w:tcW w:w="17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360"/>
              <w:spacing w:after="0"/>
              <w:rPr>
                <w:sz w:val="20"/>
                <w:szCs w:val="20"/>
                <w:color w:val="auto"/>
              </w:rPr>
            </w:pPr>
            <w:r>
              <w:rPr>
                <w:rFonts w:ascii="Arial" w:cs="Arial" w:eastAsia="Arial" w:hAnsi="Arial"/>
                <w:sz w:val="16"/>
                <w:szCs w:val="16"/>
                <w:color w:val="auto"/>
              </w:rPr>
              <w:t>U.S. term deposits</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520</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63"/>
        </w:trPr>
        <w:tc>
          <w:tcPr>
            <w:tcW w:w="2940" w:type="dxa"/>
            <w:vAlign w:val="bottom"/>
            <w:shd w:val="clear" w:color="auto" w:fill="F7F7F7"/>
          </w:tcPr>
          <w:p>
            <w:pPr>
              <w:ind w:left="360"/>
              <w:spacing w:after="0" w:line="163" w:lineRule="exact"/>
              <w:rPr>
                <w:sz w:val="20"/>
                <w:szCs w:val="20"/>
                <w:color w:val="auto"/>
              </w:rPr>
            </w:pPr>
            <w:r>
              <w:rPr>
                <w:rFonts w:ascii="Arial" w:cs="Arial" w:eastAsia="Arial" w:hAnsi="Arial"/>
                <w:sz w:val="16"/>
                <w:szCs w:val="16"/>
                <w:color w:val="auto"/>
              </w:rPr>
              <w:t>U.S. federal bonds and agency</w:t>
            </w:r>
          </w:p>
        </w:tc>
        <w:tc>
          <w:tcPr>
            <w:tcW w:w="1680" w:type="dxa"/>
            <w:vAlign w:val="bottom"/>
            <w:vMerge w:val="restart"/>
            <w:shd w:val="clear" w:color="auto" w:fill="F7F7F7"/>
          </w:tcPr>
          <w:p>
            <w:pPr>
              <w:jc w:val="right"/>
              <w:ind w:right="239"/>
              <w:spacing w:after="0"/>
              <w:rPr>
                <w:sz w:val="20"/>
                <w:szCs w:val="20"/>
                <w:color w:val="auto"/>
              </w:rPr>
            </w:pPr>
            <w:r>
              <w:rPr>
                <w:rFonts w:ascii="Arial" w:cs="Arial" w:eastAsia="Arial" w:hAnsi="Arial"/>
                <w:sz w:val="16"/>
                <w:szCs w:val="16"/>
                <w:color w:val="auto"/>
              </w:rPr>
              <w:t>56</w:t>
            </w:r>
          </w:p>
        </w:tc>
        <w:tc>
          <w:tcPr>
            <w:tcW w:w="1600" w:type="dxa"/>
            <w:vAlign w:val="bottom"/>
            <w:vMerge w:val="restart"/>
            <w:shd w:val="clear" w:color="auto" w:fill="F7F7F7"/>
          </w:tcPr>
          <w:p>
            <w:pPr>
              <w:jc w:val="right"/>
              <w:ind w:right="159"/>
              <w:spacing w:after="0"/>
              <w:rPr>
                <w:sz w:val="20"/>
                <w:szCs w:val="20"/>
                <w:color w:val="auto"/>
              </w:rPr>
            </w:pPr>
            <w:r>
              <w:rPr>
                <w:rFonts w:ascii="Arial" w:cs="Arial" w:eastAsia="Arial" w:hAnsi="Arial"/>
                <w:sz w:val="16"/>
                <w:szCs w:val="16"/>
                <w:color w:val="auto"/>
              </w:rPr>
              <w:t>1,682</w:t>
            </w:r>
          </w:p>
        </w:tc>
        <w:tc>
          <w:tcPr>
            <w:tcW w:w="1680" w:type="dxa"/>
            <w:vAlign w:val="bottom"/>
            <w:vMerge w:val="restart"/>
            <w:shd w:val="clear" w:color="auto" w:fill="F7F7F7"/>
          </w:tcPr>
          <w:p>
            <w:pPr>
              <w:jc w:val="right"/>
              <w:ind w:right="139"/>
              <w:spacing w:after="0"/>
              <w:rPr>
                <w:sz w:val="20"/>
                <w:szCs w:val="20"/>
                <w:color w:val="auto"/>
              </w:rPr>
            </w:pPr>
            <w:r>
              <w:rPr>
                <w:rFonts w:ascii="Arial" w:cs="Arial" w:eastAsia="Arial" w:hAnsi="Arial"/>
                <w:sz w:val="16"/>
                <w:szCs w:val="16"/>
                <w:color w:val="auto"/>
              </w:rPr>
              <w:t>484</w:t>
            </w:r>
          </w:p>
        </w:tc>
        <w:tc>
          <w:tcPr>
            <w:tcW w:w="162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20"/>
        </w:trPr>
        <w:tc>
          <w:tcPr>
            <w:tcW w:w="29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securities</w:t>
            </w:r>
          </w:p>
        </w:tc>
        <w:tc>
          <w:tcPr>
            <w:tcW w:w="1680" w:type="dxa"/>
            <w:vAlign w:val="bottom"/>
            <w:tcBorders>
              <w:bottom w:val="single" w:sz="8" w:color="auto"/>
            </w:tcBorders>
            <w:vMerge w:val="continue"/>
            <w:shd w:val="clear" w:color="auto" w:fill="F7F7F7"/>
          </w:tcPr>
          <w:p>
            <w:pPr>
              <w:spacing w:after="0"/>
              <w:rPr>
                <w:sz w:val="18"/>
                <w:szCs w:val="18"/>
                <w:color w:val="auto"/>
              </w:rPr>
            </w:pPr>
          </w:p>
        </w:tc>
        <w:tc>
          <w:tcPr>
            <w:tcW w:w="1600" w:type="dxa"/>
            <w:vAlign w:val="bottom"/>
            <w:tcBorders>
              <w:bottom w:val="single" w:sz="8" w:color="auto"/>
            </w:tcBorders>
            <w:vMerge w:val="continue"/>
            <w:shd w:val="clear" w:color="auto" w:fill="F7F7F7"/>
          </w:tcPr>
          <w:p>
            <w:pPr>
              <w:spacing w:after="0"/>
              <w:rPr>
                <w:sz w:val="18"/>
                <w:szCs w:val="18"/>
                <w:color w:val="auto"/>
              </w:rPr>
            </w:pPr>
          </w:p>
        </w:tc>
        <w:tc>
          <w:tcPr>
            <w:tcW w:w="1680" w:type="dxa"/>
            <w:vAlign w:val="bottom"/>
            <w:tcBorders>
              <w:bottom w:val="single" w:sz="8" w:color="auto"/>
            </w:tcBorders>
            <w:vMerge w:val="continue"/>
            <w:shd w:val="clear" w:color="auto" w:fill="F7F7F7"/>
          </w:tcPr>
          <w:p>
            <w:pPr>
              <w:spacing w:after="0"/>
              <w:rPr>
                <w:sz w:val="18"/>
                <w:szCs w:val="18"/>
                <w:color w:val="auto"/>
              </w:rPr>
            </w:pPr>
          </w:p>
        </w:tc>
        <w:tc>
          <w:tcPr>
            <w:tcW w:w="162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w:t>
            </w: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2,202</w:t>
            </w: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484</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89"/>
        </w:trPr>
        <w:tc>
          <w:tcPr>
            <w:tcW w:w="2940" w:type="dxa"/>
            <w:vAlign w:val="bottom"/>
            <w:shd w:val="clear" w:color="auto" w:fill="F7F7F7"/>
          </w:tcPr>
          <w:p>
            <w:pPr>
              <w:spacing w:after="0"/>
              <w:rPr>
                <w:sz w:val="7"/>
                <w:szCs w:val="7"/>
                <w:color w:val="auto"/>
              </w:rPr>
            </w:pPr>
          </w:p>
        </w:tc>
        <w:tc>
          <w:tcPr>
            <w:tcW w:w="1680" w:type="dxa"/>
            <w:vAlign w:val="bottom"/>
            <w:shd w:val="clear" w:color="auto" w:fill="F7F7F7"/>
          </w:tcPr>
          <w:p>
            <w:pPr>
              <w:spacing w:after="0"/>
              <w:rPr>
                <w:sz w:val="7"/>
                <w:szCs w:val="7"/>
                <w:color w:val="auto"/>
              </w:rPr>
            </w:pPr>
          </w:p>
        </w:tc>
        <w:tc>
          <w:tcPr>
            <w:tcW w:w="1600" w:type="dxa"/>
            <w:vAlign w:val="bottom"/>
            <w:shd w:val="clear" w:color="auto" w:fill="F7F7F7"/>
          </w:tcPr>
          <w:p>
            <w:pPr>
              <w:spacing w:after="0"/>
              <w:rPr>
                <w:sz w:val="7"/>
                <w:szCs w:val="7"/>
                <w:color w:val="auto"/>
              </w:rPr>
            </w:pPr>
          </w:p>
        </w:tc>
        <w:tc>
          <w:tcPr>
            <w:tcW w:w="1680" w:type="dxa"/>
            <w:vAlign w:val="bottom"/>
            <w:shd w:val="clear" w:color="auto" w:fill="F7F7F7"/>
          </w:tcPr>
          <w:p>
            <w:pPr>
              <w:spacing w:after="0"/>
              <w:rPr>
                <w:sz w:val="7"/>
                <w:szCs w:val="7"/>
                <w:color w:val="auto"/>
              </w:rPr>
            </w:pPr>
          </w:p>
        </w:tc>
        <w:tc>
          <w:tcPr>
            <w:tcW w:w="1620" w:type="dxa"/>
            <w:vAlign w:val="bottom"/>
            <w:shd w:val="clear" w:color="auto" w:fill="F7F7F7"/>
          </w:tcPr>
          <w:p>
            <w:pPr>
              <w:spacing w:after="0"/>
              <w:rPr>
                <w:sz w:val="7"/>
                <w:szCs w:val="7"/>
                <w:color w:val="auto"/>
              </w:rPr>
            </w:pPr>
          </w:p>
        </w:tc>
        <w:tc>
          <w:tcPr>
            <w:tcW w:w="1700" w:type="dxa"/>
            <w:vAlign w:val="bottom"/>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60"/>
              <w:spacing w:after="0"/>
              <w:rPr>
                <w:sz w:val="20"/>
                <w:szCs w:val="20"/>
                <w:color w:val="auto"/>
              </w:rPr>
            </w:pPr>
            <w:r>
              <w:rPr>
                <w:rFonts w:ascii="Arial" w:cs="Arial" w:eastAsia="Arial" w:hAnsi="Arial"/>
                <w:sz w:val="16"/>
                <w:szCs w:val="16"/>
                <w:b w:val="1"/>
                <w:bCs w:val="1"/>
                <w:color w:val="auto"/>
              </w:rPr>
              <w:t>Level 2:</w:t>
            </w: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F7F7F7"/>
          </w:tcPr>
          <w:p>
            <w:pPr>
              <w:ind w:left="360"/>
              <w:spacing w:after="0" w:line="162" w:lineRule="exact"/>
              <w:rPr>
                <w:sz w:val="20"/>
                <w:szCs w:val="20"/>
                <w:color w:val="auto"/>
              </w:rPr>
            </w:pPr>
            <w:r>
              <w:rPr>
                <w:rFonts w:ascii="Arial" w:cs="Arial" w:eastAsia="Arial" w:hAnsi="Arial"/>
                <w:sz w:val="16"/>
                <w:szCs w:val="16"/>
                <w:color w:val="auto"/>
              </w:rPr>
              <w:t>Corporate bonds and commercial</w:t>
            </w:r>
          </w:p>
        </w:tc>
        <w:tc>
          <w:tcPr>
            <w:tcW w:w="1680" w:type="dxa"/>
            <w:vAlign w:val="bottom"/>
            <w:vMerge w:val="restart"/>
            <w:shd w:val="clear" w:color="auto" w:fill="F7F7F7"/>
          </w:tcPr>
          <w:p>
            <w:pPr>
              <w:jc w:val="right"/>
              <w:ind w:right="239"/>
              <w:spacing w:after="0"/>
              <w:rPr>
                <w:sz w:val="20"/>
                <w:szCs w:val="20"/>
                <w:color w:val="auto"/>
              </w:rPr>
            </w:pPr>
            <w:r>
              <w:rPr>
                <w:rFonts w:ascii="Arial" w:cs="Arial" w:eastAsia="Arial" w:hAnsi="Arial"/>
                <w:sz w:val="16"/>
                <w:szCs w:val="16"/>
                <w:color w:val="auto"/>
              </w:rPr>
              <w:t>—</w:t>
            </w:r>
          </w:p>
        </w:tc>
        <w:tc>
          <w:tcPr>
            <w:tcW w:w="1600" w:type="dxa"/>
            <w:vAlign w:val="bottom"/>
            <w:vMerge w:val="restart"/>
            <w:shd w:val="clear" w:color="auto" w:fill="F7F7F7"/>
          </w:tcPr>
          <w:p>
            <w:pPr>
              <w:jc w:val="right"/>
              <w:ind w:right="159"/>
              <w:spacing w:after="0"/>
              <w:rPr>
                <w:sz w:val="20"/>
                <w:szCs w:val="20"/>
                <w:color w:val="auto"/>
              </w:rPr>
            </w:pPr>
            <w:r>
              <w:rPr>
                <w:rFonts w:ascii="Arial" w:cs="Arial" w:eastAsia="Arial" w:hAnsi="Arial"/>
                <w:sz w:val="16"/>
                <w:szCs w:val="16"/>
                <w:color w:val="auto"/>
              </w:rPr>
              <w:t>1,693</w:t>
            </w:r>
          </w:p>
        </w:tc>
        <w:tc>
          <w:tcPr>
            <w:tcW w:w="1680" w:type="dxa"/>
            <w:vAlign w:val="bottom"/>
            <w:vMerge w:val="restart"/>
            <w:shd w:val="clear" w:color="auto" w:fill="F7F7F7"/>
          </w:tcPr>
          <w:p>
            <w:pPr>
              <w:jc w:val="right"/>
              <w:ind w:right="139"/>
              <w:spacing w:after="0"/>
              <w:rPr>
                <w:sz w:val="20"/>
                <w:szCs w:val="20"/>
                <w:color w:val="auto"/>
              </w:rPr>
            </w:pPr>
            <w:r>
              <w:rPr>
                <w:rFonts w:ascii="Arial" w:cs="Arial" w:eastAsia="Arial" w:hAnsi="Arial"/>
                <w:sz w:val="16"/>
                <w:szCs w:val="16"/>
                <w:color w:val="auto"/>
              </w:rPr>
              <w:t>224</w:t>
            </w:r>
          </w:p>
        </w:tc>
        <w:tc>
          <w:tcPr>
            <w:tcW w:w="162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shd w:val="clear" w:color="auto" w:fill="F7F7F7"/>
          </w:tcPr>
          <w:p>
            <w:pPr>
              <w:ind w:left="360"/>
              <w:spacing w:after="0"/>
              <w:rPr>
                <w:sz w:val="20"/>
                <w:szCs w:val="20"/>
                <w:color w:val="auto"/>
              </w:rPr>
            </w:pPr>
            <w:r>
              <w:rPr>
                <w:rFonts w:ascii="Arial" w:cs="Arial" w:eastAsia="Arial" w:hAnsi="Arial"/>
                <w:sz w:val="16"/>
                <w:szCs w:val="16"/>
                <w:color w:val="auto"/>
              </w:rPr>
              <w:t>paper</w:t>
            </w:r>
          </w:p>
        </w:tc>
        <w:tc>
          <w:tcPr>
            <w:tcW w:w="1680" w:type="dxa"/>
            <w:vAlign w:val="bottom"/>
            <w:tcBorders>
              <w:bottom w:val="single" w:sz="8" w:color="auto"/>
            </w:tcBorders>
            <w:vMerge w:val="continue"/>
            <w:shd w:val="clear" w:color="auto" w:fill="F7F7F7"/>
          </w:tcPr>
          <w:p>
            <w:pPr>
              <w:spacing w:after="0"/>
              <w:rPr>
                <w:sz w:val="18"/>
                <w:szCs w:val="18"/>
                <w:color w:val="auto"/>
              </w:rPr>
            </w:pPr>
          </w:p>
        </w:tc>
        <w:tc>
          <w:tcPr>
            <w:tcW w:w="1600" w:type="dxa"/>
            <w:vAlign w:val="bottom"/>
            <w:tcBorders>
              <w:bottom w:val="single" w:sz="8" w:color="auto"/>
            </w:tcBorders>
            <w:vMerge w:val="continue"/>
            <w:shd w:val="clear" w:color="auto" w:fill="F7F7F7"/>
          </w:tcPr>
          <w:p>
            <w:pPr>
              <w:spacing w:after="0"/>
              <w:rPr>
                <w:sz w:val="18"/>
                <w:szCs w:val="18"/>
                <w:color w:val="auto"/>
              </w:rPr>
            </w:pPr>
          </w:p>
        </w:tc>
        <w:tc>
          <w:tcPr>
            <w:tcW w:w="1680" w:type="dxa"/>
            <w:vAlign w:val="bottom"/>
            <w:tcBorders>
              <w:bottom w:val="single" w:sz="8" w:color="auto"/>
            </w:tcBorders>
            <w:vMerge w:val="continue"/>
            <w:shd w:val="clear" w:color="auto" w:fill="F7F7F7"/>
          </w:tcPr>
          <w:p>
            <w:pPr>
              <w:spacing w:after="0"/>
              <w:rPr>
                <w:sz w:val="18"/>
                <w:szCs w:val="18"/>
                <w:color w:val="auto"/>
              </w:rPr>
            </w:pPr>
          </w:p>
        </w:tc>
        <w:tc>
          <w:tcPr>
            <w:tcW w:w="162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3:</w:t>
            </w:r>
          </w:p>
        </w:tc>
        <w:tc>
          <w:tcPr>
            <w:tcW w:w="1680" w:type="dxa"/>
            <w:vAlign w:val="bottom"/>
            <w:shd w:val="clear" w:color="auto" w:fill="F7F7F7"/>
          </w:tcPr>
          <w:p>
            <w:pPr>
              <w:spacing w:after="0"/>
              <w:rPr>
                <w:sz w:val="18"/>
                <w:szCs w:val="18"/>
                <w:color w:val="auto"/>
              </w:rPr>
            </w:pPr>
          </w:p>
        </w:tc>
        <w:tc>
          <w:tcPr>
            <w:tcW w:w="1600" w:type="dxa"/>
            <w:vAlign w:val="bottom"/>
            <w:shd w:val="clear" w:color="auto" w:fill="F7F7F7"/>
          </w:tcPr>
          <w:p>
            <w:pPr>
              <w:spacing w:after="0"/>
              <w:rPr>
                <w:sz w:val="18"/>
                <w:szCs w:val="18"/>
                <w:color w:val="auto"/>
              </w:rPr>
            </w:pPr>
          </w:p>
        </w:tc>
        <w:tc>
          <w:tcPr>
            <w:tcW w:w="1680" w:type="dxa"/>
            <w:vAlign w:val="bottom"/>
            <w:shd w:val="clear" w:color="auto" w:fill="F7F7F7"/>
          </w:tcPr>
          <w:p>
            <w:pPr>
              <w:spacing w:after="0"/>
              <w:rPr>
                <w:sz w:val="18"/>
                <w:szCs w:val="18"/>
                <w:color w:val="auto"/>
              </w:rPr>
            </w:pPr>
          </w:p>
        </w:tc>
        <w:tc>
          <w:tcPr>
            <w:tcW w:w="1620" w:type="dxa"/>
            <w:vAlign w:val="bottom"/>
            <w:shd w:val="clear" w:color="auto" w:fill="F7F7F7"/>
          </w:tcPr>
          <w:p>
            <w:pPr>
              <w:spacing w:after="0"/>
              <w:rPr>
                <w:sz w:val="18"/>
                <w:szCs w:val="18"/>
                <w:color w:val="auto"/>
              </w:rPr>
            </w:pPr>
          </w:p>
        </w:tc>
        <w:tc>
          <w:tcPr>
            <w:tcW w:w="17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360"/>
              <w:spacing w:after="0" w:line="162" w:lineRule="exact"/>
              <w:rPr>
                <w:sz w:val="20"/>
                <w:szCs w:val="20"/>
                <w:color w:val="auto"/>
              </w:rPr>
            </w:pPr>
            <w:r>
              <w:rPr>
                <w:rFonts w:ascii="Arial" w:cs="Arial" w:eastAsia="Arial" w:hAnsi="Arial"/>
                <w:sz w:val="16"/>
                <w:szCs w:val="16"/>
                <w:color w:val="auto"/>
              </w:rPr>
              <w:t>Convertible notes in private</w:t>
            </w:r>
          </w:p>
        </w:tc>
        <w:tc>
          <w:tcPr>
            <w:tcW w:w="168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59"/>
              <w:spacing w:after="0"/>
              <w:rPr>
                <w:sz w:val="20"/>
                <w:szCs w:val="20"/>
                <w:color w:val="auto"/>
              </w:rPr>
            </w:pPr>
            <w:r>
              <w:rPr>
                <w:rFonts w:ascii="Arial" w:cs="Arial" w:eastAsia="Arial" w:hAnsi="Arial"/>
                <w:sz w:val="16"/>
                <w:szCs w:val="16"/>
                <w:color w:val="auto"/>
              </w:rPr>
              <w:t>567</w:t>
            </w: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companies</w:t>
            </w:r>
          </w:p>
        </w:tc>
        <w:tc>
          <w:tcPr>
            <w:tcW w:w="168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F7F7F7"/>
          </w:tcPr>
          <w:p>
            <w:pPr>
              <w:spacing w:after="0"/>
              <w:rPr>
                <w:sz w:val="18"/>
                <w:szCs w:val="18"/>
                <w:color w:val="auto"/>
              </w:rPr>
            </w:pPr>
          </w:p>
        </w:tc>
        <w:tc>
          <w:tcPr>
            <w:tcW w:w="168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56</w:t>
            </w:r>
          </w:p>
        </w:tc>
        <w:tc>
          <w:tcPr>
            <w:tcW w:w="160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3,895</w:t>
            </w:r>
          </w:p>
        </w:tc>
        <w:tc>
          <w:tcPr>
            <w:tcW w:w="168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708</w:t>
            </w:r>
          </w:p>
        </w:tc>
        <w:tc>
          <w:tcPr>
            <w:tcW w:w="16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567</w:t>
            </w:r>
          </w:p>
        </w:tc>
        <w:tc>
          <w:tcPr>
            <w:tcW w:w="17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of marketable securities above include accrued interest of $34 million, which is excluded from the carrying amounts. The accrued interest is included in "Trade and other receivables, net" in the condensed consolidated balance sheets. Additional accrued interest of $117 million recognized on the convertible notes in private companies is included in the carrying amount and fair value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2025</w:t>
            </w:r>
          </w:p>
        </w:tc>
        <w:tc>
          <w:tcPr>
            <w:tcW w:w="1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b w:val="1"/>
                <w:bCs w:val="1"/>
                <w:color w:val="auto"/>
              </w:rPr>
              <w:t>Carrying Value</w:t>
            </w:r>
          </w:p>
        </w:tc>
        <w:tc>
          <w:tcPr>
            <w:tcW w:w="156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7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Cash Equivalents</w:t>
            </w:r>
          </w:p>
        </w:tc>
        <w:tc>
          <w:tcPr>
            <w:tcW w:w="1500" w:type="dxa"/>
            <w:vAlign w:val="bottom"/>
          </w:tcPr>
          <w:p>
            <w:pPr>
              <w:jc w:val="right"/>
              <w:ind w:right="279"/>
              <w:spacing w:after="0" w:line="155" w:lineRule="exact"/>
              <w:rPr>
                <w:sz w:val="20"/>
                <w:szCs w:val="20"/>
                <w:color w:val="auto"/>
              </w:rPr>
            </w:pPr>
            <w:r>
              <w:rPr>
                <w:rFonts w:ascii="Arial" w:cs="Arial" w:eastAsia="Arial" w:hAnsi="Arial"/>
                <w:sz w:val="16"/>
                <w:szCs w:val="16"/>
                <w:b w:val="1"/>
                <w:bCs w:val="1"/>
                <w:color w:val="auto"/>
              </w:rPr>
              <w:t>Marketable</w:t>
            </w:r>
          </w:p>
        </w:tc>
        <w:tc>
          <w:tcPr>
            <w:tcW w:w="17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Long-term</w:t>
            </w:r>
          </w:p>
        </w:tc>
        <w:tc>
          <w:tcPr>
            <w:tcW w:w="156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Equity and Other</w:t>
            </w:r>
          </w:p>
        </w:tc>
        <w:tc>
          <w:tcPr>
            <w:tcW w:w="17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41"/>
        </w:trPr>
        <w:tc>
          <w:tcPr>
            <w:tcW w:w="29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5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Securities</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Investments</w:t>
            </w:r>
          </w:p>
        </w:tc>
        <w:tc>
          <w:tcPr>
            <w:tcW w:w="15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Investments</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(in US $ millions)</w:t>
            </w: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1:</w:t>
            </w:r>
          </w:p>
        </w:tc>
        <w:tc>
          <w:tcPr>
            <w:tcW w:w="1720" w:type="dxa"/>
            <w:vAlign w:val="bottom"/>
            <w:shd w:val="clear" w:color="auto" w:fill="F7F7F7"/>
          </w:tcPr>
          <w:p>
            <w:pPr>
              <w:spacing w:after="0"/>
              <w:rPr>
                <w:sz w:val="18"/>
                <w:szCs w:val="18"/>
                <w:color w:val="auto"/>
              </w:rPr>
            </w:pPr>
          </w:p>
        </w:tc>
        <w:tc>
          <w:tcPr>
            <w:tcW w:w="1500" w:type="dxa"/>
            <w:vAlign w:val="bottom"/>
            <w:shd w:val="clear" w:color="auto" w:fill="F7F7F7"/>
          </w:tcPr>
          <w:p>
            <w:pPr>
              <w:spacing w:after="0"/>
              <w:rPr>
                <w:sz w:val="18"/>
                <w:szCs w:val="18"/>
                <w:color w:val="auto"/>
              </w:rPr>
            </w:pPr>
          </w:p>
        </w:tc>
        <w:tc>
          <w:tcPr>
            <w:tcW w:w="1780" w:type="dxa"/>
            <w:vAlign w:val="bottom"/>
            <w:shd w:val="clear" w:color="auto" w:fill="F7F7F7"/>
          </w:tcPr>
          <w:p>
            <w:pPr>
              <w:spacing w:after="0"/>
              <w:rPr>
                <w:sz w:val="18"/>
                <w:szCs w:val="18"/>
                <w:color w:val="auto"/>
              </w:rPr>
            </w:pPr>
          </w:p>
        </w:tc>
        <w:tc>
          <w:tcPr>
            <w:tcW w:w="1560" w:type="dxa"/>
            <w:vAlign w:val="bottom"/>
            <w:shd w:val="clear" w:color="auto" w:fill="F7F7F7"/>
          </w:tcPr>
          <w:p>
            <w:pPr>
              <w:spacing w:after="0"/>
              <w:rPr>
                <w:sz w:val="18"/>
                <w:szCs w:val="18"/>
                <w:color w:val="auto"/>
              </w:rPr>
            </w:pPr>
          </w:p>
        </w:tc>
        <w:tc>
          <w:tcPr>
            <w:tcW w:w="17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rPr>
                <w:sz w:val="20"/>
                <w:szCs w:val="20"/>
                <w:color w:val="auto"/>
              </w:rPr>
            </w:pPr>
            <w:r>
              <w:rPr>
                <w:rFonts w:ascii="Arial" w:cs="Arial" w:eastAsia="Arial" w:hAnsi="Arial"/>
                <w:sz w:val="16"/>
                <w:szCs w:val="16"/>
                <w:color w:val="auto"/>
              </w:rPr>
              <w:t>U.S. term deposits</w:t>
            </w:r>
          </w:p>
        </w:tc>
        <w:tc>
          <w:tcPr>
            <w:tcW w:w="17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520</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63"/>
        </w:trPr>
        <w:tc>
          <w:tcPr>
            <w:tcW w:w="2960" w:type="dxa"/>
            <w:vAlign w:val="bottom"/>
            <w:shd w:val="clear" w:color="auto" w:fill="F7F7F7"/>
          </w:tcPr>
          <w:p>
            <w:pPr>
              <w:ind w:left="240"/>
              <w:spacing w:after="0" w:line="163" w:lineRule="exact"/>
              <w:rPr>
                <w:sz w:val="20"/>
                <w:szCs w:val="20"/>
                <w:color w:val="auto"/>
              </w:rPr>
            </w:pPr>
            <w:r>
              <w:rPr>
                <w:rFonts w:ascii="Arial" w:cs="Arial" w:eastAsia="Arial" w:hAnsi="Arial"/>
                <w:sz w:val="16"/>
                <w:szCs w:val="16"/>
                <w:color w:val="auto"/>
              </w:rPr>
              <w:t>U.S. federal bonds and agency</w:t>
            </w:r>
          </w:p>
        </w:tc>
        <w:tc>
          <w:tcPr>
            <w:tcW w:w="1720" w:type="dxa"/>
            <w:vAlign w:val="bottom"/>
            <w:vMerge w:val="restart"/>
            <w:shd w:val="clear" w:color="auto" w:fill="F7F7F7"/>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1,923</w:t>
            </w:r>
          </w:p>
        </w:tc>
        <w:tc>
          <w:tcPr>
            <w:tcW w:w="1780" w:type="dxa"/>
            <w:vAlign w:val="bottom"/>
            <w:vMerge w:val="restart"/>
            <w:shd w:val="clear" w:color="auto" w:fill="F7F7F7"/>
          </w:tcPr>
          <w:p>
            <w:pPr>
              <w:jc w:val="right"/>
              <w:ind w:right="199"/>
              <w:spacing w:after="0"/>
              <w:rPr>
                <w:sz w:val="20"/>
                <w:szCs w:val="20"/>
                <w:color w:val="auto"/>
              </w:rPr>
            </w:pPr>
            <w:r>
              <w:rPr>
                <w:rFonts w:ascii="Arial" w:cs="Arial" w:eastAsia="Arial" w:hAnsi="Arial"/>
                <w:sz w:val="16"/>
                <w:szCs w:val="16"/>
                <w:color w:val="auto"/>
              </w:rPr>
              <w:t>527</w:t>
            </w:r>
          </w:p>
        </w:tc>
        <w:tc>
          <w:tcPr>
            <w:tcW w:w="156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20"/>
        </w:trPr>
        <w:tc>
          <w:tcPr>
            <w:tcW w:w="29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securities</w:t>
            </w:r>
          </w:p>
        </w:tc>
        <w:tc>
          <w:tcPr>
            <w:tcW w:w="1720" w:type="dxa"/>
            <w:vAlign w:val="bottom"/>
            <w:tcBorders>
              <w:bottom w:val="single" w:sz="8" w:color="auto"/>
            </w:tcBorders>
            <w:vMerge w:val="continue"/>
            <w:shd w:val="clear" w:color="auto" w:fill="F7F7F7"/>
          </w:tcPr>
          <w:p>
            <w:pPr>
              <w:spacing w:after="0"/>
              <w:rPr>
                <w:sz w:val="18"/>
                <w:szCs w:val="18"/>
                <w:color w:val="auto"/>
              </w:rPr>
            </w:pPr>
          </w:p>
        </w:tc>
        <w:tc>
          <w:tcPr>
            <w:tcW w:w="1500" w:type="dxa"/>
            <w:vAlign w:val="bottom"/>
            <w:tcBorders>
              <w:bottom w:val="single" w:sz="8" w:color="auto"/>
            </w:tcBorders>
            <w:vMerge w:val="continue"/>
            <w:shd w:val="clear" w:color="auto" w:fill="F7F7F7"/>
          </w:tcPr>
          <w:p>
            <w:pPr>
              <w:spacing w:after="0"/>
              <w:rPr>
                <w:sz w:val="18"/>
                <w:szCs w:val="18"/>
                <w:color w:val="auto"/>
              </w:rPr>
            </w:pPr>
          </w:p>
        </w:tc>
        <w:tc>
          <w:tcPr>
            <w:tcW w:w="1780" w:type="dxa"/>
            <w:vAlign w:val="bottom"/>
            <w:tcBorders>
              <w:bottom w:val="single" w:sz="8" w:color="auto"/>
            </w:tcBorders>
            <w:vMerge w:val="continue"/>
            <w:shd w:val="clear" w:color="auto" w:fill="F7F7F7"/>
          </w:tcPr>
          <w:p>
            <w:pPr>
              <w:spacing w:after="0"/>
              <w:rPr>
                <w:sz w:val="18"/>
                <w:szCs w:val="18"/>
                <w:color w:val="auto"/>
              </w:rPr>
            </w:pPr>
          </w:p>
        </w:tc>
        <w:tc>
          <w:tcPr>
            <w:tcW w:w="156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2,443</w:t>
            </w: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527</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37"/>
        </w:trPr>
        <w:tc>
          <w:tcPr>
            <w:tcW w:w="2960" w:type="dxa"/>
            <w:vAlign w:val="bottom"/>
            <w:shd w:val="clear" w:color="auto" w:fill="F7F7F7"/>
          </w:tcPr>
          <w:p>
            <w:pPr>
              <w:spacing w:after="0"/>
              <w:rPr>
                <w:sz w:val="20"/>
                <w:szCs w:val="20"/>
                <w:color w:val="auto"/>
              </w:rPr>
            </w:pPr>
          </w:p>
        </w:tc>
        <w:tc>
          <w:tcPr>
            <w:tcW w:w="1720" w:type="dxa"/>
            <w:vAlign w:val="bottom"/>
            <w:shd w:val="clear" w:color="auto" w:fill="F7F7F7"/>
          </w:tcPr>
          <w:p>
            <w:pPr>
              <w:spacing w:after="0"/>
              <w:rPr>
                <w:sz w:val="20"/>
                <w:szCs w:val="20"/>
                <w:color w:val="auto"/>
              </w:rPr>
            </w:pPr>
          </w:p>
        </w:tc>
        <w:tc>
          <w:tcPr>
            <w:tcW w:w="1500" w:type="dxa"/>
            <w:vAlign w:val="bottom"/>
            <w:shd w:val="clear" w:color="auto" w:fill="F7F7F7"/>
          </w:tcPr>
          <w:p>
            <w:pPr>
              <w:spacing w:after="0"/>
              <w:rPr>
                <w:sz w:val="20"/>
                <w:szCs w:val="20"/>
                <w:color w:val="auto"/>
              </w:rPr>
            </w:pPr>
          </w:p>
        </w:tc>
        <w:tc>
          <w:tcPr>
            <w:tcW w:w="1780" w:type="dxa"/>
            <w:vAlign w:val="bottom"/>
            <w:shd w:val="clear" w:color="auto" w:fill="F7F7F7"/>
          </w:tcPr>
          <w:p>
            <w:pPr>
              <w:spacing w:after="0"/>
              <w:rPr>
                <w:sz w:val="20"/>
                <w:szCs w:val="20"/>
                <w:color w:val="auto"/>
              </w:rPr>
            </w:pPr>
          </w:p>
        </w:tc>
        <w:tc>
          <w:tcPr>
            <w:tcW w:w="1560" w:type="dxa"/>
            <w:vAlign w:val="bottom"/>
            <w:shd w:val="clear" w:color="auto" w:fill="F7F7F7"/>
          </w:tcPr>
          <w:p>
            <w:pPr>
              <w:spacing w:after="0"/>
              <w:rPr>
                <w:sz w:val="20"/>
                <w:szCs w:val="20"/>
                <w:color w:val="auto"/>
              </w:rPr>
            </w:pPr>
          </w:p>
        </w:tc>
        <w:tc>
          <w:tcPr>
            <w:tcW w:w="170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Level 2:</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F7F7F7"/>
          </w:tcPr>
          <w:p>
            <w:pPr>
              <w:ind w:left="240"/>
              <w:spacing w:after="0" w:line="162" w:lineRule="exact"/>
              <w:rPr>
                <w:sz w:val="20"/>
                <w:szCs w:val="20"/>
                <w:color w:val="auto"/>
              </w:rPr>
            </w:pPr>
            <w:r>
              <w:rPr>
                <w:rFonts w:ascii="Arial" w:cs="Arial" w:eastAsia="Arial" w:hAnsi="Arial"/>
                <w:sz w:val="16"/>
                <w:szCs w:val="16"/>
                <w:color w:val="auto"/>
              </w:rPr>
              <w:t>Corporate bonds and commercial</w:t>
            </w:r>
          </w:p>
        </w:tc>
        <w:tc>
          <w:tcPr>
            <w:tcW w:w="1720" w:type="dxa"/>
            <w:vAlign w:val="bottom"/>
            <w:vMerge w:val="restart"/>
            <w:shd w:val="clear" w:color="auto" w:fill="F7F7F7"/>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1,790</w:t>
            </w:r>
          </w:p>
        </w:tc>
        <w:tc>
          <w:tcPr>
            <w:tcW w:w="1780" w:type="dxa"/>
            <w:vAlign w:val="bottom"/>
            <w:vMerge w:val="restart"/>
            <w:shd w:val="clear" w:color="auto" w:fill="F7F7F7"/>
          </w:tcPr>
          <w:p>
            <w:pPr>
              <w:jc w:val="right"/>
              <w:ind w:right="199"/>
              <w:spacing w:after="0"/>
              <w:rPr>
                <w:sz w:val="20"/>
                <w:szCs w:val="20"/>
                <w:color w:val="auto"/>
              </w:rPr>
            </w:pPr>
            <w:r>
              <w:rPr>
                <w:rFonts w:ascii="Arial" w:cs="Arial" w:eastAsia="Arial" w:hAnsi="Arial"/>
                <w:sz w:val="16"/>
                <w:szCs w:val="16"/>
                <w:color w:val="auto"/>
              </w:rPr>
              <w:t>448</w:t>
            </w:r>
          </w:p>
        </w:tc>
        <w:tc>
          <w:tcPr>
            <w:tcW w:w="156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20"/>
        </w:trPr>
        <w:tc>
          <w:tcPr>
            <w:tcW w:w="29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paper</w:t>
            </w:r>
          </w:p>
        </w:tc>
        <w:tc>
          <w:tcPr>
            <w:tcW w:w="1720" w:type="dxa"/>
            <w:vAlign w:val="bottom"/>
            <w:tcBorders>
              <w:bottom w:val="single" w:sz="8" w:color="auto"/>
            </w:tcBorders>
            <w:vMerge w:val="continue"/>
            <w:shd w:val="clear" w:color="auto" w:fill="F7F7F7"/>
          </w:tcPr>
          <w:p>
            <w:pPr>
              <w:spacing w:after="0"/>
              <w:rPr>
                <w:sz w:val="18"/>
                <w:szCs w:val="18"/>
                <w:color w:val="auto"/>
              </w:rPr>
            </w:pPr>
          </w:p>
        </w:tc>
        <w:tc>
          <w:tcPr>
            <w:tcW w:w="1500" w:type="dxa"/>
            <w:vAlign w:val="bottom"/>
            <w:tcBorders>
              <w:bottom w:val="single" w:sz="8" w:color="auto"/>
            </w:tcBorders>
            <w:vMerge w:val="continue"/>
            <w:shd w:val="clear" w:color="auto" w:fill="F7F7F7"/>
          </w:tcPr>
          <w:p>
            <w:pPr>
              <w:spacing w:after="0"/>
              <w:rPr>
                <w:sz w:val="18"/>
                <w:szCs w:val="18"/>
                <w:color w:val="auto"/>
              </w:rPr>
            </w:pPr>
          </w:p>
        </w:tc>
        <w:tc>
          <w:tcPr>
            <w:tcW w:w="1780" w:type="dxa"/>
            <w:vAlign w:val="bottom"/>
            <w:tcBorders>
              <w:bottom w:val="single" w:sz="8" w:color="auto"/>
            </w:tcBorders>
            <w:vMerge w:val="continue"/>
            <w:shd w:val="clear" w:color="auto" w:fill="F7F7F7"/>
          </w:tcPr>
          <w:p>
            <w:pPr>
              <w:spacing w:after="0"/>
              <w:rPr>
                <w:sz w:val="18"/>
                <w:szCs w:val="18"/>
                <w:color w:val="auto"/>
              </w:rPr>
            </w:pPr>
          </w:p>
        </w:tc>
        <w:tc>
          <w:tcPr>
            <w:tcW w:w="156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3:</w:t>
            </w:r>
          </w:p>
        </w:tc>
        <w:tc>
          <w:tcPr>
            <w:tcW w:w="1720" w:type="dxa"/>
            <w:vAlign w:val="bottom"/>
            <w:shd w:val="clear" w:color="auto" w:fill="F7F7F7"/>
          </w:tcPr>
          <w:p>
            <w:pPr>
              <w:spacing w:after="0"/>
              <w:rPr>
                <w:sz w:val="18"/>
                <w:szCs w:val="18"/>
                <w:color w:val="auto"/>
              </w:rPr>
            </w:pPr>
          </w:p>
        </w:tc>
        <w:tc>
          <w:tcPr>
            <w:tcW w:w="1500" w:type="dxa"/>
            <w:vAlign w:val="bottom"/>
            <w:shd w:val="clear" w:color="auto" w:fill="F7F7F7"/>
          </w:tcPr>
          <w:p>
            <w:pPr>
              <w:spacing w:after="0"/>
              <w:rPr>
                <w:sz w:val="18"/>
                <w:szCs w:val="18"/>
                <w:color w:val="auto"/>
              </w:rPr>
            </w:pPr>
          </w:p>
        </w:tc>
        <w:tc>
          <w:tcPr>
            <w:tcW w:w="1780" w:type="dxa"/>
            <w:vAlign w:val="bottom"/>
            <w:shd w:val="clear" w:color="auto" w:fill="F7F7F7"/>
          </w:tcPr>
          <w:p>
            <w:pPr>
              <w:spacing w:after="0"/>
              <w:rPr>
                <w:sz w:val="18"/>
                <w:szCs w:val="18"/>
                <w:color w:val="auto"/>
              </w:rPr>
            </w:pPr>
          </w:p>
        </w:tc>
        <w:tc>
          <w:tcPr>
            <w:tcW w:w="1560" w:type="dxa"/>
            <w:vAlign w:val="bottom"/>
            <w:shd w:val="clear" w:color="auto" w:fill="F7F7F7"/>
          </w:tcPr>
          <w:p>
            <w:pPr>
              <w:spacing w:after="0"/>
              <w:rPr>
                <w:sz w:val="18"/>
                <w:szCs w:val="18"/>
                <w:color w:val="auto"/>
              </w:rPr>
            </w:pPr>
          </w:p>
        </w:tc>
        <w:tc>
          <w:tcPr>
            <w:tcW w:w="17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40"/>
              <w:spacing w:after="0" w:line="162" w:lineRule="exact"/>
              <w:rPr>
                <w:sz w:val="20"/>
                <w:szCs w:val="20"/>
                <w:color w:val="auto"/>
              </w:rPr>
            </w:pPr>
            <w:r>
              <w:rPr>
                <w:rFonts w:ascii="Arial" w:cs="Arial" w:eastAsia="Arial" w:hAnsi="Arial"/>
                <w:sz w:val="16"/>
                <w:szCs w:val="16"/>
                <w:color w:val="auto"/>
              </w:rPr>
              <w:t>Convertible notes in private</w:t>
            </w:r>
          </w:p>
        </w:tc>
        <w:tc>
          <w:tcPr>
            <w:tcW w:w="172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color w:val="auto"/>
              </w:rPr>
              <w:t>558</w:t>
            </w: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companies</w:t>
            </w:r>
          </w:p>
        </w:tc>
        <w:tc>
          <w:tcPr>
            <w:tcW w:w="17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F7F7F7"/>
          </w:tcPr>
          <w:p>
            <w:pPr>
              <w:spacing w:after="0"/>
              <w:rPr>
                <w:sz w:val="18"/>
                <w:szCs w:val="18"/>
                <w:color w:val="auto"/>
              </w:rPr>
            </w:pPr>
          </w:p>
        </w:tc>
        <w:tc>
          <w:tcPr>
            <w:tcW w:w="1720" w:type="dxa"/>
            <w:vAlign w:val="bottom"/>
            <w:shd w:val="clear" w:color="auto" w:fill="F7F7F7"/>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4,233</w:t>
            </w:r>
          </w:p>
        </w:tc>
        <w:tc>
          <w:tcPr>
            <w:tcW w:w="1780" w:type="dxa"/>
            <w:vAlign w:val="bottom"/>
            <w:shd w:val="clear" w:color="auto" w:fill="F7F7F7"/>
          </w:tcPr>
          <w:p>
            <w:pPr>
              <w:jc w:val="right"/>
              <w:ind w:right="199"/>
              <w:spacing w:after="0"/>
              <w:rPr>
                <w:sz w:val="20"/>
                <w:szCs w:val="20"/>
                <w:color w:val="auto"/>
              </w:rPr>
            </w:pPr>
            <w:r>
              <w:rPr>
                <w:rFonts w:ascii="Arial" w:cs="Arial" w:eastAsia="Arial" w:hAnsi="Arial"/>
                <w:sz w:val="16"/>
                <w:szCs w:val="16"/>
                <w:color w:val="auto"/>
              </w:rPr>
              <w:t>975</w:t>
            </w:r>
          </w:p>
        </w:tc>
        <w:tc>
          <w:tcPr>
            <w:tcW w:w="15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558</w:t>
            </w:r>
          </w:p>
        </w:tc>
        <w:tc>
          <w:tcPr>
            <w:tcW w:w="17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values above include accrued interest of $39 million, which is excluded from the carrying amounts. The accrued interest is included in "Trade and other receivables, net" in the condensed consolidated balance sheets. Additional accrued interest of $105 million recognized on the convertible notes in private companies is included in the carrying amount and fair value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estimated fair values of our debt securities by date of contractual maturity as of March 31,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972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(in US $ millions)</w:t>
            </w:r>
          </w:p>
        </w:tc>
      </w:tr>
      <w:tr>
        <w:trPr>
          <w:trHeight w:val="217"/>
        </w:trPr>
        <w:tc>
          <w:tcPr>
            <w:tcW w:w="9720" w:type="dxa"/>
            <w:vAlign w:val="bottom"/>
            <w:shd w:val="clear" w:color="auto" w:fill="F7F7F7"/>
          </w:tcPr>
          <w:p>
            <w:pPr>
              <w:ind w:left="20"/>
              <w:spacing w:after="0"/>
              <w:rPr>
                <w:sz w:val="20"/>
                <w:szCs w:val="20"/>
                <w:color w:val="auto"/>
              </w:rPr>
            </w:pPr>
            <w:r>
              <w:rPr>
                <w:rFonts w:ascii="Arial" w:cs="Arial" w:eastAsia="Arial" w:hAnsi="Arial"/>
                <w:sz w:val="16"/>
                <w:szCs w:val="16"/>
                <w:color w:val="auto"/>
              </w:rPr>
              <w:t>Due within one year</w:t>
            </w: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3,961</w:t>
            </w:r>
          </w:p>
        </w:tc>
      </w:tr>
      <w:tr>
        <w:trPr>
          <w:trHeight w:val="215"/>
        </w:trPr>
        <w:tc>
          <w:tcPr>
            <w:tcW w:w="97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Due after one year to three years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r>
      <w:tr>
        <w:trPr>
          <w:trHeight w:val="210"/>
        </w:trPr>
        <w:tc>
          <w:tcPr>
            <w:tcW w:w="9720" w:type="dxa"/>
            <w:vAlign w:val="bottom"/>
            <w:shd w:val="clear" w:color="auto" w:fill="F7F7F7"/>
          </w:tcPr>
          <w:p>
            <w:pPr>
              <w:spacing w:after="0"/>
              <w:rPr>
                <w:sz w:val="18"/>
                <w:szCs w:val="18"/>
                <w:color w:val="auto"/>
              </w:rPr>
            </w:pP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4,667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holds equity investments in public and private companies that were obtained through a combination of direct investment and strategic partnerships.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 Readily Determinable Fair Values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 with readily determinable fair values are comprised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2026</w:t>
            </w:r>
          </w:p>
        </w:tc>
        <w:tc>
          <w:tcPr>
            <w:tcW w:w="1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31, 2025</w:t>
            </w:r>
          </w:p>
        </w:tc>
        <w:tc>
          <w:tcPr>
            <w:tcW w:w="1140" w:type="dxa"/>
            <w:vAlign w:val="bottom"/>
            <w:tcBorders>
              <w:bottom w:val="single" w:sz="8" w:color="auto"/>
            </w:tcBorders>
          </w:tcPr>
          <w:p>
            <w:pPr>
              <w:spacing w:after="0"/>
              <w:rPr>
                <w:sz w:val="18"/>
                <w:szCs w:val="18"/>
                <w:color w:val="auto"/>
              </w:rPr>
            </w:pPr>
          </w:p>
        </w:tc>
      </w:tr>
      <w:tr>
        <w:trPr>
          <w:trHeight w:val="209"/>
        </w:trPr>
        <w:tc>
          <w:tcPr>
            <w:tcW w:w="2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1</w:t>
            </w: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Level 3</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Level 3</w:t>
            </w: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09"/>
        </w:trPr>
        <w:tc>
          <w:tcPr>
            <w:tcW w:w="2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00" w:type="dxa"/>
            <w:vAlign w:val="bottom"/>
            <w:gridSpan w:val="3"/>
          </w:tcPr>
          <w:p>
            <w:pPr>
              <w:jc w:val="right"/>
              <w:ind w:right="699"/>
              <w:spacing w:after="0"/>
              <w:rPr>
                <w:sz w:val="20"/>
                <w:szCs w:val="20"/>
                <w:color w:val="auto"/>
              </w:rPr>
            </w:pPr>
            <w:r>
              <w:rPr>
                <w:rFonts w:ascii="Arial" w:cs="Arial" w:eastAsia="Arial" w:hAnsi="Arial"/>
                <w:sz w:val="16"/>
                <w:szCs w:val="16"/>
                <w:color w:val="auto"/>
              </w:rPr>
              <w:t>(in US $ millions)</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2460" w:type="dxa"/>
            <w:vAlign w:val="bottom"/>
            <w:shd w:val="clear" w:color="auto" w:fill="F7F7F7"/>
          </w:tcPr>
          <w:p>
            <w:pPr>
              <w:ind w:left="140"/>
              <w:spacing w:after="0"/>
              <w:rPr>
                <w:sz w:val="20"/>
                <w:szCs w:val="20"/>
                <w:color w:val="auto"/>
              </w:rPr>
            </w:pPr>
            <w:r>
              <w:rPr>
                <w:rFonts w:ascii="Arial" w:cs="Arial" w:eastAsia="Arial" w:hAnsi="Arial"/>
                <w:sz w:val="16"/>
                <w:szCs w:val="16"/>
                <w:color w:val="auto"/>
              </w:rPr>
              <w:t>Affirm Holdings, Inc.</w:t>
            </w:r>
          </w:p>
        </w:tc>
        <w:tc>
          <w:tcPr>
            <w:tcW w:w="136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930</w:t>
            </w:r>
          </w:p>
        </w:tc>
        <w:tc>
          <w:tcPr>
            <w:tcW w:w="172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930</w:t>
            </w:r>
          </w:p>
        </w:tc>
        <w:tc>
          <w:tcPr>
            <w:tcW w:w="200" w:type="dxa"/>
            <w:vAlign w:val="bottom"/>
            <w:shd w:val="clear" w:color="auto" w:fill="F7F7F7"/>
          </w:tcPr>
          <w:p>
            <w:pPr>
              <w:spacing w:after="0"/>
              <w:rPr>
                <w:sz w:val="18"/>
                <w:szCs w:val="18"/>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1,511</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1,511</w:t>
            </w:r>
          </w:p>
        </w:tc>
      </w:tr>
      <w:tr>
        <w:trPr>
          <w:trHeight w:val="215"/>
        </w:trPr>
        <w:tc>
          <w:tcPr>
            <w:tcW w:w="2460" w:type="dxa"/>
            <w:vAlign w:val="bottom"/>
          </w:tcPr>
          <w:p>
            <w:pPr>
              <w:ind w:left="140"/>
              <w:spacing w:after="0"/>
              <w:rPr>
                <w:sz w:val="20"/>
                <w:szCs w:val="20"/>
                <w:color w:val="auto"/>
              </w:rPr>
            </w:pPr>
            <w:r>
              <w:rPr>
                <w:rFonts w:ascii="Arial" w:cs="Arial" w:eastAsia="Arial" w:hAnsi="Arial"/>
                <w:sz w:val="16"/>
                <w:szCs w:val="16"/>
                <w:color w:val="auto"/>
              </w:rPr>
              <w:t>Global-E Online Ltd.</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682</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682</w:t>
            </w:r>
          </w:p>
        </w:tc>
        <w:tc>
          <w:tcPr>
            <w:tcW w:w="20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868</w:t>
            </w:r>
          </w:p>
        </w:tc>
        <w:tc>
          <w:tcPr>
            <w:tcW w:w="18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868</w:t>
            </w:r>
          </w:p>
        </w:tc>
      </w:tr>
      <w:tr>
        <w:trPr>
          <w:trHeight w:val="217"/>
        </w:trPr>
        <w:tc>
          <w:tcPr>
            <w:tcW w:w="2460" w:type="dxa"/>
            <w:vAlign w:val="bottom"/>
            <w:shd w:val="clear" w:color="auto" w:fill="F7F7F7"/>
          </w:tcPr>
          <w:p>
            <w:pPr>
              <w:ind w:left="140"/>
              <w:spacing w:after="0" w:line="217" w:lineRule="exact"/>
              <w:rPr>
                <w:sz w:val="20"/>
                <w:szCs w:val="20"/>
                <w:color w:val="auto"/>
              </w:rPr>
            </w:pPr>
            <w:r>
              <w:rPr>
                <w:rFonts w:ascii="Arial" w:cs="Arial" w:eastAsia="Arial" w:hAnsi="Arial"/>
                <w:sz w:val="16"/>
                <w:szCs w:val="16"/>
                <w:color w:val="auto"/>
              </w:rPr>
              <w:t>Klaviyo, Inc.</w:t>
            </w:r>
            <w:r>
              <w:rPr>
                <w:rFonts w:ascii="Arial" w:cs="Arial" w:eastAsia="Arial" w:hAnsi="Arial"/>
                <w:sz w:val="21"/>
                <w:szCs w:val="21"/>
                <w:color w:val="auto"/>
                <w:vertAlign w:val="superscript"/>
              </w:rPr>
              <w:t>(1)</w:t>
            </w:r>
          </w:p>
        </w:tc>
        <w:tc>
          <w:tcPr>
            <w:tcW w:w="136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324</w:t>
            </w:r>
          </w:p>
        </w:tc>
        <w:tc>
          <w:tcPr>
            <w:tcW w:w="172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36</w:t>
            </w:r>
          </w:p>
        </w:tc>
        <w:tc>
          <w:tcPr>
            <w:tcW w:w="12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F7F7F7"/>
          </w:tcPr>
          <w:p>
            <w:pPr>
              <w:spacing w:after="0"/>
              <w:rPr>
                <w:sz w:val="18"/>
                <w:szCs w:val="18"/>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529</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70</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599</w:t>
            </w:r>
          </w:p>
        </w:tc>
      </w:tr>
      <w:tr>
        <w:trPr>
          <w:trHeight w:val="215"/>
        </w:trPr>
        <w:tc>
          <w:tcPr>
            <w:tcW w:w="246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F7F7F7"/>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r>
      <w:tr>
        <w:trPr>
          <w:trHeight w:val="210"/>
        </w:trPr>
        <w:tc>
          <w:tcPr>
            <w:tcW w:w="2460" w:type="dxa"/>
            <w:vAlign w:val="bottom"/>
            <w:shd w:val="clear" w:color="auto" w:fill="F7F7F7"/>
          </w:tcPr>
          <w:p>
            <w:pPr>
              <w:spacing w:after="0"/>
              <w:rPr>
                <w:sz w:val="18"/>
                <w:szCs w:val="18"/>
                <w:color w:val="auto"/>
              </w:rPr>
            </w:pPr>
          </w:p>
        </w:tc>
        <w:tc>
          <w:tcPr>
            <w:tcW w:w="136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1,939</w:t>
            </w:r>
          </w:p>
        </w:tc>
        <w:tc>
          <w:tcPr>
            <w:tcW w:w="172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36</w:t>
            </w:r>
          </w:p>
        </w:tc>
        <w:tc>
          <w:tcPr>
            <w:tcW w:w="12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1,975</w:t>
            </w:r>
          </w:p>
        </w:tc>
        <w:tc>
          <w:tcPr>
            <w:tcW w:w="200" w:type="dxa"/>
            <w:vAlign w:val="bottom"/>
            <w:shd w:val="clear" w:color="auto" w:fill="F7F7F7"/>
          </w:tcPr>
          <w:p>
            <w:pPr>
              <w:spacing w:after="0"/>
              <w:rPr>
                <w:sz w:val="18"/>
                <w:szCs w:val="18"/>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2,916</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70</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2,986</w:t>
            </w:r>
          </w:p>
        </w:tc>
      </w:tr>
    </w:tbl>
    <w:p>
      <w:pPr>
        <w:spacing w:after="0" w:line="85" w:lineRule="exact"/>
        <w:rPr>
          <w:sz w:val="20"/>
          <w:szCs w:val="20"/>
          <w:color w:val="auto"/>
        </w:rPr>
      </w:pPr>
    </w:p>
    <w:p>
      <w:pPr>
        <w:jc w:val="both"/>
        <w:ind w:firstLine="8"/>
        <w:spacing w:after="0" w:line="234" w:lineRule="auto"/>
        <w:tabs>
          <w:tab w:leader="none" w:pos="16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 the three months ended March 31, 2026, $11 million was transferred from Level 3 to Level 1 due to the vesting of warrants (March 31, 2025 - $14 million). The equity investments categorized as Level 3 in the fair value hierarchy represent unvested warrants that require the application of a discount for lack of marketability which was 10% at March 31, 2026 (December 31, 2025 - 11%).</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Adjustments related to equity and other investments with readily determinable fair values for the three months ended March 31, 2026 and 2025 were as follows:</w:t>
      </w:r>
    </w:p>
    <w:p>
      <w:pPr>
        <w:spacing w:after="0" w:line="158"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6"/>
        </w:trPr>
        <w:tc>
          <w:tcPr>
            <w:tcW w:w="89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30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2,986</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3,183</w:t>
            </w:r>
          </w:p>
        </w:tc>
      </w:tr>
      <w:tr>
        <w:trPr>
          <w:trHeight w:val="251"/>
        </w:trPr>
        <w:tc>
          <w:tcPr>
            <w:tcW w:w="80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16"/>
        </w:trPr>
        <w:tc>
          <w:tcPr>
            <w:tcW w:w="89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Adjustments related to equity and other investments with readily determinable fair values:</w:t>
            </w:r>
          </w:p>
        </w:tc>
        <w:tc>
          <w:tcPr>
            <w:tcW w:w="1300" w:type="dxa"/>
            <w:vAlign w:val="bottom"/>
            <w:shd w:val="clear" w:color="auto" w:fill="F7F7F7"/>
          </w:tcPr>
          <w:p>
            <w:pPr>
              <w:spacing w:after="0"/>
              <w:rPr>
                <w:sz w:val="18"/>
                <w:szCs w:val="18"/>
                <w:color w:val="auto"/>
              </w:rPr>
            </w:pPr>
          </w:p>
        </w:tc>
        <w:tc>
          <w:tcPr>
            <w:tcW w:w="960" w:type="dxa"/>
            <w:vAlign w:val="bottom"/>
            <w:shd w:val="clear" w:color="auto" w:fill="F7F7F7"/>
          </w:tcPr>
          <w:p>
            <w:pPr>
              <w:spacing w:after="0"/>
              <w:rPr>
                <w:sz w:val="18"/>
                <w:szCs w:val="18"/>
                <w:color w:val="auto"/>
              </w:rPr>
            </w:pPr>
          </w:p>
        </w:tc>
      </w:tr>
      <w:tr>
        <w:trPr>
          <w:trHeight w:val="215"/>
        </w:trPr>
        <w:tc>
          <w:tcPr>
            <w:tcW w:w="8980" w:type="dxa"/>
            <w:vAlign w:val="bottom"/>
            <w:gridSpan w:val="2"/>
          </w:tcPr>
          <w:p>
            <w:pPr>
              <w:ind w:left="240"/>
              <w:spacing w:after="0"/>
              <w:rPr>
                <w:sz w:val="20"/>
                <w:szCs w:val="20"/>
                <w:color w:val="auto"/>
              </w:rPr>
            </w:pPr>
            <w:r>
              <w:rPr>
                <w:rFonts w:ascii="Arial" w:cs="Arial" w:eastAsia="Arial" w:hAnsi="Arial"/>
                <w:sz w:val="16"/>
                <w:szCs w:val="16"/>
                <w:color w:val="auto"/>
              </w:rPr>
              <w:t>Sale of equity and other investments</w:t>
            </w: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980" w:type="dxa"/>
            <w:vAlign w:val="bottom"/>
            <w:gridSpan w:val="2"/>
            <w:shd w:val="clear" w:color="auto" w:fill="F7F7F7"/>
          </w:tcPr>
          <w:p>
            <w:pPr>
              <w:ind w:left="240"/>
              <w:spacing w:after="0"/>
              <w:rPr>
                <w:sz w:val="20"/>
                <w:szCs w:val="20"/>
                <w:color w:val="auto"/>
              </w:rPr>
            </w:pPr>
            <w:r>
              <w:rPr>
                <w:rFonts w:ascii="Arial" w:cs="Arial" w:eastAsia="Arial" w:hAnsi="Arial"/>
                <w:sz w:val="16"/>
                <w:szCs w:val="16"/>
                <w:color w:val="auto"/>
              </w:rPr>
              <w:t>Net unrealized losses</w:t>
            </w:r>
          </w:p>
        </w:tc>
        <w:tc>
          <w:tcPr>
            <w:tcW w:w="1300" w:type="dxa"/>
            <w:vAlign w:val="bottom"/>
            <w:shd w:val="clear" w:color="auto" w:fill="F7F7F7"/>
          </w:tcPr>
          <w:p>
            <w:pPr>
              <w:jc w:val="right"/>
              <w:ind w:right="679"/>
              <w:spacing w:after="0"/>
              <w:rPr>
                <w:sz w:val="20"/>
                <w:szCs w:val="20"/>
                <w:color w:val="auto"/>
              </w:rPr>
            </w:pPr>
            <w:r>
              <w:rPr>
                <w:rFonts w:ascii="Arial" w:cs="Arial" w:eastAsia="Arial" w:hAnsi="Arial"/>
                <w:sz w:val="16"/>
                <w:szCs w:val="16"/>
                <w:color w:val="auto"/>
              </w:rPr>
              <w:t>(1,009)</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(930)</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9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1,975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equity investments in private companies without readily determinable fair values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Total initial value</w:t>
            </w:r>
          </w:p>
        </w:tc>
        <w:tc>
          <w:tcPr>
            <w:tcW w:w="16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1,072</w:t>
            </w:r>
          </w:p>
        </w:tc>
        <w:tc>
          <w:tcPr>
            <w:tcW w:w="16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1,068</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Cumulative gross unrealized gains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310</w:t>
            </w:r>
          </w:p>
        </w:tc>
        <w:tc>
          <w:tcPr>
            <w:tcW w:w="16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7"/>
        </w:trPr>
        <w:tc>
          <w:tcPr>
            <w:tcW w:w="80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Cumulative gross unrealized losses and impairment</w:t>
            </w:r>
          </w:p>
        </w:tc>
        <w:tc>
          <w:tcPr>
            <w:tcW w:w="162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(412)</w:t>
            </w:r>
          </w:p>
        </w:tc>
        <w:tc>
          <w:tcPr>
            <w:tcW w:w="1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(415)</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Total carrying value of equity and other investments without readily determinable fair values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970</w:t>
            </w:r>
          </w:p>
        </w:tc>
        <w:tc>
          <w:tcPr>
            <w:tcW w:w="1600" w:type="dxa"/>
            <w:vAlign w:val="bottom"/>
          </w:tcPr>
          <w:p>
            <w:pPr>
              <w:jc w:val="right"/>
              <w:spacing w:after="0"/>
              <w:rPr>
                <w:sz w:val="20"/>
                <w:szCs w:val="20"/>
                <w:color w:val="auto"/>
              </w:rPr>
            </w:pPr>
            <w:r>
              <w:rPr>
                <w:rFonts w:ascii="Arial" w:cs="Arial" w:eastAsia="Arial" w:hAnsi="Arial"/>
                <w:sz w:val="16"/>
                <w:szCs w:val="16"/>
                <w:color w:val="auto"/>
              </w:rPr>
              <w:t>963</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Adjustments related to equity and other investments without readily determinable fair values for the three months ended March 31, 2026 and 2025 were as follows:</w:t>
      </w:r>
    </w:p>
    <w:p>
      <w:pPr>
        <w:spacing w:after="0" w:line="158"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6"/>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963</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717</w:t>
            </w:r>
          </w:p>
        </w:tc>
      </w:tr>
      <w:tr>
        <w:trPr>
          <w:trHeight w:val="251"/>
        </w:trPr>
        <w:tc>
          <w:tcPr>
            <w:tcW w:w="80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16"/>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Adjustments related to equity and other investments without readily determinable fair values:</w:t>
            </w:r>
          </w:p>
        </w:tc>
        <w:tc>
          <w:tcPr>
            <w:tcW w:w="1280" w:type="dxa"/>
            <w:vAlign w:val="bottom"/>
            <w:shd w:val="clear" w:color="auto" w:fill="F7F7F7"/>
          </w:tcPr>
          <w:p>
            <w:pPr>
              <w:spacing w:after="0"/>
              <w:rPr>
                <w:sz w:val="18"/>
                <w:szCs w:val="18"/>
                <w:color w:val="auto"/>
              </w:rPr>
            </w:pPr>
          </w:p>
        </w:tc>
        <w:tc>
          <w:tcPr>
            <w:tcW w:w="960" w:type="dxa"/>
            <w:vAlign w:val="bottom"/>
            <w:shd w:val="clear" w:color="auto" w:fill="F7F7F7"/>
          </w:tcPr>
          <w:p>
            <w:pPr>
              <w:spacing w:after="0"/>
              <w:rPr>
                <w:sz w:val="18"/>
                <w:szCs w:val="18"/>
                <w:color w:val="auto"/>
              </w:rPr>
            </w:pPr>
          </w:p>
        </w:tc>
      </w:tr>
      <w:tr>
        <w:trPr>
          <w:trHeight w:val="215"/>
        </w:trPr>
        <w:tc>
          <w:tcPr>
            <w:tcW w:w="9000" w:type="dxa"/>
            <w:vAlign w:val="bottom"/>
            <w:gridSpan w:val="2"/>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1280" w:type="dxa"/>
            <w:vAlign w:val="bottom"/>
          </w:tcPr>
          <w:p>
            <w:pPr>
              <w:jc w:val="right"/>
              <w:ind w:right="739"/>
              <w:spacing w:after="0"/>
              <w:rPr>
                <w:sz w:val="20"/>
                <w:szCs w:val="20"/>
                <w:color w:val="auto"/>
              </w:rPr>
            </w:pPr>
            <w:r>
              <w:rPr>
                <w:rFonts w:ascii="Arial" w:cs="Arial" w:eastAsia="Arial" w:hAnsi="Arial"/>
                <w:sz w:val="16"/>
                <w:szCs w:val="16"/>
                <w:color w:val="auto"/>
              </w:rPr>
              <w:t>10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9000" w:type="dxa"/>
            <w:vAlign w:val="bottom"/>
            <w:gridSpan w:val="2"/>
            <w:shd w:val="clear" w:color="auto" w:fill="F7F7F7"/>
          </w:tcPr>
          <w:p>
            <w:pPr>
              <w:ind w:left="240"/>
              <w:spacing w:after="0"/>
              <w:rPr>
                <w:sz w:val="20"/>
                <w:szCs w:val="20"/>
                <w:color w:val="auto"/>
              </w:rPr>
            </w:pPr>
            <w:r>
              <w:rPr>
                <w:rFonts w:ascii="Arial" w:cs="Arial" w:eastAsia="Arial" w:hAnsi="Arial"/>
                <w:sz w:val="16"/>
                <w:szCs w:val="16"/>
                <w:color w:val="auto"/>
              </w:rPr>
              <w:t>Gross unrealized gains</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00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Sales of equity and other investments</w:t>
            </w:r>
            <w:r>
              <w:rPr>
                <w:rFonts w:ascii="Arial" w:cs="Arial" w:eastAsia="Arial" w:hAnsi="Arial"/>
                <w:sz w:val="21"/>
                <w:szCs w:val="21"/>
                <w:color w:val="auto"/>
                <w:vertAlign w:val="superscript"/>
              </w:rPr>
              <w:t>(1)</w:t>
            </w:r>
          </w:p>
        </w:tc>
        <w:tc>
          <w:tcPr>
            <w:tcW w:w="1280" w:type="dxa"/>
            <w:vAlign w:val="bottom"/>
          </w:tcPr>
          <w:p>
            <w:pPr>
              <w:jc w:val="right"/>
              <w:ind w:right="679"/>
              <w:spacing w:after="0"/>
              <w:rPr>
                <w:sz w:val="20"/>
                <w:szCs w:val="20"/>
                <w:color w:val="auto"/>
              </w:rPr>
            </w:pPr>
            <w:r>
              <w:rPr>
                <w:rFonts w:ascii="Arial" w:cs="Arial" w:eastAsia="Arial" w:hAnsi="Arial"/>
                <w:sz w:val="16"/>
                <w:szCs w:val="16"/>
                <w:color w:val="auto"/>
              </w:rPr>
              <w:t>(5)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000" w:type="dxa"/>
            <w:vAlign w:val="bottom"/>
            <w:gridSpan w:val="2"/>
            <w:shd w:val="clear" w:color="auto" w:fill="F7F7F7"/>
          </w:tcPr>
          <w:p>
            <w:pPr>
              <w:ind w:left="240"/>
              <w:spacing w:after="0" w:line="216" w:lineRule="exact"/>
              <w:rPr>
                <w:sz w:val="20"/>
                <w:szCs w:val="20"/>
                <w:color w:val="auto"/>
              </w:rPr>
            </w:pPr>
            <w:r>
              <w:rPr>
                <w:rFonts w:ascii="Arial" w:cs="Arial" w:eastAsia="Arial" w:hAnsi="Arial"/>
                <w:sz w:val="16"/>
                <w:szCs w:val="16"/>
                <w:color w:val="auto"/>
              </w:rPr>
              <w:t>Gross unrealized losses and impairments</w:t>
            </w:r>
            <w:r>
              <w:rPr>
                <w:rFonts w:ascii="Arial" w:cs="Arial" w:eastAsia="Arial" w:hAnsi="Arial"/>
                <w:sz w:val="21"/>
                <w:szCs w:val="21"/>
                <w:color w:val="auto"/>
                <w:vertAlign w:val="superscript"/>
              </w:rPr>
              <w:t>(2)</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970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709</w:t>
            </w:r>
          </w:p>
        </w:tc>
      </w:tr>
    </w:tbl>
    <w:p>
      <w:pPr>
        <w:spacing w:after="0" w:line="262" w:lineRule="exact"/>
        <w:rPr>
          <w:sz w:val="20"/>
          <w:szCs w:val="20"/>
          <w:color w:val="auto"/>
        </w:rPr>
      </w:pPr>
    </w:p>
    <w:p>
      <w:pPr>
        <w:jc w:val="both"/>
        <w:ind w:firstLine="8"/>
        <w:spacing w:after="0" w:line="283" w:lineRule="auto"/>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During the three months ended March 31, 2026, the Company held an investment in a private company, which was acquired by third parties, resulting in the deemed sale of equity and other investments. The resulting realized gain is presented as "Net realized gain on equity and other investments" in the condensed consolidated statements of operations and comprehensive loss.</w:t>
      </w:r>
    </w:p>
    <w:p>
      <w:pPr>
        <w:spacing w:after="0" w:line="91" w:lineRule="exact"/>
        <w:rPr>
          <w:rFonts w:ascii="Arial" w:cs="Arial" w:eastAsia="Arial" w:hAnsi="Arial"/>
          <w:sz w:val="9"/>
          <w:szCs w:val="9"/>
          <w:color w:val="auto"/>
        </w:rPr>
      </w:pPr>
    </w:p>
    <w:p>
      <w:pPr>
        <w:jc w:val="both"/>
        <w:ind w:firstLine="8"/>
        <w:spacing w:after="0" w:line="283" w:lineRule="auto"/>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During the three months ended March 31, 2025, the Company applied certain valuation methods based on information available, including the market approach and option pricing models in order to quantify the level of impairment recognized. The resulting unrealized losses and impairments were presented as "Net unrealized loss on equity and other investments" in the condensed consolidated statements of operations and comprehensive loss.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included in the total $970 million of equity and other investments without readily determinable fair values, of which $803 million was remeasured at fair value and was classified within Level 3 of the fair value measurement hierarchy on a non-recurring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holds an equity method investment in Flexport which is presented within "Equity method investment" in the condensed consolidated balance sheets and is carried at the amount of Shopify’s original investment, as adjusted each period for Shopify’s share of the investee’s income or loss and the basis difference amortization, which is the difference between the fair value of our investment in the company and the underlying equity in the net assets of the investee. Results are reported with a one-quarter delay due to the timing of financial information availability from the investee. For the three months ended March 31, 2026, our share of the loss in the investee was $21 million (March 31, 2025 - $23 million), and is presented within "Net loss on equity method investment" in the condensed consolidated statements of operations and 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2026, the Company held foreign exchange forward contracts and options for USD, CAD, GBP, EUR and Australian dollars ("AUD") with a total notional value of $745 million (December 31, 2025 - $702 million), to fund a portion of its operations. The fair value of foreign exchange forward contracts and options was based upon Level 2 inputs, which included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Designated as Hedges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 hedging program to mitigate the impact of foreign currency fluctuations on future cash flows and earnings. Under this program, the Company has entered into foreign exchange forward contracts and options with certain financial institutions and designated those hedges as cash flow hedges. The Company is hedging cash flows associated with payroll and facility costs.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7740" w:type="dxa"/>
            <w:vAlign w:val="bottom"/>
          </w:tcPr>
          <w:p>
            <w:pPr>
              <w:spacing w:after="0"/>
              <w:rPr>
                <w:sz w:val="18"/>
                <w:szCs w:val="18"/>
                <w:color w:val="auto"/>
              </w:rPr>
            </w:pPr>
          </w:p>
        </w:tc>
        <w:tc>
          <w:tcPr>
            <w:tcW w:w="350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774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Level 2:</w:t>
            </w:r>
          </w:p>
        </w:tc>
        <w:tc>
          <w:tcPr>
            <w:tcW w:w="1880" w:type="dxa"/>
            <w:vAlign w:val="bottom"/>
            <w:shd w:val="clear" w:color="auto" w:fill="F7F7F7"/>
          </w:tcPr>
          <w:p>
            <w:pPr>
              <w:spacing w:after="0"/>
              <w:rPr>
                <w:sz w:val="18"/>
                <w:szCs w:val="18"/>
                <w:color w:val="auto"/>
              </w:rPr>
            </w:pPr>
          </w:p>
        </w:tc>
        <w:tc>
          <w:tcPr>
            <w:tcW w:w="1620" w:type="dxa"/>
            <w:vAlign w:val="bottom"/>
            <w:shd w:val="clear" w:color="auto" w:fill="F7F7F7"/>
          </w:tcPr>
          <w:p>
            <w:pPr>
              <w:spacing w:after="0"/>
              <w:rPr>
                <w:sz w:val="18"/>
                <w:szCs w:val="18"/>
                <w:color w:val="auto"/>
              </w:rPr>
            </w:pPr>
          </w:p>
        </w:tc>
      </w:tr>
      <w:tr>
        <w:trPr>
          <w:trHeight w:val="215"/>
        </w:trPr>
        <w:tc>
          <w:tcPr>
            <w:tcW w:w="7740" w:type="dxa"/>
            <w:vAlign w:val="bottom"/>
          </w:tcPr>
          <w:p>
            <w:pPr>
              <w:ind w:left="240"/>
              <w:spacing w:after="0"/>
              <w:rPr>
                <w:sz w:val="20"/>
                <w:szCs w:val="20"/>
                <w:color w:val="auto"/>
              </w:rPr>
            </w:pPr>
            <w:r>
              <w:rPr>
                <w:rFonts w:ascii="Arial" w:cs="Arial" w:eastAsia="Arial" w:hAnsi="Arial"/>
                <w:sz w:val="16"/>
                <w:szCs w:val="16"/>
                <w:color w:val="auto"/>
              </w:rPr>
              <w:t>Foreign exchange forward contracts and options assets (classified in other current assets)</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7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Foreign exchange forward contract liabilities (classified in accounts payable and accrued liabilities)</w:t>
            </w:r>
          </w:p>
        </w:tc>
        <w:tc>
          <w:tcPr>
            <w:tcW w:w="18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6</w:t>
            </w:r>
          </w:p>
        </w:tc>
        <w:tc>
          <w:tcPr>
            <w:tcW w:w="16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Unrealized losses related to changes in the fair value of foreign exchange forward contracts and options designated as cash flow hedges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2026</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4760" w:type="dxa"/>
            <w:vAlign w:val="bottom"/>
          </w:tcPr>
          <w:p>
            <w:pPr>
              <w:spacing w:after="0"/>
              <w:rPr>
                <w:sz w:val="18"/>
                <w:szCs w:val="18"/>
                <w:color w:val="auto"/>
              </w:rPr>
            </w:pPr>
          </w:p>
        </w:tc>
        <w:tc>
          <w:tcPr>
            <w:tcW w:w="648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4760" w:type="dxa"/>
            <w:vAlign w:val="bottom"/>
            <w:shd w:val="clear" w:color="auto" w:fill="F7F7F7"/>
          </w:tcPr>
          <w:p>
            <w:pPr>
              <w:ind w:left="20"/>
              <w:spacing w:after="0"/>
              <w:rPr>
                <w:sz w:val="20"/>
                <w:szCs w:val="20"/>
                <w:color w:val="auto"/>
              </w:rPr>
            </w:pPr>
            <w:r>
              <w:rPr>
                <w:rFonts w:ascii="Arial" w:cs="Arial" w:eastAsia="Arial" w:hAnsi="Arial"/>
                <w:sz w:val="16"/>
                <w:szCs w:val="16"/>
                <w:color w:val="auto"/>
              </w:rPr>
              <w:t>Unrealized losses</w:t>
            </w:r>
          </w:p>
        </w:tc>
        <w:tc>
          <w:tcPr>
            <w:tcW w:w="496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(4)</w:t>
            </w: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unrealized losses were included in "Accumulated other comprehensive (loss) income", "Other current assets" and "Accounts payable and accrued liabilities" in the condensed consolidated balance sheets. These amounts are expected to be reclassified into earnings over the next twelve months.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Realized gains (losses) related to the maturity of foreign exchange forward contracts and options designated as cash flow hedges were as follows:</w:t>
      </w:r>
    </w:p>
    <w:p>
      <w:pPr>
        <w:spacing w:after="0" w:line="158"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7"/>
        </w:trPr>
        <w:tc>
          <w:tcPr>
            <w:tcW w:w="9000" w:type="dxa"/>
            <w:vAlign w:val="bottom"/>
            <w:gridSpan w:val="2"/>
            <w:shd w:val="clear" w:color="auto" w:fill="F7F7F7"/>
          </w:tcPr>
          <w:p>
            <w:pPr>
              <w:jc w:val="right"/>
              <w:ind w:right="5579"/>
              <w:spacing w:after="0"/>
              <w:rPr>
                <w:sz w:val="20"/>
                <w:szCs w:val="20"/>
                <w:color w:val="auto"/>
              </w:rPr>
            </w:pPr>
            <w:r>
              <w:rPr>
                <w:rFonts w:ascii="Arial" w:cs="Arial" w:eastAsia="Arial" w:hAnsi="Arial"/>
                <w:sz w:val="16"/>
                <w:szCs w:val="16"/>
                <w:color w:val="auto"/>
              </w:rPr>
              <w:t>Realized gains (losses) in operating expenses</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Not Designated as Hedges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holds an investment option to purchase 15,743,174 of Series B common shares of Klaviyo, Inc. at an exercise price of $88.93 with an expiration date of July 28, 2030. The options are fair valued quarterly under Level 3 of the fair value hierarchy as certain unobservable inputs are used within the Black-Scholes model as well as a discount for lack of marketability. The fair value of the options as of March 31, 2026, utilizing a discount for lack of marketability of 20%, was $21 million (December 31, 2025 - 21% and $75 million) and is presented within "Equity and other investments" in the condensed consolidated balance sheets. The Company recognized an unrealized loss of $54 million for the three months ended March 31, 2026 (March 31, 2025 - unrealized loss of $86 million) and is presented as a component of "Net unrealized loss on equity and other investments".</w:t>
      </w:r>
    </w:p>
    <w:p>
      <w:pPr>
        <w:spacing w:after="0" w:line="14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Trade and Other Receivables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and unbilled revenues, net of allowance for credit losses,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Unbilled revenues, net</w:t>
            </w:r>
          </w:p>
        </w:tc>
        <w:tc>
          <w:tcPr>
            <w:tcW w:w="16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219</w:t>
            </w:r>
          </w:p>
        </w:tc>
        <w:tc>
          <w:tcPr>
            <w:tcW w:w="16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229</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Trade receivables, net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16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Indirect taxes receivable</w:t>
            </w:r>
          </w:p>
        </w:tc>
        <w:tc>
          <w:tcPr>
            <w:tcW w:w="16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71</w:t>
            </w:r>
          </w:p>
        </w:tc>
        <w:tc>
          <w:tcPr>
            <w:tcW w:w="16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6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Other receivables</w:t>
            </w:r>
          </w:p>
        </w:tc>
        <w:tc>
          <w:tcPr>
            <w:tcW w:w="160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26</w:t>
            </w:r>
          </w:p>
        </w:tc>
        <w:tc>
          <w:tcPr>
            <w:tcW w:w="16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802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449</w:t>
            </w:r>
          </w:p>
        </w:tc>
        <w:tc>
          <w:tcPr>
            <w:tcW w:w="1620" w:type="dxa"/>
            <w:vAlign w:val="bottom"/>
          </w:tcPr>
          <w:p>
            <w:pPr>
              <w:jc w:val="right"/>
              <w:spacing w:after="0"/>
              <w:rPr>
                <w:sz w:val="20"/>
                <w:szCs w:val="20"/>
                <w:color w:val="auto"/>
              </w:rPr>
            </w:pPr>
            <w:r>
              <w:rPr>
                <w:rFonts w:ascii="Arial" w:cs="Arial" w:eastAsia="Arial" w:hAnsi="Arial"/>
                <w:sz w:val="16"/>
                <w:szCs w:val="16"/>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Unbilled revenues represent amounts not yet billed related to partner referral fees, subscription fees for Plus merchants, shipping charges and transaction fees as of the condensed consolidated balance sheet dates.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allowance for credit losses reflects the Company's best estimate of probable losses inherent in the unbilled revenues and trade receivables accounts. The Company determined the provision based on known troubled accounts, historical experience, supportable forecasts of collectibility and other currently available evidence.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credit losses was as follows for the three months ended: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2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r>
      <w:tr>
        <w:trPr>
          <w:trHeight w:val="209"/>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jc w:val="right"/>
              <w:ind w:right="579"/>
              <w:spacing w:after="0"/>
              <w:rPr>
                <w:sz w:val="20"/>
                <w:szCs w:val="20"/>
                <w:color w:val="auto"/>
              </w:rPr>
            </w:pPr>
            <w:r>
              <w:rPr>
                <w:rFonts w:ascii="Arial" w:cs="Arial" w:eastAsia="Arial" w:hAnsi="Arial"/>
                <w:sz w:val="16"/>
                <w:szCs w:val="16"/>
                <w:color w:val="auto"/>
              </w:rPr>
              <w:t>(in US $ millions)</w:t>
            </w:r>
          </w:p>
        </w:tc>
        <w:tc>
          <w:tcPr>
            <w:tcW w:w="340" w:type="dxa"/>
            <w:vAlign w:val="bottom"/>
          </w:tcPr>
          <w:p>
            <w:pPr>
              <w:spacing w:after="0"/>
              <w:rPr>
                <w:sz w:val="18"/>
                <w:szCs w:val="18"/>
                <w:color w:val="auto"/>
              </w:rPr>
            </w:pPr>
          </w:p>
        </w:tc>
      </w:tr>
      <w:tr>
        <w:trPr>
          <w:trHeight w:val="244"/>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900" w:type="dxa"/>
            <w:vAlign w:val="bottom"/>
            <w:shd w:val="clear" w:color="auto" w:fill="F7F7F7"/>
          </w:tcPr>
          <w:p>
            <w:pPr>
              <w:jc w:val="right"/>
              <w:ind w:right="1359"/>
              <w:spacing w:after="0"/>
              <w:rPr>
                <w:sz w:val="20"/>
                <w:szCs w:val="20"/>
                <w:color w:val="auto"/>
              </w:rPr>
            </w:pPr>
            <w:r>
              <w:rPr>
                <w:rFonts w:ascii="Arial" w:cs="Arial" w:eastAsia="Arial" w:hAnsi="Arial"/>
                <w:sz w:val="16"/>
                <w:szCs w:val="16"/>
                <w:color w:val="auto"/>
              </w:rPr>
              <w:t>17</w:t>
            </w:r>
          </w:p>
        </w:tc>
        <w:tc>
          <w:tcPr>
            <w:tcW w:w="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w:t>
            </w:r>
          </w:p>
        </w:tc>
      </w:tr>
      <w:tr>
        <w:trPr>
          <w:trHeight w:val="242"/>
        </w:trPr>
        <w:tc>
          <w:tcPr>
            <w:tcW w:w="9000" w:type="dxa"/>
            <w:vAlign w:val="bottom"/>
            <w:gridSpan w:val="2"/>
          </w:tcPr>
          <w:p>
            <w:pPr>
              <w:ind w:left="240"/>
              <w:spacing w:after="0"/>
              <w:rPr>
                <w:sz w:val="20"/>
                <w:szCs w:val="20"/>
                <w:color w:val="auto"/>
              </w:rPr>
            </w:pPr>
            <w:r>
              <w:rPr>
                <w:rFonts w:ascii="Arial" w:cs="Arial" w:eastAsia="Arial" w:hAnsi="Arial"/>
                <w:sz w:val="16"/>
                <w:szCs w:val="16"/>
                <w:color w:val="auto"/>
              </w:rPr>
              <w:t>Provision for credit losses related to uncollectible receivables</w:t>
            </w:r>
          </w:p>
        </w:tc>
        <w:tc>
          <w:tcPr>
            <w:tcW w:w="1900" w:type="dxa"/>
            <w:vAlign w:val="bottom"/>
          </w:tcPr>
          <w:p>
            <w:pPr>
              <w:jc w:val="right"/>
              <w:ind w:right="1359"/>
              <w:spacing w:after="0"/>
              <w:rPr>
                <w:sz w:val="20"/>
                <w:szCs w:val="20"/>
                <w:color w:val="auto"/>
              </w:rPr>
            </w:pPr>
            <w:r>
              <w:rPr>
                <w:rFonts w:ascii="Arial" w:cs="Arial" w:eastAsia="Arial" w:hAnsi="Arial"/>
                <w:sz w:val="16"/>
                <w:szCs w:val="16"/>
                <w:color w:val="auto"/>
              </w:rPr>
              <w:t>6</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80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Write-offs</w:t>
            </w:r>
          </w:p>
        </w:tc>
        <w:tc>
          <w:tcPr>
            <w:tcW w:w="980" w:type="dxa"/>
            <w:vAlign w:val="bottom"/>
            <w:tcBorders>
              <w:bottom w:val="single" w:sz="8" w:color="auto"/>
            </w:tcBorders>
            <w:shd w:val="clear" w:color="auto" w:fill="F7F7F7"/>
          </w:tcPr>
          <w:p>
            <w:pPr>
              <w:spacing w:after="0"/>
              <w:rPr>
                <w:sz w:val="21"/>
                <w:szCs w:val="21"/>
                <w:color w:val="auto"/>
              </w:rPr>
            </w:pPr>
          </w:p>
        </w:tc>
        <w:tc>
          <w:tcPr>
            <w:tcW w:w="1900" w:type="dxa"/>
            <w:vAlign w:val="bottom"/>
            <w:tcBorders>
              <w:bottom w:val="single" w:sz="8" w:color="auto"/>
            </w:tcBorders>
            <w:shd w:val="clear" w:color="auto" w:fill="F7F7F7"/>
          </w:tcPr>
          <w:p>
            <w:pPr>
              <w:jc w:val="right"/>
              <w:ind w:right="129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1900" w:type="dxa"/>
            <w:vAlign w:val="bottom"/>
          </w:tcPr>
          <w:p>
            <w:pPr>
              <w:jc w:val="right"/>
              <w:ind w:right="1359"/>
              <w:spacing w:after="0"/>
              <w:rPr>
                <w:sz w:val="20"/>
                <w:szCs w:val="20"/>
                <w:color w:val="auto"/>
              </w:rPr>
            </w:pPr>
            <w:r>
              <w:rPr>
                <w:rFonts w:ascii="Arial" w:cs="Arial" w:eastAsia="Arial" w:hAnsi="Arial"/>
                <w:sz w:val="16"/>
                <w:szCs w:val="16"/>
                <w:color w:val="auto"/>
              </w:rPr>
              <w:t>19</w:t>
            </w:r>
          </w:p>
        </w:tc>
        <w:tc>
          <w:tcPr>
            <w:tcW w:w="34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Loans and Merchant Cash Advances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line="217" w:lineRule="exact"/>
              <w:rPr>
                <w:sz w:val="20"/>
                <w:szCs w:val="20"/>
                <w:color w:val="auto"/>
              </w:rPr>
            </w:pPr>
            <w:r>
              <w:rPr>
                <w:rFonts w:ascii="Arial" w:cs="Arial" w:eastAsia="Arial" w:hAnsi="Arial"/>
                <w:sz w:val="16"/>
                <w:szCs w:val="16"/>
                <w:color w:val="auto"/>
              </w:rPr>
              <w:t>Loans receivable, gross</w:t>
            </w:r>
            <w:r>
              <w:rPr>
                <w:rFonts w:ascii="Arial" w:cs="Arial" w:eastAsia="Arial" w:hAnsi="Arial"/>
                <w:sz w:val="21"/>
                <w:szCs w:val="21"/>
                <w:color w:val="auto"/>
                <w:vertAlign w:val="superscript"/>
              </w:rPr>
              <w:t>(1)</w:t>
            </w:r>
          </w:p>
        </w:tc>
        <w:tc>
          <w:tcPr>
            <w:tcW w:w="16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1,895</w:t>
            </w:r>
          </w:p>
        </w:tc>
        <w:tc>
          <w:tcPr>
            <w:tcW w:w="16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1,621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Allowance for credit losses related to uncollectible loans receivable</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6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Merchant cash advances receivable, gross</w:t>
            </w:r>
          </w:p>
        </w:tc>
        <w:tc>
          <w:tcPr>
            <w:tcW w:w="16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422</w:t>
            </w:r>
          </w:p>
        </w:tc>
        <w:tc>
          <w:tcPr>
            <w:tcW w:w="16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Allowance for credit losses related to uncollectible merchant cash advances receivable</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Loans and merchant cash advances, net</w:t>
            </w:r>
          </w:p>
        </w:tc>
        <w:tc>
          <w:tcPr>
            <w:tcW w:w="16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2,097</w:t>
            </w:r>
          </w:p>
        </w:tc>
        <w:tc>
          <w:tcPr>
            <w:tcW w:w="16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1,784</w:t>
            </w:r>
          </w:p>
        </w:tc>
      </w:tr>
    </w:tbl>
    <w:p>
      <w:pPr>
        <w:spacing w:after="0" w:line="8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Included in the loans receivable gross balance as of March 31, 2026 is $35 million of interest receivable (December 31, 2025 - $24 million).</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loans and merchant cash advances are facilitated by the Company and originated by a bank partner, from whom the Company then purchases the loans and merchant cash advances obtaining all rights, title and interest or discount. In the three months ended March 31, 2026, the Company purchased $1.4 billion of loans and merchant cash advances to Shopify merchants (March 31, 2025 - $821 million).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three months ended March 31, 2026, the Company recognized revenue of $84 million related to interest and fees earned on the Company's loans, which do not represent revenues recognized in the scope of ASC 606, Revenue from Contracts with Customers (March 31, 2025 - $57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activities of the Company’s allowance for credit losses related to uncollectible loans receivable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2026</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Allowance, beginning of the period</w:t>
            </w:r>
          </w:p>
        </w:tc>
        <w:tc>
          <w:tcPr>
            <w:tcW w:w="164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160</w:t>
            </w:r>
          </w:p>
        </w:tc>
        <w:tc>
          <w:tcPr>
            <w:tcW w:w="15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110</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Provision for credit losses related to uncollectible loans receivable</w:t>
            </w:r>
          </w:p>
        </w:tc>
        <w:tc>
          <w:tcPr>
            <w:tcW w:w="1640" w:type="dxa"/>
            <w:vAlign w:val="bottom"/>
          </w:tcPr>
          <w:p>
            <w:pPr>
              <w:jc w:val="right"/>
              <w:ind w:right="179"/>
              <w:spacing w:after="0"/>
              <w:rPr>
                <w:sz w:val="20"/>
                <w:szCs w:val="20"/>
                <w:color w:val="auto"/>
              </w:rPr>
            </w:pPr>
            <w:r>
              <w:rPr>
                <w:rFonts w:ascii="Arial" w:cs="Arial" w:eastAsia="Arial" w:hAnsi="Arial"/>
                <w:sz w:val="16"/>
                <w:szCs w:val="16"/>
                <w:color w:val="auto"/>
              </w:rPr>
              <w:t>63</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40</w:t>
            </w:r>
          </w:p>
        </w:tc>
      </w:tr>
      <w:tr>
        <w:trPr>
          <w:trHeight w:val="217"/>
        </w:trPr>
        <w:tc>
          <w:tcPr>
            <w:tcW w:w="80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Loans receivable charged off, net of recoveries</w:t>
            </w:r>
          </w:p>
        </w:tc>
        <w:tc>
          <w:tcPr>
            <w:tcW w:w="1640" w:type="dxa"/>
            <w:vAlign w:val="bottom"/>
            <w:tcBorders>
              <w:bottom w:val="single" w:sz="8" w:color="auto"/>
            </w:tcBorders>
            <w:shd w:val="clear" w:color="auto" w:fill="F7F7F7"/>
          </w:tcPr>
          <w:p>
            <w:pPr>
              <w:jc w:val="right"/>
              <w:ind w:right="179"/>
              <w:spacing w:after="0"/>
              <w:rPr>
                <w:sz w:val="20"/>
                <w:szCs w:val="20"/>
                <w:color w:val="auto"/>
              </w:rPr>
            </w:pPr>
            <w:r>
              <w:rPr>
                <w:rFonts w:ascii="Arial" w:cs="Arial" w:eastAsia="Arial" w:hAnsi="Arial"/>
                <w:sz w:val="16"/>
                <w:szCs w:val="16"/>
                <w:color w:val="auto"/>
              </w:rPr>
              <w:t>(41)</w:t>
            </w:r>
          </w:p>
        </w:tc>
        <w:tc>
          <w:tcPr>
            <w:tcW w:w="15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(21)</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Allowance, end of the period</w:t>
            </w:r>
          </w:p>
        </w:tc>
        <w:tc>
          <w:tcPr>
            <w:tcW w:w="1640" w:type="dxa"/>
            <w:vAlign w:val="bottom"/>
          </w:tcPr>
          <w:p>
            <w:pPr>
              <w:jc w:val="right"/>
              <w:ind w:right="179"/>
              <w:spacing w:after="0"/>
              <w:rPr>
                <w:sz w:val="20"/>
                <w:szCs w:val="20"/>
                <w:color w:val="auto"/>
              </w:rPr>
            </w:pPr>
            <w:r>
              <w:rPr>
                <w:rFonts w:ascii="Arial" w:cs="Arial" w:eastAsia="Arial" w:hAnsi="Arial"/>
                <w:sz w:val="16"/>
                <w:szCs w:val="16"/>
                <w:color w:val="auto"/>
              </w:rPr>
              <w:t>182</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129</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delinquency status of the gross amount of merchant loans by year of origination. The delinquency status is determined based on the number of days past the contractual or expected repayment date for which the Company anticipates to receive the amounts outstanding. The "current" category represents balances that are anticipated to be repaid within 29 days of the contractual repayment dates, or are anticipated to be repaid within 29 days of the expected repayment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2026</w:t>
            </w:r>
          </w:p>
        </w:tc>
        <w:tc>
          <w:tcPr>
            <w:tcW w:w="2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9"/>
        </w:trPr>
        <w:tc>
          <w:tcPr>
            <w:tcW w:w="29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Year of origination</w:t>
            </w:r>
          </w:p>
        </w:tc>
        <w:tc>
          <w:tcPr>
            <w:tcW w:w="1480" w:type="dxa"/>
            <w:vAlign w:val="bottom"/>
            <w:tcBorders>
              <w:bottom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9"/>
        </w:trPr>
        <w:tc>
          <w:tcPr>
            <w:tcW w:w="29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09"/>
        </w:trPr>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38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Current</w:t>
            </w:r>
          </w:p>
        </w:tc>
        <w:tc>
          <w:tcPr>
            <w:tcW w:w="6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1,022</w:t>
            </w:r>
          </w:p>
        </w:tc>
        <w:tc>
          <w:tcPr>
            <w:tcW w:w="178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708</w:t>
            </w:r>
          </w:p>
        </w:tc>
        <w:tc>
          <w:tcPr>
            <w:tcW w:w="14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w:t>
            </w:r>
          </w:p>
        </w:tc>
        <w:tc>
          <w:tcPr>
            <w:tcW w:w="20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1,735</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91.6 %</w:t>
            </w:r>
          </w:p>
        </w:tc>
      </w:tr>
      <w:tr>
        <w:trPr>
          <w:trHeight w:val="215"/>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30-89 Days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2000" w:type="dxa"/>
            <w:vAlign w:val="bottom"/>
          </w:tcPr>
          <w:p>
            <w:pPr>
              <w:jc w:val="right"/>
              <w:ind w:right="319"/>
              <w:spacing w:after="0"/>
              <w:rPr>
                <w:sz w:val="20"/>
                <w:szCs w:val="20"/>
                <w:color w:val="auto"/>
              </w:rPr>
            </w:pPr>
            <w:r>
              <w:rPr>
                <w:rFonts w:ascii="Arial" w:cs="Arial" w:eastAsia="Arial" w:hAnsi="Arial"/>
                <w:sz w:val="16"/>
                <w:szCs w:val="16"/>
                <w:color w:val="auto"/>
              </w:rPr>
              <w:t>22</w:t>
            </w:r>
          </w:p>
        </w:tc>
        <w:tc>
          <w:tcPr>
            <w:tcW w:w="15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38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90-179 Days</w:t>
            </w:r>
          </w:p>
        </w:tc>
        <w:tc>
          <w:tcPr>
            <w:tcW w:w="6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21</w:t>
            </w:r>
          </w:p>
        </w:tc>
        <w:tc>
          <w:tcPr>
            <w:tcW w:w="14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w:t>
            </w:r>
          </w:p>
        </w:tc>
        <w:tc>
          <w:tcPr>
            <w:tcW w:w="20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25</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1.3 %</w:t>
            </w:r>
          </w:p>
        </w:tc>
      </w:tr>
      <w:tr>
        <w:trPr>
          <w:trHeight w:val="215"/>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180+ Days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91</w:t>
            </w:r>
          </w:p>
        </w:tc>
        <w:tc>
          <w:tcPr>
            <w:tcW w:w="1480" w:type="dxa"/>
            <w:vAlign w:val="bottom"/>
          </w:tcPr>
          <w:p>
            <w:pPr>
              <w:jc w:val="right"/>
              <w:spacing w:after="0"/>
              <w:rPr>
                <w:sz w:val="20"/>
                <w:szCs w:val="20"/>
                <w:color w:val="auto"/>
              </w:rPr>
            </w:pPr>
            <w:r>
              <w:rPr>
                <w:rFonts w:ascii="Arial" w:cs="Arial" w:eastAsia="Arial" w:hAnsi="Arial"/>
                <w:sz w:val="16"/>
                <w:szCs w:val="16"/>
                <w:color w:val="auto"/>
              </w:rPr>
              <w:t>22</w:t>
            </w:r>
          </w:p>
        </w:tc>
        <w:tc>
          <w:tcPr>
            <w:tcW w:w="2000" w:type="dxa"/>
            <w:vAlign w:val="bottom"/>
          </w:tcPr>
          <w:p>
            <w:pPr>
              <w:jc w:val="right"/>
              <w:ind w:right="319"/>
              <w:spacing w:after="0"/>
              <w:rPr>
                <w:sz w:val="20"/>
                <w:szCs w:val="20"/>
                <w:color w:val="auto"/>
              </w:rPr>
            </w:pPr>
            <w:r>
              <w:rPr>
                <w:rFonts w:ascii="Arial" w:cs="Arial" w:eastAsia="Arial" w:hAnsi="Arial"/>
                <w:sz w:val="16"/>
                <w:szCs w:val="16"/>
                <w:color w:val="auto"/>
              </w:rPr>
              <w:t>113</w:t>
            </w:r>
          </w:p>
        </w:tc>
        <w:tc>
          <w:tcPr>
            <w:tcW w:w="150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0"/>
        </w:trPr>
        <w:tc>
          <w:tcPr>
            <w:tcW w:w="2920" w:type="dxa"/>
            <w:vAlign w:val="bottom"/>
            <w:tcBorders>
              <w:top w:val="single" w:sz="8" w:color="F7F7F7"/>
            </w:tcBorders>
            <w:shd w:val="clear" w:color="auto" w:fill="F7F7F7"/>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shd w:val="clear" w:color="auto" w:fill="F7F7F7"/>
          </w:tcPr>
          <w:p>
            <w:pPr>
              <w:spacing w:after="0"/>
              <w:rPr>
                <w:sz w:val="18"/>
                <w:szCs w:val="18"/>
                <w:color w:val="auto"/>
              </w:rPr>
            </w:pPr>
          </w:p>
        </w:tc>
        <w:tc>
          <w:tcPr>
            <w:tcW w:w="600" w:type="dxa"/>
            <w:vAlign w:val="bottom"/>
            <w:tcBorders>
              <w:top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1,022</w:t>
            </w:r>
          </w:p>
        </w:tc>
        <w:tc>
          <w:tcPr>
            <w:tcW w:w="1780" w:type="dxa"/>
            <w:vAlign w:val="bottom"/>
            <w:tcBorders>
              <w:top w:val="single" w:sz="8" w:color="auto"/>
            </w:tcBorders>
            <w:shd w:val="clear" w:color="auto" w:fill="F7F7F7"/>
          </w:tcPr>
          <w:p>
            <w:pPr>
              <w:jc w:val="right"/>
              <w:ind w:right="179"/>
              <w:spacing w:after="0"/>
              <w:rPr>
                <w:sz w:val="20"/>
                <w:szCs w:val="20"/>
                <w:color w:val="auto"/>
              </w:rPr>
            </w:pPr>
            <w:r>
              <w:rPr>
                <w:rFonts w:ascii="Arial" w:cs="Arial" w:eastAsia="Arial" w:hAnsi="Arial"/>
                <w:sz w:val="16"/>
                <w:szCs w:val="16"/>
                <w:color w:val="auto"/>
              </w:rPr>
              <w:t>840</w:t>
            </w:r>
          </w:p>
        </w:tc>
        <w:tc>
          <w:tcPr>
            <w:tcW w:w="14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33</w:t>
            </w:r>
          </w:p>
        </w:tc>
        <w:tc>
          <w:tcPr>
            <w:tcW w:w="2000" w:type="dxa"/>
            <w:vAlign w:val="bottom"/>
            <w:tcBorders>
              <w:top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1,895</w:t>
            </w:r>
          </w:p>
        </w:tc>
        <w:tc>
          <w:tcPr>
            <w:tcW w:w="150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100.0 %</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rPr>
              <w:t>December 31, 2025</w:t>
            </w:r>
          </w:p>
        </w:tc>
        <w:tc>
          <w:tcPr>
            <w:tcW w:w="8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26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Year of origination</w:t>
            </w:r>
          </w:p>
        </w:tc>
        <w:tc>
          <w:tcPr>
            <w:tcW w:w="54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09"/>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gridSpan w:val="2"/>
          </w:tcPr>
          <w:p>
            <w:pPr>
              <w:jc w:val="center"/>
              <w:ind w:right="179"/>
              <w:spacing w:after="0"/>
              <w:rPr>
                <w:sz w:val="20"/>
                <w:szCs w:val="20"/>
                <w:color w:val="auto"/>
              </w:rPr>
            </w:pPr>
            <w:r>
              <w:rPr>
                <w:rFonts w:ascii="Arial" w:cs="Arial" w:eastAsia="Arial" w:hAnsi="Arial"/>
                <w:sz w:val="16"/>
                <w:szCs w:val="16"/>
                <w:color w:val="auto"/>
              </w:rPr>
              <w:t>(in US $ millions)</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55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Current</w:t>
            </w:r>
          </w:p>
        </w:tc>
        <w:tc>
          <w:tcPr>
            <w:tcW w:w="1640" w:type="dxa"/>
            <w:vAlign w:val="bottom"/>
            <w:shd w:val="clear" w:color="auto" w:fill="F7F7F7"/>
          </w:tcPr>
          <w:p>
            <w:pPr>
              <w:jc w:val="right"/>
              <w:ind w:right="1119"/>
              <w:spacing w:after="0"/>
              <w:rPr>
                <w:sz w:val="20"/>
                <w:szCs w:val="20"/>
                <w:color w:val="auto"/>
              </w:rPr>
            </w:pPr>
            <w:r>
              <w:rPr>
                <w:rFonts w:ascii="Arial" w:cs="Arial" w:eastAsia="Arial" w:hAnsi="Arial"/>
                <w:sz w:val="16"/>
                <w:szCs w:val="16"/>
                <w:color w:val="auto"/>
              </w:rPr>
              <w:t>1,473</w:t>
            </w:r>
          </w:p>
        </w:tc>
        <w:tc>
          <w:tcPr>
            <w:tcW w:w="5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17</w:t>
            </w:r>
          </w:p>
        </w:tc>
        <w:tc>
          <w:tcPr>
            <w:tcW w:w="1180" w:type="dxa"/>
            <w:vAlign w:val="bottom"/>
            <w:shd w:val="clear" w:color="auto" w:fill="F7F7F7"/>
          </w:tcPr>
          <w:p>
            <w:pPr>
              <w:spacing w:after="0"/>
              <w:rPr>
                <w:sz w:val="18"/>
                <w:szCs w:val="18"/>
                <w:color w:val="auto"/>
              </w:rPr>
            </w:pPr>
          </w:p>
        </w:tc>
        <w:tc>
          <w:tcPr>
            <w:tcW w:w="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1,490</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91.9 %</w:t>
            </w:r>
          </w:p>
        </w:tc>
      </w:tr>
      <w:tr>
        <w:trPr>
          <w:trHeight w:val="21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30-89 Days</w:t>
            </w:r>
          </w:p>
        </w:tc>
        <w:tc>
          <w:tcPr>
            <w:tcW w:w="1640" w:type="dxa"/>
            <w:vAlign w:val="bottom"/>
          </w:tcPr>
          <w:p>
            <w:pPr>
              <w:jc w:val="right"/>
              <w:ind w:right="1119"/>
              <w:spacing w:after="0"/>
              <w:rPr>
                <w:sz w:val="20"/>
                <w:szCs w:val="20"/>
                <w:color w:val="auto"/>
              </w:rPr>
            </w:pPr>
            <w:r>
              <w:rPr>
                <w:rFonts w:ascii="Arial" w:cs="Arial" w:eastAsia="Arial" w:hAnsi="Arial"/>
                <w:sz w:val="16"/>
                <w:szCs w:val="16"/>
                <w:color w:val="auto"/>
              </w:rPr>
              <w:t>14</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18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15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55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90-179 Days</w:t>
            </w:r>
          </w:p>
        </w:tc>
        <w:tc>
          <w:tcPr>
            <w:tcW w:w="1640" w:type="dxa"/>
            <w:vAlign w:val="bottom"/>
            <w:shd w:val="clear" w:color="auto" w:fill="F7F7F7"/>
          </w:tcPr>
          <w:p>
            <w:pPr>
              <w:jc w:val="right"/>
              <w:ind w:right="1119"/>
              <w:spacing w:after="0"/>
              <w:rPr>
                <w:sz w:val="20"/>
                <w:szCs w:val="20"/>
                <w:color w:val="auto"/>
              </w:rPr>
            </w:pPr>
            <w:r>
              <w:rPr>
                <w:rFonts w:ascii="Arial" w:cs="Arial" w:eastAsia="Arial" w:hAnsi="Arial"/>
                <w:sz w:val="16"/>
                <w:szCs w:val="16"/>
                <w:color w:val="auto"/>
              </w:rPr>
              <w:t>14</w:t>
            </w:r>
          </w:p>
        </w:tc>
        <w:tc>
          <w:tcPr>
            <w:tcW w:w="5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c>
          <w:tcPr>
            <w:tcW w:w="1180" w:type="dxa"/>
            <w:vAlign w:val="bottom"/>
            <w:shd w:val="clear" w:color="auto" w:fill="F7F7F7"/>
          </w:tcPr>
          <w:p>
            <w:pPr>
              <w:spacing w:after="0"/>
              <w:rPr>
                <w:sz w:val="18"/>
                <w:szCs w:val="18"/>
                <w:color w:val="auto"/>
              </w:rPr>
            </w:pPr>
          </w:p>
        </w:tc>
        <w:tc>
          <w:tcPr>
            <w:tcW w:w="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20</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180+ Days</w:t>
            </w:r>
          </w:p>
        </w:tc>
        <w:tc>
          <w:tcPr>
            <w:tcW w:w="1640" w:type="dxa"/>
            <w:vAlign w:val="bottom"/>
          </w:tcPr>
          <w:p>
            <w:pPr>
              <w:jc w:val="right"/>
              <w:ind w:right="1119"/>
              <w:spacing w:after="0"/>
              <w:rPr>
                <w:sz w:val="20"/>
                <w:szCs w:val="20"/>
                <w:color w:val="auto"/>
              </w:rPr>
            </w:pPr>
            <w:r>
              <w:rPr>
                <w:rFonts w:ascii="Arial" w:cs="Arial" w:eastAsia="Arial" w:hAnsi="Arial"/>
                <w:sz w:val="16"/>
                <w:szCs w:val="16"/>
                <w:color w:val="auto"/>
              </w:rPr>
              <w:t>63</w:t>
            </w: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18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92</w:t>
            </w:r>
          </w:p>
        </w:tc>
        <w:tc>
          <w:tcPr>
            <w:tcW w:w="150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0"/>
        </w:trPr>
        <w:tc>
          <w:tcPr>
            <w:tcW w:w="4580" w:type="dxa"/>
            <w:vAlign w:val="bottom"/>
            <w:tcBorders>
              <w:top w:val="single" w:sz="8" w:color="F7F7F7"/>
            </w:tcBorders>
            <w:shd w:val="clear" w:color="auto" w:fill="F7F7F7"/>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shd w:val="clear" w:color="auto" w:fill="F7F7F7"/>
          </w:tcPr>
          <w:p>
            <w:pPr>
              <w:spacing w:after="0"/>
              <w:rPr>
                <w:sz w:val="18"/>
                <w:szCs w:val="18"/>
                <w:color w:val="auto"/>
              </w:rPr>
            </w:pPr>
          </w:p>
        </w:tc>
        <w:tc>
          <w:tcPr>
            <w:tcW w:w="1640" w:type="dxa"/>
            <w:vAlign w:val="bottom"/>
            <w:tcBorders>
              <w:top w:val="single" w:sz="8" w:color="auto"/>
            </w:tcBorders>
            <w:shd w:val="clear" w:color="auto" w:fill="F7F7F7"/>
          </w:tcPr>
          <w:p>
            <w:pPr>
              <w:jc w:val="right"/>
              <w:ind w:right="1119"/>
              <w:spacing w:after="0"/>
              <w:rPr>
                <w:sz w:val="20"/>
                <w:szCs w:val="20"/>
                <w:color w:val="auto"/>
              </w:rPr>
            </w:pPr>
            <w:r>
              <w:rPr>
                <w:rFonts w:ascii="Arial" w:cs="Arial" w:eastAsia="Arial" w:hAnsi="Arial"/>
                <w:sz w:val="16"/>
                <w:szCs w:val="16"/>
                <w:color w:val="auto"/>
              </w:rPr>
              <w:t>1,564</w:t>
            </w:r>
          </w:p>
        </w:tc>
        <w:tc>
          <w:tcPr>
            <w:tcW w:w="54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57</w:t>
            </w:r>
          </w:p>
        </w:tc>
        <w:tc>
          <w:tcPr>
            <w:tcW w:w="1180" w:type="dxa"/>
            <w:vAlign w:val="bottom"/>
            <w:tcBorders>
              <w:top w:val="single" w:sz="8" w:color="auto"/>
            </w:tcBorders>
            <w:shd w:val="clear" w:color="auto" w:fill="F7F7F7"/>
          </w:tcPr>
          <w:p>
            <w:pPr>
              <w:spacing w:after="0"/>
              <w:rPr>
                <w:sz w:val="18"/>
                <w:szCs w:val="18"/>
                <w:color w:val="auto"/>
              </w:rPr>
            </w:pPr>
          </w:p>
        </w:tc>
        <w:tc>
          <w:tcPr>
            <w:tcW w:w="840" w:type="dxa"/>
            <w:vAlign w:val="bottom"/>
            <w:tcBorders>
              <w:top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1,621</w:t>
            </w:r>
          </w:p>
        </w:tc>
        <w:tc>
          <w:tcPr>
            <w:tcW w:w="150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100.0 %</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maintains an internal monitoring list related to its outstanding loans. A merchant's ability and willingness to repay the financing receivables outstanding under the program is analyzed for a variety of factors that include, but are not limited to current or expected age of the financing, merchant subscription or financing status, merchant gross merchandise volume trends and other changes to merchant credit profiles.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Cash Advances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activities of the Company's allowance for credit losses related to uncollectible merchant cash advances receivable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2026</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Allowance, beginning of the period</w:t>
            </w:r>
          </w:p>
        </w:tc>
        <w:tc>
          <w:tcPr>
            <w:tcW w:w="164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35</w:t>
            </w:r>
          </w:p>
        </w:tc>
        <w:tc>
          <w:tcPr>
            <w:tcW w:w="15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31</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Provision for credit losses related to uncollectible merchant cash advances receivable</w:t>
            </w:r>
          </w:p>
        </w:tc>
        <w:tc>
          <w:tcPr>
            <w:tcW w:w="16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217"/>
        </w:trPr>
        <w:tc>
          <w:tcPr>
            <w:tcW w:w="80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Merchant cash advances receivable charged off, net of recoveries</w:t>
            </w:r>
          </w:p>
        </w:tc>
        <w:tc>
          <w:tcPr>
            <w:tcW w:w="1640" w:type="dxa"/>
            <w:vAlign w:val="bottom"/>
            <w:tcBorders>
              <w:bottom w:val="single" w:sz="8" w:color="auto"/>
            </w:tcBorders>
            <w:shd w:val="clear" w:color="auto" w:fill="F7F7F7"/>
          </w:tcPr>
          <w:p>
            <w:pPr>
              <w:jc w:val="right"/>
              <w:ind w:right="179"/>
              <w:spacing w:after="0"/>
              <w:rPr>
                <w:sz w:val="20"/>
                <w:szCs w:val="20"/>
                <w:color w:val="auto"/>
              </w:rPr>
            </w:pPr>
            <w:r>
              <w:rPr>
                <w:rFonts w:ascii="Arial" w:cs="Arial" w:eastAsia="Arial" w:hAnsi="Arial"/>
                <w:sz w:val="16"/>
                <w:szCs w:val="16"/>
                <w:color w:val="auto"/>
              </w:rPr>
              <w:t>(7)</w:t>
            </w:r>
          </w:p>
        </w:tc>
        <w:tc>
          <w:tcPr>
            <w:tcW w:w="158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(4)</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Allowance, end of the period</w:t>
            </w:r>
          </w:p>
        </w:tc>
        <w:tc>
          <w:tcPr>
            <w:tcW w:w="164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Deferred Revenue</w:t>
      </w:r>
    </w:p>
    <w:p>
      <w:pPr>
        <w:spacing w:after="0" w:line="230"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7"/>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280" w:type="dxa"/>
            <w:vAlign w:val="bottom"/>
            <w:shd w:val="clear" w:color="auto" w:fill="F7F7F7"/>
          </w:tcPr>
          <w:p>
            <w:pPr>
              <w:jc w:val="center"/>
              <w:ind w:right="539"/>
              <w:spacing w:after="0"/>
              <w:rPr>
                <w:sz w:val="20"/>
                <w:szCs w:val="20"/>
                <w:color w:val="auto"/>
              </w:rPr>
            </w:pPr>
            <w:r>
              <w:rPr>
                <w:rFonts w:ascii="Arial" w:cs="Arial" w:eastAsia="Arial" w:hAnsi="Arial"/>
                <w:sz w:val="16"/>
                <w:szCs w:val="16"/>
                <w:color w:val="auto"/>
                <w:w w:val="97"/>
              </w:rPr>
              <w:t>398</w:t>
            </w:r>
          </w:p>
        </w:tc>
        <w:tc>
          <w:tcPr>
            <w:tcW w:w="960" w:type="dxa"/>
            <w:vAlign w:val="bottom"/>
            <w:shd w:val="clear" w:color="auto" w:fill="F7F7F7"/>
          </w:tcPr>
          <w:p>
            <w:pPr>
              <w:jc w:val="center"/>
              <w:ind w:left="459"/>
              <w:spacing w:after="0"/>
              <w:rPr>
                <w:sz w:val="20"/>
                <w:szCs w:val="20"/>
                <w:color w:val="auto"/>
              </w:rPr>
            </w:pPr>
            <w:r>
              <w:rPr>
                <w:rFonts w:ascii="Arial" w:cs="Arial" w:eastAsia="Arial" w:hAnsi="Arial"/>
                <w:sz w:val="16"/>
                <w:szCs w:val="16"/>
                <w:color w:val="auto"/>
                <w:w w:val="97"/>
              </w:rPr>
              <w:t>430</w:t>
            </w:r>
          </w:p>
        </w:tc>
      </w:tr>
      <w:tr>
        <w:trPr>
          <w:trHeight w:val="216"/>
        </w:trPr>
        <w:tc>
          <w:tcPr>
            <w:tcW w:w="900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Deferral of revenue</w:t>
            </w:r>
            <w:r>
              <w:rPr>
                <w:rFonts w:ascii="Arial" w:cs="Arial" w:eastAsia="Arial" w:hAnsi="Arial"/>
                <w:sz w:val="21"/>
                <w:szCs w:val="21"/>
                <w:color w:val="auto"/>
                <w:vertAlign w:val="superscript"/>
              </w:rPr>
              <w:t>(1)</w:t>
            </w:r>
          </w:p>
        </w:tc>
        <w:tc>
          <w:tcPr>
            <w:tcW w:w="1280" w:type="dxa"/>
            <w:vAlign w:val="bottom"/>
          </w:tcPr>
          <w:p>
            <w:pPr>
              <w:jc w:val="center"/>
              <w:ind w:right="539"/>
              <w:spacing w:after="0"/>
              <w:rPr>
                <w:sz w:val="20"/>
                <w:szCs w:val="20"/>
                <w:color w:val="auto"/>
              </w:rPr>
            </w:pPr>
            <w:r>
              <w:rPr>
                <w:rFonts w:ascii="Arial" w:cs="Arial" w:eastAsia="Arial" w:hAnsi="Arial"/>
                <w:sz w:val="16"/>
                <w:szCs w:val="16"/>
                <w:color w:val="auto"/>
                <w:w w:val="97"/>
              </w:rPr>
              <w:t>138</w:t>
            </w:r>
          </w:p>
        </w:tc>
        <w:tc>
          <w:tcPr>
            <w:tcW w:w="960" w:type="dxa"/>
            <w:vAlign w:val="bottom"/>
          </w:tcPr>
          <w:p>
            <w:pPr>
              <w:jc w:val="center"/>
              <w:ind w:left="459"/>
              <w:spacing w:after="0"/>
              <w:rPr>
                <w:sz w:val="20"/>
                <w:szCs w:val="20"/>
                <w:color w:val="auto"/>
              </w:rPr>
            </w:pPr>
            <w:r>
              <w:rPr>
                <w:rFonts w:ascii="Arial" w:cs="Arial" w:eastAsia="Arial" w:hAnsi="Arial"/>
                <w:sz w:val="16"/>
                <w:szCs w:val="16"/>
                <w:color w:val="auto"/>
                <w:w w:val="97"/>
              </w:rPr>
              <w:t>121</w:t>
            </w:r>
          </w:p>
        </w:tc>
      </w:tr>
      <w:tr>
        <w:trPr>
          <w:trHeight w:val="216"/>
        </w:trPr>
        <w:tc>
          <w:tcPr>
            <w:tcW w:w="9000" w:type="dxa"/>
            <w:vAlign w:val="bottom"/>
            <w:gridSpan w:val="2"/>
            <w:shd w:val="clear" w:color="auto" w:fill="F7F7F7"/>
          </w:tcPr>
          <w:p>
            <w:pPr>
              <w:ind w:left="240"/>
              <w:spacing w:after="0"/>
              <w:rPr>
                <w:sz w:val="20"/>
                <w:szCs w:val="20"/>
                <w:color w:val="auto"/>
              </w:rPr>
            </w:pPr>
            <w:r>
              <w:rPr>
                <w:rFonts w:ascii="Arial" w:cs="Arial" w:eastAsia="Arial" w:hAnsi="Arial"/>
                <w:sz w:val="16"/>
                <w:szCs w:val="16"/>
                <w:color w:val="auto"/>
              </w:rPr>
              <w:t>Recognition of deferred revenue from beginning balance</w:t>
            </w:r>
          </w:p>
        </w:tc>
        <w:tc>
          <w:tcPr>
            <w:tcW w:w="1280" w:type="dxa"/>
            <w:vAlign w:val="bottom"/>
            <w:shd w:val="clear" w:color="auto" w:fill="F7F7F7"/>
          </w:tcPr>
          <w:p>
            <w:pPr>
              <w:jc w:val="center"/>
              <w:ind w:right="539"/>
              <w:spacing w:after="0"/>
              <w:rPr>
                <w:sz w:val="20"/>
                <w:szCs w:val="20"/>
                <w:color w:val="auto"/>
              </w:rPr>
            </w:pPr>
            <w:r>
              <w:rPr>
                <w:rFonts w:ascii="Arial" w:cs="Arial" w:eastAsia="Arial" w:hAnsi="Arial"/>
                <w:sz w:val="16"/>
                <w:szCs w:val="16"/>
                <w:color w:val="auto"/>
              </w:rPr>
              <w:t>(129)</w:t>
            </w:r>
          </w:p>
        </w:tc>
        <w:tc>
          <w:tcPr>
            <w:tcW w:w="960" w:type="dxa"/>
            <w:vAlign w:val="bottom"/>
            <w:shd w:val="clear" w:color="auto" w:fill="F7F7F7"/>
          </w:tcPr>
          <w:p>
            <w:pPr>
              <w:jc w:val="center"/>
              <w:ind w:left="459"/>
              <w:spacing w:after="0"/>
              <w:rPr>
                <w:sz w:val="20"/>
                <w:szCs w:val="20"/>
                <w:color w:val="auto"/>
              </w:rPr>
            </w:pPr>
            <w:r>
              <w:rPr>
                <w:rFonts w:ascii="Arial" w:cs="Arial" w:eastAsia="Arial" w:hAnsi="Arial"/>
                <w:sz w:val="16"/>
                <w:szCs w:val="16"/>
                <w:color w:val="auto"/>
              </w:rPr>
              <w:t>(121)</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539"/>
              <w:spacing w:after="0"/>
              <w:rPr>
                <w:sz w:val="20"/>
                <w:szCs w:val="20"/>
                <w:color w:val="auto"/>
              </w:rPr>
            </w:pPr>
            <w:r>
              <w:rPr>
                <w:rFonts w:ascii="Arial" w:cs="Arial" w:eastAsia="Arial" w:hAnsi="Arial"/>
                <w:sz w:val="16"/>
                <w:szCs w:val="16"/>
                <w:color w:val="auto"/>
                <w:w w:val="97"/>
              </w:rPr>
              <w:t>407</w:t>
            </w:r>
          </w:p>
        </w:tc>
        <w:tc>
          <w:tcPr>
            <w:tcW w:w="960" w:type="dxa"/>
            <w:vAlign w:val="bottom"/>
            <w:tcBorders>
              <w:top w:val="single" w:sz="8" w:color="auto"/>
            </w:tcBorders>
          </w:tcPr>
          <w:p>
            <w:pPr>
              <w:jc w:val="center"/>
              <w:ind w:left="459"/>
              <w:spacing w:after="0"/>
              <w:rPr>
                <w:sz w:val="20"/>
                <w:szCs w:val="20"/>
                <w:color w:val="auto"/>
              </w:rPr>
            </w:pPr>
            <w:r>
              <w:rPr>
                <w:rFonts w:ascii="Arial" w:cs="Arial" w:eastAsia="Arial" w:hAnsi="Arial"/>
                <w:sz w:val="16"/>
                <w:szCs w:val="16"/>
                <w:color w:val="auto"/>
                <w:w w:val="97"/>
              </w:rPr>
              <w:t>430</w:t>
            </w:r>
          </w:p>
        </w:tc>
      </w:tr>
    </w:tbl>
    <w:p>
      <w:pPr>
        <w:spacing w:after="0" w:line="262" w:lineRule="exact"/>
        <w:rPr>
          <w:sz w:val="20"/>
          <w:szCs w:val="20"/>
          <w:color w:val="auto"/>
        </w:rPr>
      </w:pPr>
    </w:p>
    <w:p>
      <w:pPr>
        <w:ind w:right="20" w:firstLine="8"/>
        <w:spacing w:after="0" w:line="305" w:lineRule="auto"/>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Deferral of revenue includes only the portion of collections from merchant billings throughout the period, primarily related to subscription fees, for which the services have not yet been provided. The amounts primarily exclude subscription revenue that has both been deferred and recognized within the period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2026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8020" w:type="dxa"/>
            <w:vAlign w:val="bottom"/>
          </w:tcPr>
          <w:p>
            <w:pPr>
              <w:spacing w:after="0"/>
              <w:rPr>
                <w:sz w:val="18"/>
                <w:szCs w:val="18"/>
                <w:color w:val="auto"/>
              </w:rPr>
            </w:pPr>
          </w:p>
        </w:tc>
        <w:tc>
          <w:tcPr>
            <w:tcW w:w="3220" w:type="dxa"/>
            <w:vAlign w:val="bottom"/>
            <w:gridSpan w:val="2"/>
          </w:tcPr>
          <w:p>
            <w:pPr>
              <w:jc w:val="right"/>
              <w:ind w:right="919"/>
              <w:spacing w:after="0"/>
              <w:rPr>
                <w:sz w:val="20"/>
                <w:szCs w:val="20"/>
                <w:color w:val="auto"/>
              </w:rPr>
            </w:pPr>
            <w:r>
              <w:rPr>
                <w:rFonts w:ascii="Arial" w:cs="Arial" w:eastAsia="Arial" w:hAnsi="Arial"/>
                <w:sz w:val="16"/>
                <w:szCs w:val="16"/>
                <w:color w:val="auto"/>
              </w:rPr>
              <w:t>(in US $ millions)</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Current portion</w:t>
            </w:r>
          </w:p>
        </w:tc>
        <w:tc>
          <w:tcPr>
            <w:tcW w:w="16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321</w:t>
            </w:r>
          </w:p>
        </w:tc>
        <w:tc>
          <w:tcPr>
            <w:tcW w:w="15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295</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Long-term portion</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0"/>
        </w:trPr>
        <w:tc>
          <w:tcPr>
            <w:tcW w:w="8020" w:type="dxa"/>
            <w:vAlign w:val="bottom"/>
            <w:shd w:val="clear" w:color="auto" w:fill="F7F7F7"/>
          </w:tcPr>
          <w:p>
            <w:pPr>
              <w:spacing w:after="0"/>
              <w:rPr>
                <w:sz w:val="18"/>
                <w:szCs w:val="18"/>
                <w:color w:val="auto"/>
              </w:rPr>
            </w:pPr>
          </w:p>
        </w:tc>
        <w:tc>
          <w:tcPr>
            <w:tcW w:w="16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407</w:t>
            </w:r>
          </w:p>
        </w:tc>
        <w:tc>
          <w:tcPr>
            <w:tcW w:w="15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430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balances of current and long-term deferred revenue were $283 million and $147 million, respectively, as of January 1, 2025.</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March 31, 2026, the long-term deferred revenue, excluding non-cash consideration received, will be recognized ratably over the remaining terms of the contracts with the customers, which range from two years to three years.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received non-cash consideration in the form of equity investments in exchange for services to be rendered as part of strategic partnerships. As the Company is required to provide referral services and other services to support the partners' merchant offerings over the period of the performance obligations, revenue is deferred and recognized over time on a ratable basis over the expected terms of the contracts.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gross changes in deferred revenue associated with this non-cash consideration received for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412"/>
        </w:trPr>
        <w:tc>
          <w:tcPr>
            <w:tcW w:w="80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226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141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802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Revenue recognized related to non-cash consideration</w:t>
            </w:r>
          </w:p>
        </w:tc>
        <w:tc>
          <w:tcPr>
            <w:tcW w:w="2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80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color w:val="auto"/>
              </w:rPr>
              <w:t>Balance, end of the period</w:t>
            </w:r>
          </w:p>
        </w:tc>
        <w:tc>
          <w:tcPr>
            <w:tcW w:w="2260" w:type="dxa"/>
            <w:vAlign w:val="bottom"/>
            <w:tcBorders>
              <w:bottom w:val="single" w:sz="8" w:color="auto"/>
            </w:tcBorders>
            <w:shd w:val="clear" w:color="auto" w:fill="F7F7F7"/>
          </w:tcPr>
          <w:p>
            <w:pPr>
              <w:jc w:val="right"/>
              <w:ind w:right="739"/>
              <w:spacing w:after="0"/>
              <w:rPr>
                <w:sz w:val="20"/>
                <w:szCs w:val="20"/>
                <w:color w:val="auto"/>
              </w:rPr>
            </w:pPr>
            <w:r>
              <w:rPr>
                <w:rFonts w:ascii="Arial" w:cs="Arial" w:eastAsia="Arial" w:hAnsi="Arial"/>
                <w:sz w:val="16"/>
                <w:szCs w:val="16"/>
                <w:color w:val="auto"/>
              </w:rPr>
              <w:t>129</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177</w:t>
            </w:r>
          </w:p>
        </w:tc>
      </w:tr>
      <w:tr>
        <w:trPr>
          <w:trHeight w:val="89"/>
        </w:trPr>
        <w:tc>
          <w:tcPr>
            <w:tcW w:w="80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16"/>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Current portion</w:t>
            </w:r>
          </w:p>
        </w:tc>
        <w:tc>
          <w:tcPr>
            <w:tcW w:w="226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49</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Long-term portion</w:t>
            </w:r>
          </w:p>
        </w:tc>
        <w:tc>
          <w:tcPr>
            <w:tcW w:w="2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10"/>
        </w:trPr>
        <w:tc>
          <w:tcPr>
            <w:tcW w:w="8020" w:type="dxa"/>
            <w:vAlign w:val="bottom"/>
            <w:shd w:val="clear" w:color="auto" w:fill="F7F7F7"/>
          </w:tcPr>
          <w:p>
            <w:pPr>
              <w:spacing w:after="0"/>
              <w:rPr>
                <w:sz w:val="18"/>
                <w:szCs w:val="18"/>
                <w:color w:val="auto"/>
              </w:rPr>
            </w:pPr>
          </w:p>
        </w:tc>
        <w:tc>
          <w:tcPr>
            <w:tcW w:w="226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129</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177</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will recognize this revenue ratably over the remaining terms of the respective strategic partnership service agreements, which range from two years to four years.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Loss Contingencies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may become a party to litigation and subject to claims incidental to the ordinary course of business, including intellectual property claims, labor and employment claims and threatened claims, breach of contract claims, tax and other matters.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records accruals for loss contingencies when losses are probable and reasonably estimable. The Company currently has no material pending litigation or claims. The Company is not aware of any litigation matters or loss contingencies that would be expected to have a material adverse effect on the business, condensed consolidated financial position, results of operations or cash flows.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Related Parties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commercial agreement with Flexport, a company in which it has an equity method investment. The Company is entitled to earn a share of revenues for orders processed or otherwise sent through services provided by Shopify, subject to certain financial conditions. In the three months ended March 31, 2026, as certain financial conditions were not met, the Company recognized nil revenue related to this agreement. The Company has a separate agreement with Flexport to provide co-marketing services for the coordinated marketing of fulfillment-related products and services to current and prospective merchants. In the three months ended March 31, 2026, the Company recognized $3 million of expense in the condensed consolidated statements of operations and comprehensive loss (March 31, 2025 - $2 million) and as of March 31, 2026, $16 million in "Other current assets" and $8 million in "Other long-term assets" in the condensed consolidated balance sheets are related to this agreement.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an investment in Flexport in the form of convertible notes with a fair value of $332 million as of March 31, 2026 (December 31, 2025 - $326 million). The Company has elected to account for it using the fair value option for the investment, which is classified within "Equity and other investments" in the condensed consolidated balance sheets. In the three months ended March 31, 2026, the Company has recognized $10 million of interest income related to the convertible notes within "Interest income" (March 31, 2025 - $8 million), and an immaterial amount of unrealized losses in the condensed consolidated statements of operations and comprehensive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2026, there were 534,206,777 shares reserved for issuance under the Company's Third Amended and Restated Stock Option Plan ("SOP") and the Third Amended and Restated Long Term Incentive Plan ("LTIP").</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stock option and Restricted Share Unit ("RSU") award activities under the Company's share-based compensation plans for the three months ended March 31,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Shares Subject to Options Outstanding</w:t>
            </w:r>
          </w:p>
        </w:tc>
        <w:tc>
          <w:tcPr>
            <w:tcW w:w="12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Outstanding RSUs</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22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right="50"/>
              <w:spacing w:after="0"/>
              <w:rPr>
                <w:sz w:val="20"/>
                <w:szCs w:val="20"/>
                <w:color w:val="auto"/>
              </w:rPr>
            </w:pPr>
            <w:r>
              <w:rPr>
                <w:rFonts w:ascii="Arial" w:cs="Arial" w:eastAsia="Arial" w:hAnsi="Arial"/>
                <w:sz w:val="14"/>
                <w:szCs w:val="14"/>
                <w:b w:val="1"/>
                <w:bCs w:val="1"/>
                <w:color w:val="auto"/>
              </w:rPr>
              <w:t>Remaining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ind w:left="1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3"/>
        </w:trPr>
        <w:tc>
          <w:tcPr>
            <w:tcW w:w="2120" w:type="dxa"/>
            <w:vAlign w:val="bottom"/>
          </w:tcPr>
          <w:p>
            <w:pPr>
              <w:spacing w:after="0"/>
              <w:rPr>
                <w:sz w:val="7"/>
                <w:szCs w:val="7"/>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8"/>
              </w:rPr>
              <w:t>Options</w:t>
            </w:r>
          </w:p>
        </w:tc>
        <w:tc>
          <w:tcPr>
            <w:tcW w:w="460" w:type="dxa"/>
            <w:vAlign w:val="bottom"/>
          </w:tcPr>
          <w:p>
            <w:pPr>
              <w:jc w:val="right"/>
              <w:ind w:right="274"/>
              <w:spacing w:after="0" w:line="83" w:lineRule="exact"/>
              <w:rPr>
                <w:sz w:val="20"/>
                <w:szCs w:val="20"/>
                <w:color w:val="auto"/>
              </w:rPr>
            </w:pPr>
            <w:r>
              <w:rPr>
                <w:rFonts w:ascii="Arial" w:cs="Arial" w:eastAsia="Arial" w:hAnsi="Arial"/>
                <w:sz w:val="9"/>
                <w:szCs w:val="9"/>
                <w:b w:val="1"/>
                <w:bCs w:val="1"/>
                <w:color w:val="auto"/>
                <w:w w:val="90"/>
              </w:rPr>
              <w:t>(1)</w:t>
            </w:r>
          </w:p>
        </w:tc>
        <w:tc>
          <w:tcPr>
            <w:tcW w:w="134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Average</w:t>
            </w:r>
          </w:p>
        </w:tc>
        <w:tc>
          <w:tcPr>
            <w:tcW w:w="1420" w:type="dxa"/>
            <w:vAlign w:val="bottom"/>
          </w:tcPr>
          <w:p>
            <w:pPr>
              <w:jc w:val="center"/>
              <w:ind w:right="30"/>
              <w:spacing w:after="0" w:line="83" w:lineRule="exact"/>
              <w:rPr>
                <w:sz w:val="20"/>
                <w:szCs w:val="20"/>
                <w:color w:val="auto"/>
              </w:rPr>
            </w:pPr>
            <w:r>
              <w:rPr>
                <w:rFonts w:ascii="Arial" w:cs="Arial" w:eastAsia="Arial" w:hAnsi="Arial"/>
                <w:sz w:val="9"/>
                <w:szCs w:val="9"/>
                <w:b w:val="1"/>
                <w:bCs w:val="1"/>
                <w:color w:val="auto"/>
              </w:rPr>
              <w:t>Contractual</w:t>
            </w:r>
          </w:p>
        </w:tc>
        <w:tc>
          <w:tcPr>
            <w:tcW w:w="11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Intrinsic</w:t>
            </w:r>
          </w:p>
        </w:tc>
        <w:tc>
          <w:tcPr>
            <w:tcW w:w="140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rPr>
              <w:t>Average Grant</w:t>
            </w:r>
          </w:p>
        </w:tc>
        <w:tc>
          <w:tcPr>
            <w:tcW w:w="13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RSUs</w:t>
            </w:r>
          </w:p>
        </w:tc>
        <w:tc>
          <w:tcPr>
            <w:tcW w:w="1200" w:type="dxa"/>
            <w:vAlign w:val="bottom"/>
          </w:tcPr>
          <w:p>
            <w:pPr>
              <w:jc w:val="center"/>
              <w:ind w:left="10"/>
              <w:spacing w:after="0" w:line="83" w:lineRule="exact"/>
              <w:rPr>
                <w:sz w:val="20"/>
                <w:szCs w:val="20"/>
                <w:color w:val="auto"/>
              </w:rPr>
            </w:pPr>
            <w:r>
              <w:rPr>
                <w:rFonts w:ascii="Arial" w:cs="Arial" w:eastAsia="Arial" w:hAnsi="Arial"/>
                <w:sz w:val="9"/>
                <w:szCs w:val="9"/>
                <w:b w:val="1"/>
                <w:bCs w:val="1"/>
                <w:color w:val="auto"/>
              </w:rPr>
              <w:t>Average Grant</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Term (in years)</w:t>
            </w:r>
          </w:p>
        </w:tc>
        <w:tc>
          <w:tcPr>
            <w:tcW w:w="11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8"/>
                <w:szCs w:val="18"/>
                <w:b w:val="1"/>
                <w:bCs w:val="1"/>
                <w:color w:val="auto"/>
                <w:w w:val="92"/>
                <w:vertAlign w:val="superscript"/>
              </w:rPr>
              <w:t>(2)</w:t>
            </w: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Date Fair Value</w:t>
            </w:r>
          </w:p>
        </w:tc>
        <w:tc>
          <w:tcPr>
            <w:tcW w:w="1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0" w:type="dxa"/>
            <w:vAlign w:val="bottom"/>
            <w:gridSpan w:val="4"/>
          </w:tcPr>
          <w:p>
            <w:pPr>
              <w:jc w:val="center"/>
              <w:ind w:right="20"/>
              <w:spacing w:after="0"/>
              <w:rPr>
                <w:sz w:val="20"/>
                <w:szCs w:val="20"/>
                <w:color w:val="auto"/>
              </w:rPr>
            </w:pPr>
            <w:r>
              <w:rPr>
                <w:rFonts w:ascii="Arial" w:cs="Arial" w:eastAsia="Arial" w:hAnsi="Arial"/>
                <w:sz w:val="14"/>
                <w:szCs w:val="14"/>
                <w:color w:val="auto"/>
              </w:rPr>
              <w:t>(in US $ millions, except share and share price amounts)</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b w:val="1"/>
                <w:bCs w:val="1"/>
                <w:color w:val="auto"/>
              </w:rPr>
              <w:t>December 31, 2025</w:t>
            </w:r>
          </w:p>
        </w:tc>
        <w:tc>
          <w:tcPr>
            <w:tcW w:w="1220" w:type="dxa"/>
            <w:vAlign w:val="bottom"/>
            <w:gridSpan w:val="2"/>
            <w:shd w:val="clear" w:color="auto" w:fill="F7F7F7"/>
          </w:tcPr>
          <w:p>
            <w:pPr>
              <w:jc w:val="right"/>
              <w:ind w:right="114"/>
              <w:spacing w:after="0"/>
              <w:rPr>
                <w:sz w:val="20"/>
                <w:szCs w:val="20"/>
                <w:color w:val="auto"/>
              </w:rPr>
            </w:pPr>
            <w:r>
              <w:rPr>
                <w:rFonts w:ascii="Arial" w:cs="Arial" w:eastAsia="Arial" w:hAnsi="Arial"/>
                <w:sz w:val="14"/>
                <w:szCs w:val="14"/>
                <w:b w:val="1"/>
                <w:bCs w:val="1"/>
                <w:color w:val="auto"/>
              </w:rPr>
              <w:t>10,200,678</w:t>
            </w:r>
          </w:p>
        </w:tc>
        <w:tc>
          <w:tcPr>
            <w:tcW w:w="1340" w:type="dxa"/>
            <w:vAlign w:val="bottom"/>
            <w:shd w:val="clear" w:color="auto" w:fill="F7F7F7"/>
          </w:tcPr>
          <w:p>
            <w:pPr>
              <w:jc w:val="right"/>
              <w:ind w:right="90"/>
              <w:spacing w:after="0"/>
              <w:rPr>
                <w:sz w:val="20"/>
                <w:szCs w:val="20"/>
                <w:color w:val="auto"/>
              </w:rPr>
            </w:pPr>
            <w:r>
              <w:rPr>
                <w:rFonts w:ascii="Arial" w:cs="Arial" w:eastAsia="Arial" w:hAnsi="Arial"/>
                <w:sz w:val="14"/>
                <w:szCs w:val="14"/>
                <w:b w:val="1"/>
                <w:bCs w:val="1"/>
                <w:color w:val="auto"/>
              </w:rPr>
              <w:t>80.03</w:t>
            </w:r>
          </w:p>
        </w:tc>
        <w:tc>
          <w:tcPr>
            <w:tcW w:w="1420" w:type="dxa"/>
            <w:vAlign w:val="bottom"/>
            <w:shd w:val="clear" w:color="auto" w:fill="F7F7F7"/>
          </w:tcPr>
          <w:p>
            <w:pPr>
              <w:jc w:val="center"/>
              <w:ind w:left="710"/>
              <w:spacing w:after="0"/>
              <w:rPr>
                <w:sz w:val="20"/>
                <w:szCs w:val="20"/>
                <w:color w:val="auto"/>
              </w:rPr>
            </w:pPr>
            <w:r>
              <w:rPr>
                <w:rFonts w:ascii="Arial" w:cs="Arial" w:eastAsia="Arial" w:hAnsi="Arial"/>
                <w:sz w:val="14"/>
                <w:szCs w:val="14"/>
                <w:b w:val="1"/>
                <w:bCs w:val="1"/>
                <w:color w:val="auto"/>
              </w:rPr>
              <w:t>7.22</w:t>
            </w:r>
          </w:p>
        </w:tc>
        <w:tc>
          <w:tcPr>
            <w:tcW w:w="1180" w:type="dxa"/>
            <w:vAlign w:val="bottom"/>
            <w:shd w:val="clear" w:color="auto" w:fill="F7F7F7"/>
          </w:tcPr>
          <w:p>
            <w:pPr>
              <w:jc w:val="right"/>
              <w:ind w:right="90"/>
              <w:spacing w:after="0"/>
              <w:rPr>
                <w:sz w:val="20"/>
                <w:szCs w:val="20"/>
                <w:color w:val="auto"/>
              </w:rPr>
            </w:pPr>
            <w:r>
              <w:rPr>
                <w:rFonts w:ascii="Arial" w:cs="Arial" w:eastAsia="Arial" w:hAnsi="Arial"/>
                <w:sz w:val="14"/>
                <w:szCs w:val="14"/>
                <w:b w:val="1"/>
                <w:bCs w:val="1"/>
                <w:color w:val="auto"/>
              </w:rPr>
              <w:t>826</w:t>
            </w:r>
          </w:p>
        </w:tc>
        <w:tc>
          <w:tcPr>
            <w:tcW w:w="1400" w:type="dxa"/>
            <w:vAlign w:val="bottom"/>
            <w:gridSpan w:val="2"/>
            <w:shd w:val="clear" w:color="auto" w:fill="F7F7F7"/>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F7F7F7"/>
          </w:tcPr>
          <w:p>
            <w:pPr>
              <w:jc w:val="right"/>
              <w:ind w:right="108"/>
              <w:spacing w:after="0"/>
              <w:rPr>
                <w:sz w:val="20"/>
                <w:szCs w:val="20"/>
                <w:color w:val="auto"/>
              </w:rPr>
            </w:pPr>
            <w:r>
              <w:rPr>
                <w:rFonts w:ascii="Arial" w:cs="Arial" w:eastAsia="Arial" w:hAnsi="Arial"/>
                <w:sz w:val="14"/>
                <w:szCs w:val="14"/>
                <w:b w:val="1"/>
                <w:bCs w:val="1"/>
                <w:color w:val="auto"/>
              </w:rPr>
              <w:t>3,486,886</w:t>
            </w:r>
          </w:p>
        </w:tc>
        <w:tc>
          <w:tcPr>
            <w:tcW w:w="1200" w:type="dxa"/>
            <w:vAlign w:val="bottom"/>
            <w:shd w:val="clear" w:color="auto" w:fill="F7F7F7"/>
          </w:tcPr>
          <w:p>
            <w:pPr>
              <w:jc w:val="right"/>
              <w:spacing w:after="0"/>
              <w:rPr>
                <w:sz w:val="20"/>
                <w:szCs w:val="20"/>
                <w:color w:val="auto"/>
              </w:rPr>
            </w:pPr>
            <w:r>
              <w:rPr>
                <w:rFonts w:ascii="Arial" w:cs="Arial" w:eastAsia="Arial" w:hAnsi="Arial"/>
                <w:sz w:val="14"/>
                <w:szCs w:val="14"/>
                <w:b w:val="1"/>
                <w:bCs w:val="1"/>
                <w:color w:val="auto"/>
              </w:rPr>
              <w:t>110.16</w:t>
            </w:r>
          </w:p>
        </w:tc>
        <w:tc>
          <w:tcPr>
            <w:tcW w:w="0" w:type="dxa"/>
            <w:vAlign w:val="bottom"/>
          </w:tcPr>
          <w:p>
            <w:pPr>
              <w:spacing w:after="0"/>
              <w:rPr>
                <w:sz w:val="1"/>
                <w:szCs w:val="1"/>
                <w:color w:val="auto"/>
              </w:rPr>
            </w:pPr>
          </w:p>
        </w:tc>
      </w:tr>
      <w:tr>
        <w:trPr>
          <w:trHeight w:val="199"/>
        </w:trPr>
        <w:tc>
          <w:tcPr>
            <w:tcW w:w="2120" w:type="dxa"/>
            <w:vAlign w:val="bottom"/>
          </w:tcPr>
          <w:p>
            <w:pPr>
              <w:ind w:left="20"/>
              <w:spacing w:after="0"/>
              <w:rPr>
                <w:sz w:val="20"/>
                <w:szCs w:val="20"/>
                <w:color w:val="auto"/>
              </w:rPr>
            </w:pPr>
            <w:r>
              <w:rPr>
                <w:rFonts w:ascii="Arial" w:cs="Arial" w:eastAsia="Arial" w:hAnsi="Arial"/>
                <w:sz w:val="14"/>
                <w:szCs w:val="14"/>
                <w:color w:val="auto"/>
              </w:rPr>
              <w:t>Stock options granted</w:t>
            </w:r>
          </w:p>
        </w:tc>
        <w:tc>
          <w:tcPr>
            <w:tcW w:w="1220" w:type="dxa"/>
            <w:vAlign w:val="bottom"/>
            <w:gridSpan w:val="2"/>
          </w:tcPr>
          <w:p>
            <w:pPr>
              <w:jc w:val="right"/>
              <w:ind w:right="114"/>
              <w:spacing w:after="0"/>
              <w:rPr>
                <w:sz w:val="20"/>
                <w:szCs w:val="20"/>
                <w:color w:val="auto"/>
              </w:rPr>
            </w:pPr>
            <w:r>
              <w:rPr>
                <w:rFonts w:ascii="Arial" w:cs="Arial" w:eastAsia="Arial" w:hAnsi="Arial"/>
                <w:sz w:val="14"/>
                <w:szCs w:val="14"/>
                <w:color w:val="auto"/>
              </w:rPr>
              <w:t>2,223,132</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116.07</w:t>
            </w:r>
          </w:p>
        </w:tc>
        <w:tc>
          <w:tcPr>
            <w:tcW w:w="1420" w:type="dxa"/>
            <w:vAlign w:val="bottom"/>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53.58</w:t>
            </w:r>
          </w:p>
        </w:tc>
        <w:tc>
          <w:tcPr>
            <w:tcW w:w="18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Stock options exercised</w:t>
            </w:r>
          </w:p>
        </w:tc>
        <w:tc>
          <w:tcPr>
            <w:tcW w:w="1220" w:type="dxa"/>
            <w:vAlign w:val="bottom"/>
            <w:gridSpan w:val="2"/>
            <w:shd w:val="clear" w:color="auto" w:fill="F7F7F7"/>
          </w:tcPr>
          <w:p>
            <w:pPr>
              <w:jc w:val="right"/>
              <w:ind w:right="74"/>
              <w:spacing w:after="0"/>
              <w:rPr>
                <w:sz w:val="20"/>
                <w:szCs w:val="20"/>
                <w:color w:val="auto"/>
              </w:rPr>
            </w:pPr>
            <w:r>
              <w:rPr>
                <w:rFonts w:ascii="Arial" w:cs="Arial" w:eastAsia="Arial" w:hAnsi="Arial"/>
                <w:sz w:val="14"/>
                <w:szCs w:val="14"/>
                <w:color w:val="auto"/>
              </w:rPr>
              <w:t>(202,056)</w:t>
            </w:r>
          </w:p>
        </w:tc>
        <w:tc>
          <w:tcPr>
            <w:tcW w:w="1340" w:type="dxa"/>
            <w:vAlign w:val="bottom"/>
            <w:shd w:val="clear" w:color="auto" w:fill="F7F7F7"/>
          </w:tcPr>
          <w:p>
            <w:pPr>
              <w:jc w:val="right"/>
              <w:ind w:right="90"/>
              <w:spacing w:after="0"/>
              <w:rPr>
                <w:sz w:val="20"/>
                <w:szCs w:val="20"/>
                <w:color w:val="auto"/>
              </w:rPr>
            </w:pPr>
            <w:r>
              <w:rPr>
                <w:rFonts w:ascii="Arial" w:cs="Arial" w:eastAsia="Arial" w:hAnsi="Arial"/>
                <w:sz w:val="14"/>
                <w:szCs w:val="14"/>
                <w:color w:val="auto"/>
              </w:rPr>
              <w:t>31.55</w:t>
            </w:r>
          </w:p>
        </w:tc>
        <w:tc>
          <w:tcPr>
            <w:tcW w:w="1420" w:type="dxa"/>
            <w:vAlign w:val="bottom"/>
            <w:shd w:val="clear" w:color="auto" w:fill="F7F7F7"/>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7F7F7"/>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F7F7F7"/>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7F7F7"/>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4"/>
                <w:szCs w:val="14"/>
                <w:color w:val="auto"/>
              </w:rPr>
              <w:t>Stock options forfeited</w:t>
            </w:r>
          </w:p>
        </w:tc>
        <w:tc>
          <w:tcPr>
            <w:tcW w:w="1220" w:type="dxa"/>
            <w:vAlign w:val="bottom"/>
            <w:gridSpan w:val="2"/>
          </w:tcPr>
          <w:p>
            <w:pPr>
              <w:jc w:val="right"/>
              <w:ind w:right="74"/>
              <w:spacing w:after="0"/>
              <w:rPr>
                <w:sz w:val="20"/>
                <w:szCs w:val="20"/>
                <w:color w:val="auto"/>
              </w:rPr>
            </w:pPr>
            <w:r>
              <w:rPr>
                <w:rFonts w:ascii="Arial" w:cs="Arial" w:eastAsia="Arial" w:hAnsi="Arial"/>
                <w:sz w:val="14"/>
                <w:szCs w:val="14"/>
                <w:color w:val="auto"/>
              </w:rPr>
              <w:t>(10,345)</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107.87</w:t>
            </w:r>
          </w:p>
        </w:tc>
        <w:tc>
          <w:tcPr>
            <w:tcW w:w="1420" w:type="dxa"/>
            <w:vAlign w:val="bottom"/>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RSUs granted</w:t>
            </w:r>
          </w:p>
        </w:tc>
        <w:tc>
          <w:tcPr>
            <w:tcW w:w="760" w:type="dxa"/>
            <w:vAlign w:val="bottom"/>
            <w:shd w:val="clear" w:color="auto" w:fill="F7F7F7"/>
          </w:tcPr>
          <w:p>
            <w:pPr>
              <w:spacing w:after="0"/>
              <w:rPr>
                <w:sz w:val="17"/>
                <w:szCs w:val="17"/>
                <w:color w:val="auto"/>
              </w:rPr>
            </w:pPr>
          </w:p>
        </w:tc>
        <w:tc>
          <w:tcPr>
            <w:tcW w:w="460" w:type="dxa"/>
            <w:vAlign w:val="bottom"/>
            <w:shd w:val="clear" w:color="auto" w:fill="F7F7F7"/>
          </w:tcPr>
          <w:p>
            <w:pPr>
              <w:jc w:val="right"/>
              <w:ind w:right="114"/>
              <w:spacing w:after="0"/>
              <w:rPr>
                <w:sz w:val="20"/>
                <w:szCs w:val="20"/>
                <w:color w:val="auto"/>
              </w:rPr>
            </w:pPr>
            <w:r>
              <w:rPr>
                <w:rFonts w:ascii="Arial" w:cs="Arial" w:eastAsia="Arial" w:hAnsi="Arial"/>
                <w:sz w:val="14"/>
                <w:szCs w:val="14"/>
                <w:color w:val="auto"/>
              </w:rPr>
              <w:t>—</w:t>
            </w:r>
          </w:p>
        </w:tc>
        <w:tc>
          <w:tcPr>
            <w:tcW w:w="1340" w:type="dxa"/>
            <w:vAlign w:val="bottom"/>
            <w:shd w:val="clear" w:color="auto" w:fill="F7F7F7"/>
          </w:tcPr>
          <w:p>
            <w:pPr>
              <w:jc w:val="right"/>
              <w:ind w:right="90"/>
              <w:spacing w:after="0"/>
              <w:rPr>
                <w:sz w:val="20"/>
                <w:szCs w:val="20"/>
                <w:color w:val="auto"/>
              </w:rPr>
            </w:pPr>
            <w:r>
              <w:rPr>
                <w:rFonts w:ascii="Arial" w:cs="Arial" w:eastAsia="Arial" w:hAnsi="Arial"/>
                <w:sz w:val="14"/>
                <w:szCs w:val="14"/>
                <w:color w:val="auto"/>
              </w:rPr>
              <w:t>—</w:t>
            </w:r>
          </w:p>
        </w:tc>
        <w:tc>
          <w:tcPr>
            <w:tcW w:w="1420" w:type="dxa"/>
            <w:vAlign w:val="bottom"/>
            <w:shd w:val="clear" w:color="auto" w:fill="F7F7F7"/>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7F7F7"/>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F7F7F7"/>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7F7F7"/>
          </w:tcPr>
          <w:p>
            <w:pPr>
              <w:jc w:val="right"/>
              <w:ind w:right="108"/>
              <w:spacing w:after="0"/>
              <w:rPr>
                <w:sz w:val="20"/>
                <w:szCs w:val="20"/>
                <w:color w:val="auto"/>
              </w:rPr>
            </w:pPr>
            <w:r>
              <w:rPr>
                <w:rFonts w:ascii="Arial" w:cs="Arial" w:eastAsia="Arial" w:hAnsi="Arial"/>
                <w:sz w:val="14"/>
                <w:szCs w:val="14"/>
                <w:color w:val="auto"/>
              </w:rPr>
              <w:t>1,525,623</w:t>
            </w:r>
          </w:p>
        </w:tc>
        <w:tc>
          <w:tcPr>
            <w:tcW w:w="12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124.28</w:t>
            </w:r>
          </w:p>
        </w:tc>
        <w:tc>
          <w:tcPr>
            <w:tcW w:w="0" w:type="dxa"/>
            <w:vAlign w:val="bottom"/>
          </w:tcPr>
          <w:p>
            <w:pPr>
              <w:spacing w:after="0"/>
              <w:rPr>
                <w:sz w:val="1"/>
                <w:szCs w:val="1"/>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4"/>
                <w:szCs w:val="14"/>
                <w:color w:val="auto"/>
              </w:rPr>
              <w:t>RSUs settled</w:t>
            </w:r>
          </w:p>
        </w:tc>
        <w:tc>
          <w:tcPr>
            <w:tcW w:w="760" w:type="dxa"/>
            <w:vAlign w:val="bottom"/>
          </w:tcPr>
          <w:p>
            <w:pPr>
              <w:spacing w:after="0"/>
              <w:rPr>
                <w:sz w:val="17"/>
                <w:szCs w:val="17"/>
                <w:color w:val="auto"/>
              </w:rPr>
            </w:pPr>
          </w:p>
        </w:tc>
        <w:tc>
          <w:tcPr>
            <w:tcW w:w="46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(886,692)</w:t>
            </w:r>
          </w:p>
        </w:tc>
        <w:tc>
          <w:tcPr>
            <w:tcW w:w="1200" w:type="dxa"/>
            <w:vAlign w:val="bottom"/>
          </w:tcPr>
          <w:p>
            <w:pPr>
              <w:jc w:val="right"/>
              <w:spacing w:after="0"/>
              <w:rPr>
                <w:sz w:val="20"/>
                <w:szCs w:val="20"/>
                <w:color w:val="auto"/>
              </w:rPr>
            </w:pPr>
            <w:r>
              <w:rPr>
                <w:rFonts w:ascii="Arial" w:cs="Arial" w:eastAsia="Arial" w:hAnsi="Arial"/>
                <w:sz w:val="14"/>
                <w:szCs w:val="14"/>
                <w:color w:val="auto"/>
              </w:rPr>
              <w:t>122.20</w:t>
            </w:r>
          </w:p>
        </w:tc>
        <w:tc>
          <w:tcPr>
            <w:tcW w:w="0" w:type="dxa"/>
            <w:vAlign w:val="bottom"/>
          </w:tcPr>
          <w:p>
            <w:pPr>
              <w:spacing w:after="0"/>
              <w:rPr>
                <w:sz w:val="1"/>
                <w:szCs w:val="1"/>
                <w:color w:val="auto"/>
              </w:rPr>
            </w:pPr>
          </w:p>
        </w:tc>
      </w:tr>
      <w:tr>
        <w:trPr>
          <w:trHeight w:val="207"/>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RSUs forfeited</w:t>
            </w:r>
          </w:p>
        </w:tc>
        <w:tc>
          <w:tcPr>
            <w:tcW w:w="760" w:type="dxa"/>
            <w:vAlign w:val="bottom"/>
            <w:tcBorders>
              <w:bottom w:val="single" w:sz="8" w:color="auto"/>
            </w:tcBorders>
            <w:shd w:val="clear" w:color="auto" w:fill="F7F7F7"/>
          </w:tcPr>
          <w:p>
            <w:pPr>
              <w:spacing w:after="0"/>
              <w:rPr>
                <w:sz w:val="17"/>
                <w:szCs w:val="17"/>
                <w:color w:val="auto"/>
              </w:rPr>
            </w:pPr>
          </w:p>
        </w:tc>
        <w:tc>
          <w:tcPr>
            <w:tcW w:w="460" w:type="dxa"/>
            <w:vAlign w:val="bottom"/>
            <w:tcBorders>
              <w:bottom w:val="single" w:sz="8" w:color="auto"/>
            </w:tcBorders>
            <w:shd w:val="clear" w:color="auto" w:fill="F7F7F7"/>
          </w:tcPr>
          <w:p>
            <w:pPr>
              <w:jc w:val="right"/>
              <w:ind w:right="114"/>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F7F7F7"/>
          </w:tcPr>
          <w:p>
            <w:pPr>
              <w:jc w:val="right"/>
              <w:ind w:right="9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F7F7F7"/>
          </w:tcPr>
          <w:p>
            <w:pPr>
              <w:jc w:val="center"/>
              <w:ind w:left="730"/>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shd w:val="clear" w:color="auto" w:fill="F7F7F7"/>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shd w:val="clear" w:color="auto" w:fill="F7F7F7"/>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F7F7F7"/>
          </w:tcPr>
          <w:p>
            <w:pPr>
              <w:jc w:val="right"/>
              <w:ind w:right="68"/>
              <w:spacing w:after="0"/>
              <w:rPr>
                <w:sz w:val="20"/>
                <w:szCs w:val="20"/>
                <w:color w:val="auto"/>
              </w:rPr>
            </w:pPr>
            <w:r>
              <w:rPr>
                <w:rFonts w:ascii="Arial" w:cs="Arial" w:eastAsia="Arial" w:hAnsi="Arial"/>
                <w:sz w:val="14"/>
                <w:szCs w:val="14"/>
                <w:color w:val="auto"/>
              </w:rPr>
              <w:t>(67,263)</w:t>
            </w: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107.16</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March 31, 2026</w:t>
            </w:r>
          </w:p>
        </w:tc>
        <w:tc>
          <w:tcPr>
            <w:tcW w:w="12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12,211,409</w:t>
            </w:r>
          </w:p>
        </w:tc>
        <w:tc>
          <w:tcPr>
            <w:tcW w:w="1340" w:type="dxa"/>
            <w:vAlign w:val="bottom"/>
          </w:tcPr>
          <w:p>
            <w:pPr>
              <w:jc w:val="right"/>
              <w:ind w:right="90"/>
              <w:spacing w:after="0"/>
              <w:rPr>
                <w:sz w:val="20"/>
                <w:szCs w:val="20"/>
                <w:color w:val="auto"/>
              </w:rPr>
            </w:pPr>
            <w:r>
              <w:rPr>
                <w:rFonts w:ascii="Arial" w:cs="Arial" w:eastAsia="Arial" w:hAnsi="Arial"/>
                <w:sz w:val="14"/>
                <w:szCs w:val="14"/>
                <w:b w:val="1"/>
                <w:bCs w:val="1"/>
                <w:color w:val="auto"/>
              </w:rPr>
              <w:t>87.37</w:t>
            </w:r>
          </w:p>
        </w:tc>
        <w:tc>
          <w:tcPr>
            <w:tcW w:w="1420" w:type="dxa"/>
            <w:vAlign w:val="bottom"/>
          </w:tcPr>
          <w:p>
            <w:pPr>
              <w:jc w:val="center"/>
              <w:ind w:left="710"/>
              <w:spacing w:after="0"/>
              <w:rPr>
                <w:sz w:val="20"/>
                <w:szCs w:val="20"/>
                <w:color w:val="auto"/>
              </w:rPr>
            </w:pPr>
            <w:r>
              <w:rPr>
                <w:rFonts w:ascii="Arial" w:cs="Arial" w:eastAsia="Arial" w:hAnsi="Arial"/>
                <w:sz w:val="14"/>
                <w:szCs w:val="14"/>
                <w:b w:val="1"/>
                <w:bCs w:val="1"/>
                <w:color w:val="auto"/>
              </w:rPr>
              <w:t>7.53</w:t>
            </w:r>
          </w:p>
        </w:tc>
        <w:tc>
          <w:tcPr>
            <w:tcW w:w="1180" w:type="dxa"/>
            <w:vAlign w:val="bottom"/>
          </w:tcPr>
          <w:p>
            <w:pPr>
              <w:jc w:val="right"/>
              <w:ind w:right="90"/>
              <w:spacing w:after="0"/>
              <w:rPr>
                <w:sz w:val="20"/>
                <w:szCs w:val="20"/>
                <w:color w:val="auto"/>
              </w:rPr>
            </w:pPr>
            <w:r>
              <w:rPr>
                <w:rFonts w:ascii="Arial" w:cs="Arial" w:eastAsia="Arial" w:hAnsi="Arial"/>
                <w:sz w:val="14"/>
                <w:szCs w:val="14"/>
                <w:b w:val="1"/>
                <w:bCs w:val="1"/>
                <w:color w:val="auto"/>
              </w:rPr>
              <w:t>382</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4,058,554</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112.89</w:t>
            </w:r>
          </w:p>
        </w:tc>
        <w:tc>
          <w:tcPr>
            <w:tcW w:w="0" w:type="dxa"/>
            <w:vAlign w:val="bottom"/>
          </w:tcPr>
          <w:p>
            <w:pPr>
              <w:spacing w:after="0"/>
              <w:rPr>
                <w:sz w:val="1"/>
                <w:szCs w:val="1"/>
                <w:color w:val="auto"/>
              </w:rPr>
            </w:pPr>
          </w:p>
        </w:tc>
      </w:tr>
      <w:tr>
        <w:trPr>
          <w:trHeight w:val="109"/>
        </w:trPr>
        <w:tc>
          <w:tcPr>
            <w:tcW w:w="2120" w:type="dxa"/>
            <w:vAlign w:val="bottom"/>
            <w:shd w:val="clear" w:color="auto" w:fill="F7F7F7"/>
          </w:tcPr>
          <w:p>
            <w:pPr>
              <w:spacing w:after="0"/>
              <w:rPr>
                <w:sz w:val="9"/>
                <w:szCs w:val="9"/>
                <w:color w:val="auto"/>
              </w:rPr>
            </w:pPr>
          </w:p>
        </w:tc>
        <w:tc>
          <w:tcPr>
            <w:tcW w:w="760" w:type="dxa"/>
            <w:vAlign w:val="bottom"/>
            <w:shd w:val="clear" w:color="auto" w:fill="F7F7F7"/>
          </w:tcPr>
          <w:p>
            <w:pPr>
              <w:spacing w:after="0"/>
              <w:rPr>
                <w:sz w:val="9"/>
                <w:szCs w:val="9"/>
                <w:color w:val="auto"/>
              </w:rPr>
            </w:pPr>
          </w:p>
        </w:tc>
        <w:tc>
          <w:tcPr>
            <w:tcW w:w="460" w:type="dxa"/>
            <w:vAlign w:val="bottom"/>
            <w:shd w:val="clear" w:color="auto" w:fill="F7F7F7"/>
          </w:tcPr>
          <w:p>
            <w:pPr>
              <w:spacing w:after="0"/>
              <w:rPr>
                <w:sz w:val="9"/>
                <w:szCs w:val="9"/>
                <w:color w:val="auto"/>
              </w:rPr>
            </w:pPr>
          </w:p>
        </w:tc>
        <w:tc>
          <w:tcPr>
            <w:tcW w:w="1340" w:type="dxa"/>
            <w:vAlign w:val="bottom"/>
            <w:shd w:val="clear" w:color="auto" w:fill="F7F7F7"/>
          </w:tcPr>
          <w:p>
            <w:pPr>
              <w:spacing w:after="0"/>
              <w:rPr>
                <w:sz w:val="9"/>
                <w:szCs w:val="9"/>
                <w:color w:val="auto"/>
              </w:rPr>
            </w:pPr>
          </w:p>
        </w:tc>
        <w:tc>
          <w:tcPr>
            <w:tcW w:w="1420" w:type="dxa"/>
            <w:vAlign w:val="bottom"/>
            <w:shd w:val="clear" w:color="auto" w:fill="F7F7F7"/>
          </w:tcPr>
          <w:p>
            <w:pPr>
              <w:spacing w:after="0"/>
              <w:rPr>
                <w:sz w:val="9"/>
                <w:szCs w:val="9"/>
                <w:color w:val="auto"/>
              </w:rPr>
            </w:pPr>
          </w:p>
        </w:tc>
        <w:tc>
          <w:tcPr>
            <w:tcW w:w="1180" w:type="dxa"/>
            <w:vAlign w:val="bottom"/>
            <w:shd w:val="clear" w:color="auto" w:fill="F7F7F7"/>
          </w:tcPr>
          <w:p>
            <w:pPr>
              <w:spacing w:after="0"/>
              <w:rPr>
                <w:sz w:val="9"/>
                <w:szCs w:val="9"/>
                <w:color w:val="auto"/>
              </w:rPr>
            </w:pPr>
          </w:p>
        </w:tc>
        <w:tc>
          <w:tcPr>
            <w:tcW w:w="1220" w:type="dxa"/>
            <w:vAlign w:val="bottom"/>
            <w:shd w:val="clear" w:color="auto" w:fill="F7F7F7"/>
          </w:tcPr>
          <w:p>
            <w:pPr>
              <w:spacing w:after="0"/>
              <w:rPr>
                <w:sz w:val="9"/>
                <w:szCs w:val="9"/>
                <w:color w:val="auto"/>
              </w:rPr>
            </w:pPr>
          </w:p>
        </w:tc>
        <w:tc>
          <w:tcPr>
            <w:tcW w:w="180" w:type="dxa"/>
            <w:vAlign w:val="bottom"/>
            <w:shd w:val="clear" w:color="auto" w:fill="F7F7F7"/>
          </w:tcPr>
          <w:p>
            <w:pPr>
              <w:spacing w:after="0"/>
              <w:rPr>
                <w:sz w:val="9"/>
                <w:szCs w:val="9"/>
                <w:color w:val="auto"/>
              </w:rPr>
            </w:pPr>
          </w:p>
        </w:tc>
        <w:tc>
          <w:tcPr>
            <w:tcW w:w="1360" w:type="dxa"/>
            <w:vAlign w:val="bottom"/>
            <w:shd w:val="clear" w:color="auto" w:fill="F7F7F7"/>
          </w:tcPr>
          <w:p>
            <w:pPr>
              <w:spacing w:after="0"/>
              <w:rPr>
                <w:sz w:val="9"/>
                <w:szCs w:val="9"/>
                <w:color w:val="auto"/>
              </w:rPr>
            </w:pPr>
          </w:p>
        </w:tc>
        <w:tc>
          <w:tcPr>
            <w:tcW w:w="1200" w:type="dxa"/>
            <w:vAlign w:val="bottom"/>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Stock options exercisable as of</w:t>
            </w:r>
          </w:p>
        </w:tc>
        <w:tc>
          <w:tcPr>
            <w:tcW w:w="1220" w:type="dxa"/>
            <w:vAlign w:val="bottom"/>
            <w:gridSpan w:val="2"/>
            <w:vMerge w:val="restart"/>
          </w:tcPr>
          <w:p>
            <w:pPr>
              <w:jc w:val="right"/>
              <w:ind w:right="114"/>
              <w:spacing w:after="0"/>
              <w:rPr>
                <w:sz w:val="20"/>
                <w:szCs w:val="20"/>
                <w:color w:val="auto"/>
              </w:rPr>
            </w:pPr>
            <w:r>
              <w:rPr>
                <w:rFonts w:ascii="Arial" w:cs="Arial" w:eastAsia="Arial" w:hAnsi="Arial"/>
                <w:sz w:val="14"/>
                <w:szCs w:val="14"/>
                <w:color w:val="auto"/>
              </w:rPr>
              <w:t>5,025,058</w:t>
            </w:r>
          </w:p>
        </w:tc>
        <w:tc>
          <w:tcPr>
            <w:tcW w:w="1340" w:type="dxa"/>
            <w:vAlign w:val="bottom"/>
            <w:vMerge w:val="restart"/>
          </w:tcPr>
          <w:p>
            <w:pPr>
              <w:jc w:val="right"/>
              <w:ind w:right="90"/>
              <w:spacing w:after="0"/>
              <w:rPr>
                <w:sz w:val="20"/>
                <w:szCs w:val="20"/>
                <w:color w:val="auto"/>
              </w:rPr>
            </w:pPr>
            <w:r>
              <w:rPr>
                <w:rFonts w:ascii="Arial" w:cs="Arial" w:eastAsia="Arial" w:hAnsi="Arial"/>
                <w:sz w:val="14"/>
                <w:szCs w:val="14"/>
                <w:color w:val="auto"/>
              </w:rPr>
              <w:t>73.64</w:t>
            </w:r>
          </w:p>
        </w:tc>
        <w:tc>
          <w:tcPr>
            <w:tcW w:w="1420" w:type="dxa"/>
            <w:vAlign w:val="bottom"/>
            <w:vMerge w:val="restart"/>
          </w:tcPr>
          <w:p>
            <w:pPr>
              <w:jc w:val="center"/>
              <w:ind w:left="710"/>
              <w:spacing w:after="0"/>
              <w:rPr>
                <w:sz w:val="20"/>
                <w:szCs w:val="20"/>
                <w:color w:val="auto"/>
              </w:rPr>
            </w:pPr>
            <w:r>
              <w:rPr>
                <w:rFonts w:ascii="Arial" w:cs="Arial" w:eastAsia="Arial" w:hAnsi="Arial"/>
                <w:sz w:val="14"/>
                <w:szCs w:val="14"/>
                <w:color w:val="auto"/>
              </w:rPr>
              <w:t>5.77</w:t>
            </w:r>
          </w:p>
        </w:tc>
        <w:tc>
          <w:tcPr>
            <w:tcW w:w="1180" w:type="dxa"/>
            <w:vAlign w:val="bottom"/>
            <w:vMerge w:val="restart"/>
          </w:tcPr>
          <w:p>
            <w:pPr>
              <w:jc w:val="right"/>
              <w:ind w:right="90"/>
              <w:spacing w:after="0"/>
              <w:rPr>
                <w:sz w:val="20"/>
                <w:szCs w:val="20"/>
                <w:color w:val="auto"/>
              </w:rPr>
            </w:pPr>
            <w:r>
              <w:rPr>
                <w:rFonts w:ascii="Arial" w:cs="Arial" w:eastAsia="Arial" w:hAnsi="Arial"/>
                <w:sz w:val="14"/>
                <w:szCs w:val="14"/>
                <w:color w:val="auto"/>
              </w:rPr>
              <w:t>229</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March 31, 2026</w:t>
            </w:r>
          </w:p>
        </w:tc>
        <w:tc>
          <w:tcPr>
            <w:tcW w:w="12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8"/>
        <w:spacing w:after="0" w:line="305" w:lineRule="auto"/>
        <w:tabs>
          <w:tab w:leader="none" w:pos="162" w:val="left"/>
        </w:tabs>
        <w:numPr>
          <w:ilvl w:val="0"/>
          <w:numId w:val="10"/>
        </w:numPr>
        <w:rPr>
          <w:rFonts w:ascii="Arial" w:cs="Arial" w:eastAsia="Arial" w:hAnsi="Arial"/>
          <w:sz w:val="9"/>
          <w:szCs w:val="9"/>
          <w:color w:val="auto"/>
        </w:rPr>
      </w:pPr>
      <w:r>
        <w:rPr>
          <w:rFonts w:ascii="Arial" w:cs="Arial" w:eastAsia="Arial" w:hAnsi="Arial"/>
          <w:sz w:val="14"/>
          <w:szCs w:val="14"/>
          <w:color w:val="auto"/>
        </w:rPr>
        <w:t>As of March 31, 2026, 12,200,273 of the outstanding stock options were granted under the Company's SOP and are exercisable for Class A subordinate voting shares and 11,136 of the outstanding stock options were granted under the Deliverr 2017 Stock Option and Grant Plan and are exercisable for Class A subordinate voting shares.</w:t>
      </w:r>
    </w:p>
    <w:p>
      <w:pPr>
        <w:spacing w:after="0" w:line="76" w:lineRule="exact"/>
        <w:rPr>
          <w:rFonts w:ascii="Arial" w:cs="Arial" w:eastAsia="Arial" w:hAnsi="Arial"/>
          <w:sz w:val="9"/>
          <w:szCs w:val="9"/>
          <w:color w:val="auto"/>
        </w:rPr>
      </w:pPr>
    </w:p>
    <w:p>
      <w:pPr>
        <w:ind w:firstLine="8"/>
        <w:spacing w:after="0" w:line="305" w:lineRule="auto"/>
        <w:tabs>
          <w:tab w:leader="none" w:pos="159"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aggregate intrinsic value is calculated as the difference between the exercise price of the underlying stock option awards and the closing market price of the Company's Class A subordinate voting shares as of March 31, 2026 and December 31, 2025.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Company had issued 5,657 deferred share units ("DSUs") under its LTIP.</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acquisition of Vantage Discovery Inc. in the first quarter of 2025, 252,257 Class A subordinate voting shares were issued with trading restrictions. The restrictions on these shares are lifted over time and are being accounted for as stock-based compensation as the vesting is contingent on continued employment and therefore related to post-combination services. As of March 31, 2026, 189,193 of the Class A subordinate voting shares remained restricted.</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illustrates the classification of stock-based compensation expense in the condensed consolidated statements of operations and comprehensive loss, which includes both stock-based compensation and restricted stock-compensation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2260" w:type="dxa"/>
            <w:vAlign w:val="bottom"/>
            <w:shd w:val="clear" w:color="auto" w:fill="F7F7F7"/>
          </w:tcPr>
          <w:p>
            <w:pPr>
              <w:jc w:val="right"/>
              <w:ind w:right="79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260" w:type="dxa"/>
            <w:vAlign w:val="bottom"/>
          </w:tcPr>
          <w:p>
            <w:pPr>
              <w:jc w:val="right"/>
              <w:ind w:right="799"/>
              <w:spacing w:after="0"/>
              <w:rPr>
                <w:sz w:val="20"/>
                <w:szCs w:val="20"/>
                <w:color w:val="auto"/>
              </w:rPr>
            </w:pPr>
            <w:r>
              <w:rPr>
                <w:rFonts w:ascii="Arial" w:cs="Arial" w:eastAsia="Arial" w:hAnsi="Arial"/>
                <w:sz w:val="16"/>
                <w:szCs w:val="16"/>
                <w:color w:val="auto"/>
              </w:rPr>
              <w:t>10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2260" w:type="dxa"/>
            <w:vAlign w:val="bottom"/>
            <w:shd w:val="clear" w:color="auto" w:fill="F7F7F7"/>
          </w:tcPr>
          <w:p>
            <w:pPr>
              <w:jc w:val="right"/>
              <w:ind w:right="799"/>
              <w:spacing w:after="0"/>
              <w:rPr>
                <w:sz w:val="20"/>
                <w:szCs w:val="20"/>
                <w:color w:val="auto"/>
              </w:rPr>
            </w:pPr>
            <w:r>
              <w:rPr>
                <w:rFonts w:ascii="Arial" w:cs="Arial" w:eastAsia="Arial" w:hAnsi="Arial"/>
                <w:sz w:val="16"/>
                <w:szCs w:val="16"/>
                <w:color w:val="auto"/>
              </w:rPr>
              <w:t>93</w:t>
            </w:r>
          </w:p>
        </w:tc>
        <w:tc>
          <w:tcPr>
            <w:tcW w:w="9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79</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2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28</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r>
      <w:tr>
        <w:trPr>
          <w:trHeight w:val="210"/>
        </w:trPr>
        <w:tc>
          <w:tcPr>
            <w:tcW w:w="8020" w:type="dxa"/>
            <w:vAlign w:val="bottom"/>
            <w:shd w:val="clear" w:color="auto" w:fill="F7F7F7"/>
          </w:tcPr>
          <w:p>
            <w:pPr>
              <w:spacing w:after="0"/>
              <w:rPr>
                <w:sz w:val="18"/>
                <w:szCs w:val="18"/>
                <w:color w:val="auto"/>
              </w:rPr>
            </w:pPr>
          </w:p>
        </w:tc>
        <w:tc>
          <w:tcPr>
            <w:tcW w:w="2260" w:type="dxa"/>
            <w:vAlign w:val="bottom"/>
            <w:shd w:val="clear" w:color="auto" w:fill="F7F7F7"/>
          </w:tcPr>
          <w:p>
            <w:pPr>
              <w:jc w:val="right"/>
              <w:ind w:right="799"/>
              <w:spacing w:after="0"/>
              <w:rPr>
                <w:sz w:val="20"/>
                <w:szCs w:val="20"/>
                <w:color w:val="auto"/>
              </w:rPr>
            </w:pPr>
            <w:r>
              <w:rPr>
                <w:rFonts w:ascii="Arial" w:cs="Arial" w:eastAsia="Arial" w:hAnsi="Arial"/>
                <w:sz w:val="16"/>
                <w:szCs w:val="16"/>
                <w:color w:val="auto"/>
              </w:rPr>
              <w:t>132</w:t>
            </w:r>
          </w:p>
        </w:tc>
        <w:tc>
          <w:tcPr>
            <w:tcW w:w="9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 activity under our share repurchase program for the three months ended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660" w:type="dxa"/>
            <w:vAlign w:val="bottom"/>
          </w:tcPr>
          <w:p>
            <w:pPr>
              <w:jc w:val="center"/>
              <w:ind w:right="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68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 Price per</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 Shares</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Remaining Amount</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97"/>
              </w:rPr>
              <w:t>Repurchased</w:t>
            </w:r>
            <w:r>
              <w:rPr>
                <w:rFonts w:ascii="Arial" w:cs="Arial" w:eastAsia="Arial" w:hAnsi="Arial"/>
                <w:sz w:val="21"/>
                <w:szCs w:val="21"/>
                <w:b w:val="1"/>
                <w:bCs w:val="1"/>
                <w:color w:val="auto"/>
                <w:w w:val="97"/>
                <w:vertAlign w:val="superscript"/>
              </w:rPr>
              <w:t>(1)</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1"/>
                <w:szCs w:val="21"/>
                <w:b w:val="1"/>
                <w:bCs w:val="1"/>
                <w:color w:val="auto"/>
                <w:w w:val="94"/>
                <w:vertAlign w:val="superscript"/>
              </w:rPr>
              <w:t>(2)</w:t>
            </w:r>
          </w:p>
        </w:tc>
        <w:tc>
          <w:tcPr>
            <w:tcW w:w="1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Repurchased</w:t>
            </w:r>
            <w:r>
              <w:rPr>
                <w:rFonts w:ascii="Arial" w:cs="Arial" w:eastAsia="Arial" w:hAnsi="Arial"/>
                <w:sz w:val="21"/>
                <w:szCs w:val="21"/>
                <w:b w:val="1"/>
                <w:bCs w:val="1"/>
                <w:color w:val="auto"/>
                <w:w w:val="97"/>
                <w:vertAlign w:val="superscript"/>
              </w:rPr>
              <w:t>(2)</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Authorized</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5660" w:type="dxa"/>
            <w:vAlign w:val="bottom"/>
            <w:gridSpan w:val="5"/>
          </w:tcPr>
          <w:p>
            <w:pPr>
              <w:jc w:val="right"/>
              <w:ind w:right="59"/>
              <w:spacing w:after="0"/>
              <w:rPr>
                <w:sz w:val="20"/>
                <w:szCs w:val="20"/>
                <w:color w:val="auto"/>
              </w:rPr>
            </w:pPr>
            <w:r>
              <w:rPr>
                <w:rFonts w:ascii="Arial" w:cs="Arial" w:eastAsia="Arial" w:hAnsi="Arial"/>
                <w:sz w:val="16"/>
                <w:szCs w:val="16"/>
                <w:color w:val="auto"/>
              </w:rPr>
              <w:t>(in US $ millions, except share and share price amounts)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660" w:type="dxa"/>
            <w:vAlign w:val="bottom"/>
            <w:shd w:val="clear" w:color="auto" w:fill="F7F7F7"/>
          </w:tcPr>
          <w:p>
            <w:pPr>
              <w:spacing w:after="0"/>
              <w:rPr>
                <w:sz w:val="18"/>
                <w:szCs w:val="18"/>
                <w:color w:val="auto"/>
              </w:rPr>
            </w:pPr>
          </w:p>
        </w:tc>
        <w:tc>
          <w:tcPr>
            <w:tcW w:w="220" w:type="dxa"/>
            <w:vAlign w:val="bottom"/>
            <w:shd w:val="clear" w:color="auto" w:fill="F7F7F7"/>
          </w:tcPr>
          <w:p>
            <w:pPr>
              <w:spacing w:after="0"/>
              <w:rPr>
                <w:sz w:val="18"/>
                <w:szCs w:val="18"/>
                <w:color w:val="auto"/>
              </w:rPr>
            </w:pPr>
          </w:p>
        </w:tc>
        <w:tc>
          <w:tcPr>
            <w:tcW w:w="1680" w:type="dxa"/>
            <w:vAlign w:val="bottom"/>
            <w:shd w:val="clear" w:color="auto" w:fill="F7F7F7"/>
          </w:tcPr>
          <w:p>
            <w:pPr>
              <w:spacing w:after="0"/>
              <w:rPr>
                <w:sz w:val="18"/>
                <w:szCs w:val="18"/>
                <w:color w:val="auto"/>
              </w:rPr>
            </w:pPr>
          </w:p>
        </w:tc>
        <w:tc>
          <w:tcPr>
            <w:tcW w:w="1660" w:type="dxa"/>
            <w:vAlign w:val="bottom"/>
            <w:shd w:val="clear" w:color="auto" w:fill="F7F7F7"/>
          </w:tcPr>
          <w:p>
            <w:pPr>
              <w:spacing w:after="0"/>
              <w:rPr>
                <w:sz w:val="18"/>
                <w:szCs w:val="18"/>
                <w:color w:val="auto"/>
              </w:rPr>
            </w:pPr>
          </w:p>
        </w:tc>
        <w:tc>
          <w:tcPr>
            <w:tcW w:w="44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40" w:type="dxa"/>
            <w:vAlign w:val="bottom"/>
          </w:tcPr>
          <w:p>
            <w:pPr>
              <w:ind w:left="240"/>
              <w:spacing w:after="0"/>
              <w:rPr>
                <w:sz w:val="20"/>
                <w:szCs w:val="20"/>
                <w:color w:val="auto"/>
              </w:rPr>
            </w:pPr>
            <w:r>
              <w:rPr>
                <w:rFonts w:ascii="Arial" w:cs="Arial" w:eastAsia="Arial" w:hAnsi="Arial"/>
                <w:sz w:val="16"/>
                <w:szCs w:val="16"/>
                <w:color w:val="auto"/>
              </w:rPr>
              <w:t>Authorization of share repurchases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63"/>
        </w:trPr>
        <w:tc>
          <w:tcPr>
            <w:tcW w:w="4140" w:type="dxa"/>
            <w:vAlign w:val="bottom"/>
            <w:shd w:val="clear" w:color="auto" w:fill="F7F7F7"/>
          </w:tcPr>
          <w:p>
            <w:pPr>
              <w:ind w:left="240"/>
              <w:spacing w:after="0" w:line="163" w:lineRule="exact"/>
              <w:rPr>
                <w:sz w:val="20"/>
                <w:szCs w:val="20"/>
                <w:color w:val="auto"/>
              </w:rPr>
            </w:pPr>
            <w:r>
              <w:rPr>
                <w:rFonts w:ascii="Arial" w:cs="Arial" w:eastAsia="Arial" w:hAnsi="Arial"/>
                <w:sz w:val="16"/>
                <w:szCs w:val="16"/>
                <w:color w:val="auto"/>
              </w:rPr>
              <w:t>Repurchase of shares of class A subordinate voting</w:t>
            </w:r>
          </w:p>
        </w:tc>
        <w:tc>
          <w:tcPr>
            <w:tcW w:w="1660" w:type="dxa"/>
            <w:vAlign w:val="bottom"/>
            <w:vMerge w:val="restart"/>
            <w:shd w:val="clear" w:color="auto" w:fill="F7F7F7"/>
          </w:tcPr>
          <w:p>
            <w:pPr>
              <w:jc w:val="right"/>
              <w:ind w:right="39"/>
              <w:spacing w:after="0"/>
              <w:rPr>
                <w:sz w:val="20"/>
                <w:szCs w:val="20"/>
                <w:color w:val="auto"/>
              </w:rPr>
            </w:pPr>
            <w:r>
              <w:rPr>
                <w:rFonts w:ascii="Arial" w:cs="Arial" w:eastAsia="Arial" w:hAnsi="Arial"/>
                <w:sz w:val="16"/>
                <w:szCs w:val="16"/>
                <w:color w:val="auto"/>
              </w:rPr>
              <w:t>4,214,019</w:t>
            </w:r>
          </w:p>
        </w:tc>
        <w:tc>
          <w:tcPr>
            <w:tcW w:w="22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680" w:type="dxa"/>
            <w:vAlign w:val="bottom"/>
            <w:vMerge w:val="restart"/>
            <w:shd w:val="clear" w:color="auto" w:fill="F7F7F7"/>
          </w:tcPr>
          <w:p>
            <w:pPr>
              <w:jc w:val="right"/>
              <w:ind w:right="139"/>
              <w:spacing w:after="0"/>
              <w:rPr>
                <w:sz w:val="20"/>
                <w:szCs w:val="20"/>
                <w:color w:val="auto"/>
              </w:rPr>
            </w:pPr>
            <w:r>
              <w:rPr>
                <w:rFonts w:ascii="Arial" w:cs="Arial" w:eastAsia="Arial" w:hAnsi="Arial"/>
                <w:sz w:val="16"/>
                <w:szCs w:val="16"/>
                <w:color w:val="auto"/>
              </w:rPr>
              <w:t>121.89</w:t>
            </w:r>
          </w:p>
        </w:tc>
        <w:tc>
          <w:tcPr>
            <w:tcW w:w="166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514</w:t>
            </w:r>
          </w:p>
        </w:tc>
        <w:tc>
          <w:tcPr>
            <w:tcW w:w="440" w:type="dxa"/>
            <w:vAlign w:val="bottom"/>
            <w:shd w:val="clear" w:color="auto" w:fill="F7F7F7"/>
          </w:tcPr>
          <w:p>
            <w:pPr>
              <w:spacing w:after="0"/>
              <w:rPr>
                <w:sz w:val="14"/>
                <w:szCs w:val="14"/>
                <w:color w:val="auto"/>
              </w:rPr>
            </w:pPr>
          </w:p>
        </w:tc>
        <w:tc>
          <w:tcPr>
            <w:tcW w:w="138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6"/>
        </w:trPr>
        <w:tc>
          <w:tcPr>
            <w:tcW w:w="41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shares</w:t>
            </w:r>
          </w:p>
        </w:tc>
        <w:tc>
          <w:tcPr>
            <w:tcW w:w="1660" w:type="dxa"/>
            <w:vAlign w:val="bottom"/>
            <w:vMerge w:val="continue"/>
            <w:shd w:val="clear" w:color="auto" w:fill="F7F7F7"/>
          </w:tcPr>
          <w:p>
            <w:pPr>
              <w:spacing w:after="0"/>
              <w:rPr>
                <w:sz w:val="18"/>
                <w:szCs w:val="18"/>
                <w:color w:val="auto"/>
              </w:rPr>
            </w:pPr>
          </w:p>
        </w:tc>
        <w:tc>
          <w:tcPr>
            <w:tcW w:w="220" w:type="dxa"/>
            <w:vAlign w:val="bottom"/>
            <w:vMerge w:val="continue"/>
            <w:shd w:val="clear" w:color="auto" w:fill="F7F7F7"/>
          </w:tcPr>
          <w:p>
            <w:pPr>
              <w:spacing w:after="0"/>
              <w:rPr>
                <w:sz w:val="18"/>
                <w:szCs w:val="18"/>
                <w:color w:val="auto"/>
              </w:rPr>
            </w:pPr>
          </w:p>
        </w:tc>
        <w:tc>
          <w:tcPr>
            <w:tcW w:w="1680" w:type="dxa"/>
            <w:vAlign w:val="bottom"/>
            <w:vMerge w:val="continue"/>
            <w:shd w:val="clear" w:color="auto" w:fill="F7F7F7"/>
          </w:tcPr>
          <w:p>
            <w:pPr>
              <w:spacing w:after="0"/>
              <w:rPr>
                <w:sz w:val="18"/>
                <w:szCs w:val="18"/>
                <w:color w:val="auto"/>
              </w:rPr>
            </w:pPr>
          </w:p>
        </w:tc>
        <w:tc>
          <w:tcPr>
            <w:tcW w:w="1660" w:type="dxa"/>
            <w:vAlign w:val="bottom"/>
            <w:vMerge w:val="continue"/>
            <w:shd w:val="clear" w:color="auto" w:fill="F7F7F7"/>
          </w:tcPr>
          <w:p>
            <w:pPr>
              <w:spacing w:after="0"/>
              <w:rPr>
                <w:sz w:val="18"/>
                <w:szCs w:val="18"/>
                <w:color w:val="auto"/>
              </w:rPr>
            </w:pPr>
          </w:p>
        </w:tc>
        <w:tc>
          <w:tcPr>
            <w:tcW w:w="440" w:type="dxa"/>
            <w:vAlign w:val="bottom"/>
            <w:tcBorders>
              <w:bottom w:val="single" w:sz="8" w:color="auto"/>
            </w:tcBorders>
            <w:shd w:val="clear" w:color="auto" w:fill="F7F7F7"/>
          </w:tcPr>
          <w:p>
            <w:pPr>
              <w:spacing w:after="0"/>
              <w:rPr>
                <w:sz w:val="18"/>
                <w:szCs w:val="18"/>
                <w:color w:val="auto"/>
              </w:rPr>
            </w:pPr>
          </w:p>
        </w:tc>
        <w:tc>
          <w:tcPr>
            <w:tcW w:w="138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These repurchased shares of Class A subordinate voting shares were recognized within "Common stock".</w:t>
      </w:r>
    </w:p>
    <w:p>
      <w:pPr>
        <w:spacing w:after="0" w:line="163"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Excludes immaterial broker commissions and excise tax accruals.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Changes in Accumulated Other Comprehensive (Loss) Income</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changes in accumulated other comprehensive (loss) income, which is reported as a component of shareholders’ equity:</w:t>
      </w:r>
    </w:p>
    <w:p>
      <w:pPr>
        <w:spacing w:after="0" w:line="171"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r>
      <w:tr>
        <w:trPr>
          <w:trHeight w:val="216"/>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w:t>
            </w:r>
          </w:p>
        </w:tc>
      </w:tr>
      <w:tr>
        <w:trPr>
          <w:trHeight w:val="89"/>
        </w:trPr>
        <w:tc>
          <w:tcPr>
            <w:tcW w:w="80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16"/>
        </w:trPr>
        <w:tc>
          <w:tcPr>
            <w:tcW w:w="9000" w:type="dxa"/>
            <w:vAlign w:val="bottom"/>
            <w:gridSpan w:val="2"/>
            <w:shd w:val="clear" w:color="auto" w:fill="F7F7F7"/>
          </w:tcPr>
          <w:p>
            <w:pPr>
              <w:ind w:left="220"/>
              <w:spacing w:after="0"/>
              <w:rPr>
                <w:sz w:val="20"/>
                <w:szCs w:val="20"/>
                <w:color w:val="auto"/>
              </w:rPr>
            </w:pPr>
            <w:r>
              <w:rPr>
                <w:rFonts w:ascii="Arial" w:cs="Arial" w:eastAsia="Arial" w:hAnsi="Arial"/>
                <w:sz w:val="16"/>
                <w:szCs w:val="16"/>
                <w:color w:val="auto"/>
              </w:rPr>
              <w:t>Other comprehensive loss before reclassifications</w:t>
            </w:r>
          </w:p>
        </w:tc>
        <w:tc>
          <w:tcPr>
            <w:tcW w:w="1280" w:type="dxa"/>
            <w:vAlign w:val="bottom"/>
            <w:shd w:val="clear" w:color="auto" w:fill="F7F7F7"/>
          </w:tcPr>
          <w:p>
            <w:pPr>
              <w:jc w:val="right"/>
              <w:ind w:right="679"/>
              <w:spacing w:after="0"/>
              <w:rPr>
                <w:sz w:val="20"/>
                <w:szCs w:val="20"/>
                <w:color w:val="auto"/>
              </w:rPr>
            </w:pPr>
            <w:r>
              <w:rPr>
                <w:rFonts w:ascii="Arial" w:cs="Arial" w:eastAsia="Arial" w:hAnsi="Arial"/>
                <w:sz w:val="16"/>
                <w:szCs w:val="16"/>
                <w:color w:val="auto"/>
              </w:rPr>
              <w:t>(6)</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000" w:type="dxa"/>
            <w:vAlign w:val="bottom"/>
            <w:gridSpan w:val="2"/>
          </w:tcPr>
          <w:p>
            <w:pPr>
              <w:ind w:left="220"/>
              <w:spacing w:after="0"/>
              <w:rPr>
                <w:sz w:val="20"/>
                <w:szCs w:val="20"/>
                <w:color w:val="auto"/>
              </w:rPr>
            </w:pPr>
            <w:r>
              <w:rPr>
                <w:rFonts w:ascii="Arial" w:cs="Arial" w:eastAsia="Arial" w:hAnsi="Arial"/>
                <w:sz w:val="16"/>
                <w:szCs w:val="16"/>
                <w:color w:val="auto"/>
              </w:rPr>
              <w:t>Gain on cash flow hedges reclassified from accumulated other comprehensive loss to earnings: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9000" w:type="dxa"/>
            <w:vAlign w:val="bottom"/>
            <w:gridSpan w:val="2"/>
            <w:shd w:val="clear" w:color="auto" w:fill="F7F7F7"/>
          </w:tcPr>
          <w:p>
            <w:pPr>
              <w:ind w:left="360"/>
              <w:spacing w:after="0"/>
              <w:rPr>
                <w:sz w:val="20"/>
                <w:szCs w:val="20"/>
                <w:color w:val="auto"/>
              </w:rPr>
            </w:pPr>
            <w:r>
              <w:rPr>
                <w:rFonts w:ascii="Arial" w:cs="Arial" w:eastAsia="Arial" w:hAnsi="Arial"/>
                <w:sz w:val="16"/>
                <w:szCs w:val="16"/>
                <w:color w:val="auto"/>
              </w:rPr>
              <w:t>Sales and marketing</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000" w:type="dxa"/>
            <w:vAlign w:val="bottom"/>
            <w:gridSpan w:val="2"/>
          </w:tcPr>
          <w:p>
            <w:pPr>
              <w:ind w:left="360"/>
              <w:spacing w:after="0"/>
              <w:rPr>
                <w:sz w:val="20"/>
                <w:szCs w:val="20"/>
                <w:color w:val="auto"/>
              </w:rPr>
            </w:pPr>
            <w:r>
              <w:rPr>
                <w:rFonts w:ascii="Arial" w:cs="Arial" w:eastAsia="Arial" w:hAnsi="Arial"/>
                <w:sz w:val="16"/>
                <w:szCs w:val="16"/>
                <w:color w:val="auto"/>
              </w:rPr>
              <w:t>Research and development</w:t>
            </w:r>
          </w:p>
        </w:tc>
        <w:tc>
          <w:tcPr>
            <w:tcW w:w="1280" w:type="dxa"/>
            <w:vAlign w:val="bottom"/>
          </w:tcPr>
          <w:p>
            <w:pPr>
              <w:jc w:val="right"/>
              <w:ind w:right="67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9000" w:type="dxa"/>
            <w:vAlign w:val="bottom"/>
            <w:gridSpan w:val="2"/>
            <w:shd w:val="clear" w:color="auto" w:fill="F7F7F7"/>
          </w:tcPr>
          <w:p>
            <w:pPr>
              <w:ind w:left="360"/>
              <w:spacing w:after="0"/>
              <w:rPr>
                <w:sz w:val="20"/>
                <w:szCs w:val="20"/>
                <w:color w:val="auto"/>
              </w:rPr>
            </w:pPr>
            <w:r>
              <w:rPr>
                <w:rFonts w:ascii="Arial" w:cs="Arial" w:eastAsia="Arial" w:hAnsi="Arial"/>
                <w:sz w:val="16"/>
                <w:szCs w:val="16"/>
                <w:color w:val="auto"/>
              </w:rPr>
              <w:t>General and administrative</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000" w:type="dxa"/>
            <w:vAlign w:val="bottom"/>
            <w:gridSpan w:val="2"/>
          </w:tcPr>
          <w:p>
            <w:pPr>
              <w:ind w:left="240"/>
              <w:spacing w:after="0"/>
              <w:rPr>
                <w:sz w:val="20"/>
                <w:szCs w:val="20"/>
                <w:color w:val="auto"/>
              </w:rPr>
            </w:pPr>
            <w:r>
              <w:rPr>
                <w:rFonts w:ascii="Arial" w:cs="Arial" w:eastAsia="Arial" w:hAnsi="Arial"/>
                <w:sz w:val="16"/>
                <w:szCs w:val="16"/>
                <w:color w:val="auto"/>
              </w:rPr>
              <w:t>Tax effect on unrealized (loss) on cash flow hedges</w:t>
            </w:r>
          </w:p>
        </w:tc>
        <w:tc>
          <w:tcPr>
            <w:tcW w:w="1280" w:type="dxa"/>
            <w:vAlign w:val="bottom"/>
          </w:tcPr>
          <w:p>
            <w:pPr>
              <w:jc w:val="right"/>
              <w:ind w:right="73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20" w:type="dxa"/>
            <w:vAlign w:val="bottom"/>
            <w:tcBorders>
              <w:top w:val="single" w:sz="8" w:color="F7F7F7"/>
            </w:tcBorders>
            <w:shd w:val="clear" w:color="auto" w:fill="F7F7F7"/>
          </w:tcPr>
          <w:p>
            <w:pPr>
              <w:ind w:left="140"/>
              <w:spacing w:after="0"/>
              <w:rPr>
                <w:sz w:val="20"/>
                <w:szCs w:val="20"/>
                <w:color w:val="auto"/>
              </w:rPr>
            </w:pPr>
            <w:r>
              <w:rPr>
                <w:rFonts w:ascii="Arial" w:cs="Arial" w:eastAsia="Arial" w:hAnsi="Arial"/>
                <w:sz w:val="16"/>
                <w:szCs w:val="16"/>
                <w:color w:val="auto"/>
              </w:rPr>
              <w:t>Other comprehensive (loss) income, net of tax</w:t>
            </w:r>
          </w:p>
        </w:tc>
        <w:tc>
          <w:tcPr>
            <w:tcW w:w="980" w:type="dxa"/>
            <w:vAlign w:val="bottom"/>
            <w:tcBorders>
              <w:top w:val="single" w:sz="8" w:color="auto"/>
              <w:bottom w:val="single" w:sz="8" w:color="auto"/>
            </w:tcBorders>
            <w:shd w:val="clear" w:color="auto" w:fill="F7F7F7"/>
          </w:tcPr>
          <w:p>
            <w:pPr>
              <w:spacing w:after="0"/>
              <w:rPr>
                <w:sz w:val="18"/>
                <w:szCs w:val="18"/>
                <w:color w:val="auto"/>
              </w:rPr>
            </w:pPr>
          </w:p>
        </w:tc>
        <w:tc>
          <w:tcPr>
            <w:tcW w:w="1280" w:type="dxa"/>
            <w:vAlign w:val="bottom"/>
            <w:tcBorders>
              <w:top w:val="single" w:sz="8" w:color="auto"/>
              <w:bottom w:val="single" w:sz="8" w:color="auto"/>
            </w:tcBorders>
            <w:shd w:val="clear" w:color="auto" w:fill="F7F7F7"/>
          </w:tcPr>
          <w:p>
            <w:pPr>
              <w:jc w:val="right"/>
              <w:ind w:right="679"/>
              <w:spacing w:after="0"/>
              <w:rPr>
                <w:sz w:val="20"/>
                <w:szCs w:val="20"/>
                <w:color w:val="auto"/>
              </w:rPr>
            </w:pPr>
            <w:r>
              <w:rPr>
                <w:rFonts w:ascii="Arial" w:cs="Arial" w:eastAsia="Arial" w:hAnsi="Arial"/>
                <w:sz w:val="16"/>
                <w:szCs w:val="16"/>
                <w:color w:val="auto"/>
              </w:rPr>
              <w:t>(5)</w:t>
            </w:r>
          </w:p>
        </w:tc>
        <w:tc>
          <w:tcPr>
            <w:tcW w:w="960" w:type="dxa"/>
            <w:vAlign w:val="bottom"/>
            <w:tcBorders>
              <w:top w:val="single" w:sz="8" w:color="auto"/>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802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980" w:type="dxa"/>
            <w:vAlign w:val="bottom"/>
          </w:tcPr>
          <w:p>
            <w:pPr>
              <w:spacing w:after="0"/>
              <w:rPr>
                <w:sz w:val="18"/>
                <w:szCs w:val="18"/>
                <w:color w:val="auto"/>
              </w:rPr>
            </w:pPr>
          </w:p>
        </w:tc>
        <w:tc>
          <w:tcPr>
            <w:tcW w:w="1280" w:type="dxa"/>
            <w:vAlign w:val="bottom"/>
          </w:tcPr>
          <w:p>
            <w:pPr>
              <w:jc w:val="right"/>
              <w:ind w:right="679"/>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provision for income taxes is determined by applying the estimated annual effective tax rate to income or loss from recurring operations and adjusting for the effects of any discrete income tax items specific to the period.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updates its estimate of the annual effective tax rate each quarter and makes cumulative adjustments if its estimated annual tax rate is expected to change. The Company’s effective tax rate may be subject to fluctuation during the year as new information is obtained, which may affect the assumptions used to estimate the annual effective tax rate, including factors such as the mix of forecasted pre-tax earnings in the various jurisdictions in which the Company operates, any valuation allowance against deferred tax assets, the recognition and derecognition of tax benefits related to uncertain tax positions and changes in or the interpretation of tax laws in jurisdictions where the Company conducts business.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recognized a recovery of income taxes of $53 million and $88 million in the three months ended March 31, 2026 and 2025, respectively, as a result of net unrealized loss on equity and other investments, partially offset by provision for income taxes related to income from operations.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be subject to review and audit by tax authorities around the world, which may lead to adjustments to our tax liabilities. In 2025, we received a proposed assessment from the Canada Revenue Agency ("CRA") related to our transfer pricing for tax year 2020. We disagree with the proposed assessment and intend to defend our position.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we believe that our tax position is appropriate, the final determination and timing of resolution of the above matter, and any other tax audits or litigation cannot be predicted with certainty. We continue to monitor the progress of tax audits with tax authorities. Adjustments arising from tax audits or litigation will be recorded in the period in which such matters are resolved.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applies the two-class method to calculate its basic and diluted net loss per share as Class A subordinate voting shares and Class B restricted voting shares are participating securities with equal participation rights and are entitled to receive dividends on a share for share basis. The Company uses the treasury stock method for calculating the effect of dilutive potential common stock from employee stock options and employee RSUs.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reconciliation of the basic weighted average number of shares outstanding and the diluted weighted average number of shares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56"/>
        </w:trPr>
        <w:tc>
          <w:tcPr>
            <w:tcW w:w="8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gridSpan w:val="3"/>
          </w:tcPr>
          <w:p>
            <w:pPr>
              <w:jc w:val="center"/>
              <w:ind w:right="79"/>
              <w:spacing w:after="0" w:line="155" w:lineRule="exact"/>
              <w:rPr>
                <w:sz w:val="20"/>
                <w:szCs w:val="20"/>
                <w:color w:val="auto"/>
              </w:rPr>
            </w:pPr>
            <w:r>
              <w:rPr>
                <w:rFonts w:ascii="Arial" w:cs="Arial" w:eastAsia="Arial" w:hAnsi="Arial"/>
                <w:sz w:val="16"/>
                <w:szCs w:val="16"/>
                <w:color w:val="auto"/>
              </w:rPr>
              <w:t>(in US $ millions, except share and per</w:t>
            </w:r>
          </w:p>
        </w:tc>
      </w:tr>
      <w:tr>
        <w:trPr>
          <w:trHeight w:val="215"/>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left="819"/>
              <w:spacing w:after="0"/>
              <w:rPr>
                <w:sz w:val="20"/>
                <w:szCs w:val="20"/>
                <w:color w:val="auto"/>
              </w:rPr>
            </w:pPr>
            <w:r>
              <w:rPr>
                <w:rFonts w:ascii="Arial" w:cs="Arial" w:eastAsia="Arial" w:hAnsi="Arial"/>
                <w:sz w:val="16"/>
                <w:szCs w:val="16"/>
                <w:color w:val="auto"/>
              </w:rPr>
              <w:t>share amounts)</w:t>
            </w:r>
          </w:p>
        </w:tc>
        <w:tc>
          <w:tcPr>
            <w:tcW w:w="1060" w:type="dxa"/>
            <w:vAlign w:val="bottom"/>
          </w:tcPr>
          <w:p>
            <w:pPr>
              <w:spacing w:after="0"/>
              <w:rPr>
                <w:sz w:val="18"/>
                <w:szCs w:val="18"/>
                <w:color w:val="auto"/>
              </w:rPr>
            </w:pPr>
          </w:p>
        </w:tc>
      </w:tr>
      <w:tr>
        <w:trPr>
          <w:trHeight w:val="217"/>
        </w:trPr>
        <w:tc>
          <w:tcPr>
            <w:tcW w:w="800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spacing w:after="0"/>
              <w:rPr>
                <w:sz w:val="18"/>
                <w:szCs w:val="18"/>
                <w:color w:val="auto"/>
              </w:rPr>
            </w:pP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spacing w:after="0"/>
              <w:rPr>
                <w:sz w:val="18"/>
                <w:szCs w:val="18"/>
                <w:color w:val="auto"/>
              </w:rPr>
            </w:pPr>
          </w:p>
        </w:tc>
      </w:tr>
      <w:tr>
        <w:trPr>
          <w:trHeight w:val="215"/>
        </w:trPr>
        <w:tc>
          <w:tcPr>
            <w:tcW w:w="8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271"/>
        </w:trPr>
        <w:tc>
          <w:tcPr>
            <w:tcW w:w="8000" w:type="dxa"/>
            <w:vAlign w:val="bottom"/>
            <w:shd w:val="clear" w:color="auto" w:fill="F7F7F7"/>
          </w:tcPr>
          <w:p>
            <w:pPr>
              <w:spacing w:after="0"/>
              <w:rPr>
                <w:sz w:val="23"/>
                <w:szCs w:val="23"/>
                <w:color w:val="auto"/>
              </w:rPr>
            </w:pPr>
          </w:p>
        </w:tc>
        <w:tc>
          <w:tcPr>
            <w:tcW w:w="160" w:type="dxa"/>
            <w:vAlign w:val="bottom"/>
            <w:shd w:val="clear" w:color="auto" w:fill="F7F7F7"/>
          </w:tcPr>
          <w:p>
            <w:pPr>
              <w:spacing w:after="0"/>
              <w:rPr>
                <w:sz w:val="23"/>
                <w:szCs w:val="23"/>
                <w:color w:val="auto"/>
              </w:rPr>
            </w:pPr>
          </w:p>
        </w:tc>
        <w:tc>
          <w:tcPr>
            <w:tcW w:w="1460" w:type="dxa"/>
            <w:vAlign w:val="bottom"/>
            <w:shd w:val="clear" w:color="auto" w:fill="F7F7F7"/>
          </w:tcPr>
          <w:p>
            <w:pPr>
              <w:spacing w:after="0"/>
              <w:rPr>
                <w:sz w:val="23"/>
                <w:szCs w:val="23"/>
                <w:color w:val="auto"/>
              </w:rPr>
            </w:pPr>
          </w:p>
        </w:tc>
        <w:tc>
          <w:tcPr>
            <w:tcW w:w="560" w:type="dxa"/>
            <w:vAlign w:val="bottom"/>
            <w:shd w:val="clear" w:color="auto" w:fill="F7F7F7"/>
          </w:tcPr>
          <w:p>
            <w:pPr>
              <w:spacing w:after="0"/>
              <w:rPr>
                <w:sz w:val="23"/>
                <w:szCs w:val="23"/>
                <w:color w:val="auto"/>
              </w:rPr>
            </w:pPr>
          </w:p>
        </w:tc>
        <w:tc>
          <w:tcPr>
            <w:tcW w:w="1060" w:type="dxa"/>
            <w:vAlign w:val="bottom"/>
            <w:shd w:val="clear" w:color="auto" w:fill="F7F7F7"/>
          </w:tcPr>
          <w:p>
            <w:pPr>
              <w:spacing w:after="0"/>
              <w:rPr>
                <w:sz w:val="23"/>
                <w:szCs w:val="23"/>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1,303,357,874</w:t>
            </w: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w w:val="99"/>
              </w:rPr>
              <w:t>1,295,377,376</w:t>
            </w:r>
          </w:p>
        </w:tc>
      </w:tr>
      <w:tr>
        <w:trPr>
          <w:trHeight w:val="215"/>
        </w:trPr>
        <w:tc>
          <w:tcPr>
            <w:tcW w:w="8000" w:type="dxa"/>
            <w:vAlign w:val="bottom"/>
          </w:tcPr>
          <w:p>
            <w:pPr>
              <w:ind w:left="260"/>
              <w:spacing w:after="0"/>
              <w:rPr>
                <w:sz w:val="20"/>
                <w:szCs w:val="20"/>
                <w:color w:val="auto"/>
              </w:rPr>
            </w:pPr>
            <w:r>
              <w:rPr>
                <w:rFonts w:ascii="Arial" w:cs="Arial" w:eastAsia="Arial" w:hAnsi="Arial"/>
                <w:sz w:val="16"/>
                <w:szCs w:val="16"/>
                <w:color w:val="auto"/>
              </w:rPr>
              <w:t>Weighted average effect of dilutive securities: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000" w:type="dxa"/>
            <w:vAlign w:val="bottom"/>
            <w:shd w:val="clear" w:color="auto" w:fill="F7F7F7"/>
          </w:tcPr>
          <w:p>
            <w:pPr>
              <w:ind w:left="480"/>
              <w:spacing w:after="0"/>
              <w:rPr>
                <w:sz w:val="20"/>
                <w:szCs w:val="20"/>
                <w:color w:val="auto"/>
              </w:rPr>
            </w:pPr>
            <w:r>
              <w:rPr>
                <w:rFonts w:ascii="Arial" w:cs="Arial" w:eastAsia="Arial" w:hAnsi="Arial"/>
                <w:sz w:val="16"/>
                <w:szCs w:val="16"/>
                <w:color w:val="auto"/>
              </w:rPr>
              <w:t>Stock options</w:t>
            </w: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480"/>
              <w:spacing w:after="0"/>
              <w:rPr>
                <w:sz w:val="20"/>
                <w:szCs w:val="20"/>
                <w:color w:val="auto"/>
              </w:rPr>
            </w:pPr>
            <w:r>
              <w:rPr>
                <w:rFonts w:ascii="Arial" w:cs="Arial" w:eastAsia="Arial" w:hAnsi="Arial"/>
                <w:sz w:val="16"/>
                <w:szCs w:val="16"/>
                <w:color w:val="auto"/>
              </w:rPr>
              <w:t>Restricted share units</w:t>
            </w:r>
          </w:p>
        </w:tc>
        <w:tc>
          <w:tcPr>
            <w:tcW w:w="16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F7F7F7"/>
          </w:tcPr>
          <w:p>
            <w:pPr>
              <w:ind w:left="480"/>
              <w:spacing w:after="0"/>
              <w:rPr>
                <w:sz w:val="20"/>
                <w:szCs w:val="20"/>
                <w:color w:val="auto"/>
              </w:rPr>
            </w:pPr>
            <w:r>
              <w:rPr>
                <w:rFonts w:ascii="Arial" w:cs="Arial" w:eastAsia="Arial" w:hAnsi="Arial"/>
                <w:sz w:val="16"/>
                <w:szCs w:val="16"/>
                <w:color w:val="auto"/>
              </w:rPr>
              <w:t>Deferred share units</w:t>
            </w:r>
          </w:p>
        </w:tc>
        <w:tc>
          <w:tcPr>
            <w:tcW w:w="160" w:type="dxa"/>
            <w:vAlign w:val="bottom"/>
            <w:tcBorders>
              <w:bottom w:val="single" w:sz="8" w:color="auto"/>
            </w:tcBorders>
            <w:shd w:val="clear" w:color="auto" w:fill="F7F7F7"/>
          </w:tcPr>
          <w:p>
            <w:pPr>
              <w:spacing w:after="0"/>
              <w:rPr>
                <w:sz w:val="18"/>
                <w:szCs w:val="18"/>
                <w:color w:val="auto"/>
              </w:rPr>
            </w:pPr>
          </w:p>
        </w:tc>
        <w:tc>
          <w:tcPr>
            <w:tcW w:w="146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F7F7F7"/>
          </w:tcPr>
          <w:p>
            <w:pPr>
              <w:spacing w:after="0"/>
              <w:rPr>
                <w:sz w:val="18"/>
                <w:szCs w:val="18"/>
                <w:color w:val="auto"/>
              </w:rPr>
            </w:pPr>
          </w:p>
        </w:tc>
        <w:tc>
          <w:tcPr>
            <w:tcW w:w="10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Diluted weighted average number of shares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1,303,357,874</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1,295,377,376</w:t>
            </w:r>
          </w:p>
        </w:tc>
      </w:tr>
      <w:tr>
        <w:trPr>
          <w:trHeight w:val="251"/>
        </w:trPr>
        <w:tc>
          <w:tcPr>
            <w:tcW w:w="8000" w:type="dxa"/>
            <w:vAlign w:val="bottom"/>
            <w:shd w:val="clear" w:color="auto" w:fill="F7F7F7"/>
          </w:tcPr>
          <w:p>
            <w:pPr>
              <w:spacing w:after="0"/>
              <w:rPr>
                <w:sz w:val="21"/>
                <w:szCs w:val="21"/>
                <w:color w:val="auto"/>
              </w:rPr>
            </w:pPr>
          </w:p>
        </w:tc>
        <w:tc>
          <w:tcPr>
            <w:tcW w:w="160" w:type="dxa"/>
            <w:vAlign w:val="bottom"/>
            <w:shd w:val="clear" w:color="auto" w:fill="F7F7F7"/>
          </w:tcPr>
          <w:p>
            <w:pPr>
              <w:spacing w:after="0"/>
              <w:rPr>
                <w:sz w:val="21"/>
                <w:szCs w:val="21"/>
                <w:color w:val="auto"/>
              </w:rPr>
            </w:pPr>
          </w:p>
        </w:tc>
        <w:tc>
          <w:tcPr>
            <w:tcW w:w="1460" w:type="dxa"/>
            <w:vAlign w:val="bottom"/>
            <w:shd w:val="clear" w:color="auto" w:fill="F7F7F7"/>
          </w:tcPr>
          <w:p>
            <w:pPr>
              <w:spacing w:after="0"/>
              <w:rPr>
                <w:sz w:val="21"/>
                <w:szCs w:val="21"/>
                <w:color w:val="auto"/>
              </w:rPr>
            </w:pPr>
          </w:p>
        </w:tc>
        <w:tc>
          <w:tcPr>
            <w:tcW w:w="560" w:type="dxa"/>
            <w:vAlign w:val="bottom"/>
            <w:shd w:val="clear" w:color="auto" w:fill="F7F7F7"/>
          </w:tcPr>
          <w:p>
            <w:pPr>
              <w:spacing w:after="0"/>
              <w:rPr>
                <w:sz w:val="21"/>
                <w:szCs w:val="21"/>
                <w:color w:val="auto"/>
              </w:rPr>
            </w:pPr>
          </w:p>
        </w:tc>
        <w:tc>
          <w:tcPr>
            <w:tcW w:w="1060" w:type="dxa"/>
            <w:vAlign w:val="bottom"/>
            <w:shd w:val="clear" w:color="auto" w:fill="F7F7F7"/>
          </w:tcPr>
          <w:p>
            <w:pPr>
              <w:spacing w:after="0"/>
              <w:rPr>
                <w:sz w:val="21"/>
                <w:szCs w:val="2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loss per share:</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F7F7F7"/>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(0.45)</w:t>
            </w:r>
          </w:p>
        </w:tc>
        <w:tc>
          <w:tcPr>
            <w:tcW w:w="560" w:type="dxa"/>
            <w:vAlign w:val="bottom"/>
            <w:shd w:val="clear" w:color="auto" w:fill="F7F7F7"/>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(0.53)</w:t>
            </w:r>
          </w:p>
        </w:tc>
      </w:tr>
      <w:tr>
        <w:trPr>
          <w:trHeight w:val="215"/>
        </w:trPr>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(0.45)</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r>
      <w:tr>
        <w:trPr>
          <w:trHeight w:val="251"/>
        </w:trPr>
        <w:tc>
          <w:tcPr>
            <w:tcW w:w="8000" w:type="dxa"/>
            <w:vAlign w:val="bottom"/>
            <w:shd w:val="clear" w:color="auto" w:fill="F7F7F7"/>
          </w:tcPr>
          <w:p>
            <w:pPr>
              <w:spacing w:after="0"/>
              <w:rPr>
                <w:sz w:val="21"/>
                <w:szCs w:val="21"/>
                <w:color w:val="auto"/>
              </w:rPr>
            </w:pPr>
          </w:p>
        </w:tc>
        <w:tc>
          <w:tcPr>
            <w:tcW w:w="160" w:type="dxa"/>
            <w:vAlign w:val="bottom"/>
            <w:shd w:val="clear" w:color="auto" w:fill="F7F7F7"/>
          </w:tcPr>
          <w:p>
            <w:pPr>
              <w:spacing w:after="0"/>
              <w:rPr>
                <w:sz w:val="21"/>
                <w:szCs w:val="21"/>
                <w:color w:val="auto"/>
              </w:rPr>
            </w:pPr>
          </w:p>
        </w:tc>
        <w:tc>
          <w:tcPr>
            <w:tcW w:w="1460" w:type="dxa"/>
            <w:vAlign w:val="bottom"/>
            <w:shd w:val="clear" w:color="auto" w:fill="F7F7F7"/>
          </w:tcPr>
          <w:p>
            <w:pPr>
              <w:spacing w:after="0"/>
              <w:rPr>
                <w:sz w:val="21"/>
                <w:szCs w:val="21"/>
                <w:color w:val="auto"/>
              </w:rPr>
            </w:pPr>
          </w:p>
        </w:tc>
        <w:tc>
          <w:tcPr>
            <w:tcW w:w="560" w:type="dxa"/>
            <w:vAlign w:val="bottom"/>
            <w:shd w:val="clear" w:color="auto" w:fill="F7F7F7"/>
          </w:tcPr>
          <w:p>
            <w:pPr>
              <w:spacing w:after="0"/>
              <w:rPr>
                <w:sz w:val="21"/>
                <w:szCs w:val="21"/>
                <w:color w:val="auto"/>
              </w:rPr>
            </w:pPr>
          </w:p>
        </w:tc>
        <w:tc>
          <w:tcPr>
            <w:tcW w:w="1060" w:type="dxa"/>
            <w:vAlign w:val="bottom"/>
            <w:shd w:val="clear" w:color="auto" w:fill="F7F7F7"/>
          </w:tcPr>
          <w:p>
            <w:pPr>
              <w:spacing w:after="0"/>
              <w:rPr>
                <w:sz w:val="21"/>
                <w:szCs w:val="21"/>
                <w:color w:val="auto"/>
              </w:rPr>
            </w:pPr>
          </w:p>
        </w:tc>
      </w:tr>
      <w:tr>
        <w:trPr>
          <w:trHeight w:val="216"/>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Common stock equivalents excluded from net loss per diluted share because they are anti-dilutive:</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Stock options</w:t>
            </w: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12,211,409</w:t>
            </w: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14,767,620</w:t>
            </w:r>
          </w:p>
        </w:tc>
      </w:tr>
      <w:tr>
        <w:trPr>
          <w:trHeight w:val="215"/>
        </w:trPr>
        <w:tc>
          <w:tcPr>
            <w:tcW w:w="8000" w:type="dxa"/>
            <w:vAlign w:val="bottom"/>
          </w:tcPr>
          <w:p>
            <w:pPr>
              <w:ind w:left="260"/>
              <w:spacing w:after="0"/>
              <w:rPr>
                <w:sz w:val="20"/>
                <w:szCs w:val="20"/>
                <w:color w:val="auto"/>
              </w:rPr>
            </w:pPr>
            <w:r>
              <w:rPr>
                <w:rFonts w:ascii="Arial" w:cs="Arial" w:eastAsia="Arial" w:hAnsi="Arial"/>
                <w:sz w:val="16"/>
                <w:szCs w:val="16"/>
                <w:color w:val="auto"/>
              </w:rPr>
              <w:t>Restricted share units</w:t>
            </w:r>
          </w:p>
        </w:tc>
        <w:tc>
          <w:tcPr>
            <w:tcW w:w="160" w:type="dxa"/>
            <w:vAlign w:val="bottom"/>
          </w:tcPr>
          <w:p>
            <w:pPr>
              <w:spacing w:after="0"/>
              <w:rPr>
                <w:sz w:val="18"/>
                <w:szCs w:val="18"/>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4,058,554</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5,300,232</w:t>
            </w:r>
          </w:p>
        </w:tc>
      </w:tr>
      <w:tr>
        <w:trPr>
          <w:trHeight w:val="217"/>
        </w:trPr>
        <w:tc>
          <w:tcPr>
            <w:tcW w:w="8000" w:type="dxa"/>
            <w:vAlign w:val="bottom"/>
            <w:shd w:val="clear" w:color="auto" w:fill="F7F7F7"/>
          </w:tcPr>
          <w:p>
            <w:pPr>
              <w:ind w:left="260"/>
              <w:spacing w:after="0" w:line="217" w:lineRule="exact"/>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(1)</w:t>
            </w: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w:t>
            </w: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6,388,480</w:t>
            </w:r>
          </w:p>
        </w:tc>
      </w:tr>
      <w:tr>
        <w:trPr>
          <w:trHeight w:val="215"/>
        </w:trPr>
        <w:tc>
          <w:tcPr>
            <w:tcW w:w="8000" w:type="dxa"/>
            <w:vAlign w:val="bottom"/>
            <w:tcBorders>
              <w:bottom w:val="single" w:sz="8" w:color="F7F7F7"/>
            </w:tcBorders>
          </w:tcPr>
          <w:p>
            <w:pPr>
              <w:ind w:left="260"/>
              <w:spacing w:after="0"/>
              <w:rPr>
                <w:sz w:val="20"/>
                <w:szCs w:val="20"/>
                <w:color w:val="auto"/>
              </w:rPr>
            </w:pPr>
            <w:r>
              <w:rPr>
                <w:rFonts w:ascii="Arial" w:cs="Arial" w:eastAsia="Arial" w:hAnsi="Arial"/>
                <w:sz w:val="16"/>
                <w:szCs w:val="16"/>
                <w:color w:val="auto"/>
              </w:rPr>
              <w:t>Deferred share units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5,657</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15,488</w:t>
            </w:r>
          </w:p>
        </w:tc>
      </w:tr>
      <w:tr>
        <w:trPr>
          <w:trHeight w:val="210"/>
        </w:trPr>
        <w:tc>
          <w:tcPr>
            <w:tcW w:w="8000" w:type="dxa"/>
            <w:vAlign w:val="bottom"/>
            <w:shd w:val="clear" w:color="auto" w:fill="F7F7F7"/>
          </w:tcPr>
          <w:p>
            <w:pPr>
              <w:spacing w:after="0"/>
              <w:rPr>
                <w:sz w:val="18"/>
                <w:szCs w:val="18"/>
                <w:color w:val="auto"/>
              </w:rPr>
            </w:pPr>
          </w:p>
        </w:tc>
        <w:tc>
          <w:tcPr>
            <w:tcW w:w="160" w:type="dxa"/>
            <w:vAlign w:val="bottom"/>
            <w:shd w:val="clear" w:color="auto" w:fill="F7F7F7"/>
          </w:tcPr>
          <w:p>
            <w:pPr>
              <w:spacing w:after="0"/>
              <w:rPr>
                <w:sz w:val="18"/>
                <w:szCs w:val="18"/>
                <w:color w:val="auto"/>
              </w:rPr>
            </w:pPr>
          </w:p>
        </w:tc>
        <w:tc>
          <w:tcPr>
            <w:tcW w:w="146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16,275,620</w:t>
            </w:r>
          </w:p>
        </w:tc>
        <w:tc>
          <w:tcPr>
            <w:tcW w:w="560" w:type="dxa"/>
            <w:vAlign w:val="bottom"/>
            <w:shd w:val="clear" w:color="auto" w:fill="F7F7F7"/>
          </w:tcPr>
          <w:p>
            <w:pPr>
              <w:spacing w:after="0"/>
              <w:rPr>
                <w:sz w:val="18"/>
                <w:szCs w:val="18"/>
                <w:color w:val="auto"/>
              </w:rPr>
            </w:pPr>
          </w:p>
        </w:tc>
        <w:tc>
          <w:tcPr>
            <w:tcW w:w="10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26,471,820</w:t>
            </w:r>
          </w:p>
        </w:tc>
      </w:tr>
    </w:tbl>
    <w:p>
      <w:pPr>
        <w:spacing w:after="0" w:line="261" w:lineRule="exact"/>
        <w:rPr>
          <w:sz w:val="20"/>
          <w:szCs w:val="20"/>
          <w:color w:val="auto"/>
        </w:rPr>
      </w:pPr>
    </w:p>
    <w:p>
      <w:pPr>
        <w:ind w:firstLine="8"/>
        <w:spacing w:after="0" w:line="316"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 the third quarter of 2020, the Company issued $920 million aggregate principal amount of 0.125% convertible senior notes. The convertible senior notes were settled in the fourth quarter of 2025 with no further dilutive effect on securities thereafter.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Geographical Information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CODM has determined that the Company operates in one single operating and reportable segment and manages segment performance and resource allocation based upon consolidated net income (loss). The CODM uses consolidated net income (loss) in deciding whether to reinvest profits into opportunities for the business, invest in business combinations or equity investments or return a portion of such profits to shareholders. The measure of segment assets is reported on the condensed consolidated balance sheets as total consolidated assets. Significant expenses reviewed by the CODM include those that are presented in the Condensed Consolidated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external revenues by geographic location, based on the location of the Company’s merchants: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41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09"/>
        </w:trPr>
        <w:tc>
          <w:tcPr>
            <w:tcW w:w="6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2026</w:t>
            </w:r>
          </w:p>
        </w:tc>
        <w:tc>
          <w:tcPr>
            <w:tcW w:w="1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09"/>
        </w:trPr>
        <w:tc>
          <w:tcPr>
            <w:tcW w:w="6400" w:type="dxa"/>
            <w:vAlign w:val="bottom"/>
          </w:tcPr>
          <w:p>
            <w:pPr>
              <w:spacing w:after="0"/>
              <w:rPr>
                <w:sz w:val="18"/>
                <w:szCs w:val="18"/>
                <w:color w:val="auto"/>
              </w:rPr>
            </w:pPr>
          </w:p>
        </w:tc>
        <w:tc>
          <w:tcPr>
            <w:tcW w:w="4120" w:type="dxa"/>
            <w:vAlign w:val="bottom"/>
            <w:gridSpan w:val="3"/>
          </w:tcPr>
          <w:p>
            <w:pPr>
              <w:jc w:val="right"/>
              <w:ind w:right="259"/>
              <w:spacing w:after="0"/>
              <w:rPr>
                <w:sz w:val="20"/>
                <w:szCs w:val="20"/>
                <w:color w:val="auto"/>
              </w:rPr>
            </w:pPr>
            <w:r>
              <w:rPr>
                <w:rFonts w:ascii="Arial" w:cs="Arial" w:eastAsia="Arial" w:hAnsi="Arial"/>
                <w:sz w:val="16"/>
                <w:szCs w:val="16"/>
                <w:color w:val="auto"/>
              </w:rPr>
              <w:t>(in US $ millions, except percentages)</w:t>
            </w:r>
          </w:p>
        </w:tc>
        <w:tc>
          <w:tcPr>
            <w:tcW w:w="720" w:type="dxa"/>
            <w:vAlign w:val="bottom"/>
          </w:tcPr>
          <w:p>
            <w:pPr>
              <w:spacing w:after="0"/>
              <w:rPr>
                <w:sz w:val="18"/>
                <w:szCs w:val="18"/>
                <w:color w:val="auto"/>
              </w:rPr>
            </w:pPr>
          </w:p>
        </w:tc>
      </w:tr>
      <w:tr>
        <w:trPr>
          <w:trHeight w:val="217"/>
        </w:trPr>
        <w:tc>
          <w:tcPr>
            <w:tcW w:w="64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North America</w:t>
            </w:r>
          </w:p>
        </w:tc>
        <w:tc>
          <w:tcPr>
            <w:tcW w:w="1600" w:type="dxa"/>
            <w:vAlign w:val="bottom"/>
            <w:shd w:val="clear" w:color="auto" w:fill="F7F7F7"/>
          </w:tcPr>
          <w:p>
            <w:pPr>
              <w:spacing w:after="0"/>
              <w:rPr>
                <w:sz w:val="18"/>
                <w:szCs w:val="18"/>
                <w:color w:val="auto"/>
              </w:rPr>
            </w:pPr>
          </w:p>
        </w:tc>
        <w:tc>
          <w:tcPr>
            <w:tcW w:w="1100" w:type="dxa"/>
            <w:vAlign w:val="bottom"/>
            <w:shd w:val="clear" w:color="auto" w:fill="F7F7F7"/>
          </w:tcPr>
          <w:p>
            <w:pPr>
              <w:spacing w:after="0"/>
              <w:rPr>
                <w:sz w:val="18"/>
                <w:szCs w:val="18"/>
                <w:color w:val="auto"/>
              </w:rPr>
            </w:pPr>
          </w:p>
        </w:tc>
        <w:tc>
          <w:tcPr>
            <w:tcW w:w="1420" w:type="dxa"/>
            <w:vAlign w:val="bottom"/>
            <w:shd w:val="clear" w:color="auto" w:fill="F7F7F7"/>
          </w:tcPr>
          <w:p>
            <w:pPr>
              <w:spacing w:after="0"/>
              <w:rPr>
                <w:sz w:val="18"/>
                <w:szCs w:val="18"/>
                <w:color w:val="auto"/>
              </w:rPr>
            </w:pPr>
          </w:p>
        </w:tc>
        <w:tc>
          <w:tcPr>
            <w:tcW w:w="720" w:type="dxa"/>
            <w:vAlign w:val="bottom"/>
            <w:shd w:val="clear" w:color="auto" w:fill="F7F7F7"/>
          </w:tcPr>
          <w:p>
            <w:pPr>
              <w:spacing w:after="0"/>
              <w:rPr>
                <w:sz w:val="18"/>
                <w:szCs w:val="18"/>
                <w:color w:val="auto"/>
              </w:rPr>
            </w:pPr>
          </w:p>
        </w:tc>
      </w:tr>
      <w:tr>
        <w:trPr>
          <w:trHeight w:val="215"/>
        </w:trPr>
        <w:tc>
          <w:tcPr>
            <w:tcW w:w="640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2,001</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63 %</w:t>
            </w: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1,499</w:t>
            </w:r>
          </w:p>
        </w:tc>
        <w:tc>
          <w:tcPr>
            <w:tcW w:w="72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7"/>
        </w:trPr>
        <w:tc>
          <w:tcPr>
            <w:tcW w:w="640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Canada</w:t>
            </w:r>
          </w:p>
        </w:tc>
        <w:tc>
          <w:tcPr>
            <w:tcW w:w="160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147</w:t>
            </w:r>
          </w:p>
        </w:tc>
        <w:tc>
          <w:tcPr>
            <w:tcW w:w="110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5 %</w:t>
            </w:r>
          </w:p>
        </w:tc>
        <w:tc>
          <w:tcPr>
            <w:tcW w:w="142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119</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5 %</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Europe</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653</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21 %</w:t>
            </w: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461</w:t>
            </w:r>
          </w:p>
        </w:tc>
        <w:tc>
          <w:tcPr>
            <w:tcW w:w="7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7"/>
        </w:trPr>
        <w:tc>
          <w:tcPr>
            <w:tcW w:w="64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APAC</w:t>
            </w:r>
          </w:p>
        </w:tc>
        <w:tc>
          <w:tcPr>
            <w:tcW w:w="160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312</w:t>
            </w:r>
          </w:p>
        </w:tc>
        <w:tc>
          <w:tcPr>
            <w:tcW w:w="110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10 %</w:t>
            </w:r>
          </w:p>
        </w:tc>
        <w:tc>
          <w:tcPr>
            <w:tcW w:w="142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240</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10 %</w:t>
            </w:r>
          </w:p>
        </w:tc>
      </w:tr>
      <w:tr>
        <w:trPr>
          <w:trHeight w:val="215"/>
        </w:trPr>
        <w:tc>
          <w:tcPr>
            <w:tcW w:w="640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Rest of World</w:t>
            </w: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57</w:t>
            </w: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1 %</w:t>
            </w: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10"/>
        </w:trPr>
        <w:tc>
          <w:tcPr>
            <w:tcW w:w="6400" w:type="dxa"/>
            <w:vAlign w:val="bottom"/>
            <w:shd w:val="clear" w:color="auto" w:fill="F7F7F7"/>
          </w:tcPr>
          <w:p>
            <w:pPr>
              <w:ind w:left="20"/>
              <w:spacing w:after="0"/>
              <w:rPr>
                <w:sz w:val="20"/>
                <w:szCs w:val="20"/>
                <w:color w:val="auto"/>
              </w:rPr>
            </w:pPr>
            <w:r>
              <w:rPr>
                <w:rFonts w:ascii="Arial" w:cs="Arial" w:eastAsia="Arial" w:hAnsi="Arial"/>
                <w:sz w:val="16"/>
                <w:szCs w:val="16"/>
                <w:color w:val="auto"/>
              </w:rPr>
              <w:t>Total Revenue</w:t>
            </w:r>
          </w:p>
        </w:tc>
        <w:tc>
          <w:tcPr>
            <w:tcW w:w="160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3,170</w:t>
            </w:r>
          </w:p>
        </w:tc>
        <w:tc>
          <w:tcPr>
            <w:tcW w:w="110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100 %</w:t>
            </w:r>
          </w:p>
        </w:tc>
        <w:tc>
          <w:tcPr>
            <w:tcW w:w="142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2,360</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this Management's Discussion and Analysis of Financial Condition and Results of Operations ("MD&amp;A"), "we", "us", "our", "Shopify" and "the Company" refer to Shopify Inc. and its consolidated subsidiaries, unless the context requires otherwise. In this MD&amp;A, we present Shopify's results of operations and cash flows for the three months ended March 31, 2026 and 2025, and our financial position as of March 31, 2026. You should read this MD&amp;A in conjunction with the unaudited condensed consolidated financial statements and the accompanying notes thereto in Part I - Item 1 of this Quarterly Report on Form 10-Q and with our audited consolidated financial statements included in the Company's 2025 Form 10-K.</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Our unaudited condensed consolidated financial statements have been prepared in accordance with accounting principles generally accepted in the United States of America ("U.S. GAAP"). All amounts are in U.S. dollars ("USD") except where otherwise indicated.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Our MD&amp;A is intended to enable readers to gain an understanding of Shopify's results of operations, cash flows and financial position. To do so, we provide information and analysis comparing our results of operations, cash flows and financial position for the most recently completed period with the same period from the preceding fiscal year. We also provide analysis and commentary that we believe will help investors assess our future prospects. In addition, we provide "forward-looking statements" that are not historical facts, but that are based on our current estimates, beliefs and assumptions and which are subject to known and unknown important risks, uncertainties, assumptions and other factors that could cause actual results to differ materially from current expectations, including those discussed under Part II </w:t>
      </w:r>
      <w:r>
        <w:rPr>
          <w:rFonts w:ascii="Arial" w:cs="Arial" w:eastAsia="Arial" w:hAnsi="Arial"/>
          <w:sz w:val="18"/>
          <w:szCs w:val="18"/>
          <w:color w:val="231F20"/>
        </w:rPr>
        <w:t>—</w:t>
      </w:r>
      <w:r>
        <w:rPr>
          <w:rFonts w:ascii="Arial" w:cs="Arial" w:eastAsia="Arial" w:hAnsi="Arial"/>
          <w:sz w:val="18"/>
          <w:szCs w:val="18"/>
          <w:i w:val="1"/>
          <w:iCs w:val="1"/>
          <w:color w:val="auto"/>
        </w:rPr>
        <w:t xml:space="preserve"> Item 1A "Risk Factors" of this Quarterly Report on Form 10-Q and in our 2025 Form 10-K. Forward-looking statements are intended to assist readers in understanding management's expectations as of the date of this Quarterly Report on Form 10-Q, including this MD&amp;A, and may not be suitable for other purposes. See "Forward-looking Statements" in this Quarterly Report on Form 10-Q.</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 this MD&amp;A, references to our "solutions" means the combination of products and services that we offer to merchants, and references to "our merchants" as of a particular date means the total number of unique shops that are paying for a subscription to our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can help merchants of all verticals and sizes, from aspirational entrepreneurs to companies with large-scale, direct-to-consumer or business to business ("B2B") operations, or both, realize their potential at all stages of their business life cycle. In the three months ended March 31, 2026, our platform facilitated gross merchandise volume ("GMV") of $100.7 billion, representing an increase of 35% from the three months ended March 31, 2025. A detailed description of this metric is presented below in the section entitled, "Key Performance Indicators".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our total revenue was $3.2 billion, an increase of 34% versus the three months ended March 31, 2025. Our business model has two revenue components: a recurring subscription component we call subscription solutions and a merchant success-based component we call merchant solutions.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three months ended March 31, 2026, subscription solutions revenues accounted for 24% of our total revenues (March 31, 2025 - 26%). We offer a range of plans that increase in price depending on additional features and economic considerations. Shopify Plus is offered at a starting rate that is several times that of our standard Shopify plans. Shopify Plus solves for the complexity of merchants as they grow and scale globally, offering additional functionality and support, including features like Shopify Audiences, B2B features and Launchpad, for ecommerce automation. Aldo, BarkBox, Carrier, Meta, Vuori, SKIMS and Supreme are a few of our notable merchants seeking a reliable, cost-effective and scalable commerce solution. The flexibility of our pricing plans is designed to help our merchants grow in a cost-effective manner and to provide more advanced features and support as their business needs evolve.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subscription solutions is generated through the sale of subscriptions to our platform, including variable platform fees, as well as through the sale of subscriptions to our POS Pro offering, the sale of apps, the sale of themes and the registration of domain names. Subscription solutions revenues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increased from $620 million in the three months ended March 31, 2025 to $750 million in the three months ended March 31, 2026, representing an increase of 21%. Our merchants typically enter into monthly subscription agreements. The revenue from these agreements is recognized over time on a ratable basis over the contractual term and therefore we have deferred revenue on our balance sheet. We do not consider this deferred revenue balance to be a good indicator of future revenue. Instead, we believe Monthly Recurring Revenue ("MRR") is most closely correlated with the long-term value of our merchant relationships. As of March 31, 2026, MRR totaled $212 million, representing an increase of 16% relative to MRR at March 31, 2025. A detailed description of this metric is presented below in the section entitled, "Key Performance Indicators".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variety of merchant solutions that are designed to add value to our merchants by passing on our economies of scale and augmenting our subscription solutions. During the three months ended March 31, 2026, merchant solutions revenues accounted for 76% of total revenues (March 31, 2025 - 74%). We principally generate merchant solutions revenues from payment processing fees and currency conversion fees from Shopify Payments. Shopify Payments is a fully integrated payment solution. In addition to payment processing fees and currency conversion fees from Shopify Payments, we also generate merchant solutions revenue from our lending services and financial products, referral fees from partners, the sale of shipping labels, the sale of POS hardware, advertising on the Shopify App Store and Shop Campaigns, our buyer acquisition offering. The majority of our merchant solutions revenues are directionally correlated with the level of GMV that our merchants process through our platform. Merchant solutions revenues increased from $ 1.7 billion in the three months ended March 31, 2025 to $2.4 billion in the three months ended March 31, 2026, representing an increase of 39%.</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model is driven by our ability to attract new merchants, retain revenue from existing merchants and increase sales to both new and existing merchants. Our merchants represent a wide array of retail verticals, business sizes and geographies, and no single merchant has ever represented more than five percent of our total revenues in a single reporting period. We believe that our future success depends on many factors, including our ability to expand our merchant base; localize features for specific geographies; retain merchants as they grow their businesses on our platform and adopt more features; offer more sales channels that connect merchants with potential customers; develop new solutions to extend our platform’s functionality and catalyze merchants’ sales growth; leverage emerging technologies, including AI; enhance our ecosystem and partner programs; provide a high level of merchant support; hire, retain and motivate qualified personnel; and build with a focus on maximizing long-term value.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focused on rapidly growing our business and plan to continue making investments to drive future growth. We believe that our investments will increase our revenue base, improve the retention of this base and strengthen our ability to increase sales to our merchants. We also maintain a portfolio of investments with varying time horizons in our cash management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key performance indicators, which we do not consider to be non-GAAP measures, that we use to evaluate our business, measure our performance, identify trends affecting our business, formulate financial projections and make strategic decisions are MRR and GMV. Our key performance indicators may be calculated in a manner different than similar key performance indicators used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MRR and GMV for the three months ended March 31,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80" w:type="dxa"/>
            <w:vAlign w:val="bottom"/>
          </w:tcPr>
          <w:p>
            <w:pPr>
              <w:spacing w:after="0"/>
              <w:rPr>
                <w:sz w:val="18"/>
                <w:szCs w:val="18"/>
                <w:color w:val="auto"/>
              </w:rPr>
            </w:pPr>
          </w:p>
        </w:tc>
      </w:tr>
      <w:tr>
        <w:trPr>
          <w:trHeight w:val="217"/>
        </w:trPr>
        <w:tc>
          <w:tcPr>
            <w:tcW w:w="8020" w:type="dxa"/>
            <w:vAlign w:val="bottom"/>
            <w:shd w:val="clear" w:color="auto" w:fill="F7F7F7"/>
          </w:tcPr>
          <w:p>
            <w:pPr>
              <w:ind w:left="60"/>
              <w:spacing w:after="0"/>
              <w:rPr>
                <w:sz w:val="20"/>
                <w:szCs w:val="20"/>
                <w:color w:val="auto"/>
              </w:rPr>
            </w:pPr>
            <w:r>
              <w:rPr>
                <w:rFonts w:ascii="Arial" w:cs="Arial" w:eastAsia="Arial" w:hAnsi="Arial"/>
                <w:sz w:val="16"/>
                <w:szCs w:val="16"/>
                <w:color w:val="auto"/>
              </w:rPr>
              <w:t>Monthly Recurring Revenue</w:t>
            </w: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212</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8020" w:type="dxa"/>
            <w:vAlign w:val="bottom"/>
          </w:tcPr>
          <w:p>
            <w:pPr>
              <w:ind w:left="60"/>
              <w:spacing w:after="0"/>
              <w:rPr>
                <w:sz w:val="20"/>
                <w:szCs w:val="20"/>
                <w:color w:val="auto"/>
              </w:rPr>
            </w:pPr>
            <w:r>
              <w:rPr>
                <w:rFonts w:ascii="Arial" w:cs="Arial" w:eastAsia="Arial" w:hAnsi="Arial"/>
                <w:sz w:val="16"/>
                <w:szCs w:val="16"/>
                <w:color w:val="auto"/>
              </w:rPr>
              <w:t>Gross Merchandise Volume</w:t>
            </w:r>
          </w:p>
        </w:tc>
        <w:tc>
          <w:tcPr>
            <w:tcW w:w="2240" w:type="dxa"/>
            <w:vAlign w:val="bottom"/>
          </w:tcPr>
          <w:p>
            <w:pPr>
              <w:jc w:val="right"/>
              <w:ind w:right="699"/>
              <w:spacing w:after="0"/>
              <w:rPr>
                <w:sz w:val="20"/>
                <w:szCs w:val="20"/>
                <w:color w:val="auto"/>
              </w:rPr>
            </w:pPr>
            <w:r>
              <w:rPr>
                <w:rFonts w:ascii="Arial" w:cs="Arial" w:eastAsia="Arial" w:hAnsi="Arial"/>
                <w:sz w:val="16"/>
                <w:szCs w:val="16"/>
                <w:color w:val="auto"/>
              </w:rPr>
              <w:t>100,743</w:t>
            </w:r>
          </w:p>
        </w:tc>
        <w:tc>
          <w:tcPr>
            <w:tcW w:w="980" w:type="dxa"/>
            <w:vAlign w:val="bottom"/>
          </w:tcPr>
          <w:p>
            <w:pPr>
              <w:jc w:val="right"/>
              <w:spacing w:after="0"/>
              <w:rPr>
                <w:sz w:val="20"/>
                <w:szCs w:val="20"/>
                <w:color w:val="auto"/>
              </w:rPr>
            </w:pPr>
            <w:r>
              <w:rPr>
                <w:rFonts w:ascii="Arial" w:cs="Arial" w:eastAsia="Arial" w:hAnsi="Arial"/>
                <w:sz w:val="16"/>
                <w:szCs w:val="16"/>
                <w:color w:val="auto"/>
              </w:rPr>
              <w:t>74,750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Recurring Revenue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MRR is the aggregate value of all subscription plans, excluding variable platform fees, in effect on the last day of the period, assuming merchants maintain their subscription the following month. Subscription plans to both our platform and our POS Pro offering are included in this calculation. When applicable, MRR relating to subscription plans billed in a merchant's local currency is converted to USD using the respective currency exchange rate as of the period end date. Prospective merchants that have joined the platform through special new merchant trial incentives, including paid trials, are included in MRR at their trial price while merchants on free trials are excluded from the calculation of MRR through the duration of the free trial. MRR allows us to average our various pricing plans and billing periods into a single, consistent number that we can track over time. We also consider the factors that contribute to MRR, specifically the number of paying merchants using our platform, the number of merchants that are on full-price plans or paid trials, the mix of subscription plan types and overall pricing of our subscription plans. In addition, we use MRR to forecast monthly, quarterly and annual subscription plan revenue, which makes up the majority of our subscription solutions revenue. We had $212 million of MRR as of March 31, 2026 compared to $182 million as of March 31, 2025.</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three months ended March 31, 2026, the MRR growth rate for the period was lower than the same period in 2025 driven by the effects of the increase in subscription pricing for our Shopify Plus plan in the second quarter of 2024.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Merchandise Volume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GMV is the total dollar value of orders facilitated through our platform including certain apps and channels for which a revenue-sharing arrangement is in place in the period, net of refunds, and inclusive of shipping and handling, duty and value-added taxes. GMV does not represent revenue earned by us. However, the volume of GMV facilitated through our platform is an indicator of the success of our merchants and the strength of our platform. Our merchant solutions revenues are also directionally correlated with the level of GMV facilitated through our platform. For the three months ended March 31, 2026 we facilitated GMV of $100.7 billion (March 31, 2025 - $74.8 billion), representing year-over-year growth of 35% on a quarterly basis (2025 vs 2024 - 23%). On a constant currency basis, in which GMV in the three months ended March 31, 2026 is converted using the comparative period's monthly average exchange rates, year-over-year growth was 30% (2025 vs 2024 - 25%).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Revenue Mix</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continued growth of Shopify Payments, referral fees, other transaction services and other services rendered as part of strategic partnerships and Shopify Capital, our revenues from merchant solutions have increased. Merchant solutions are intended to complement subscription solutions by providing additional value to our merchants and increasing their use of our platform. Gross profit margins on Shopify Payments, the biggest driver of merchant solutions revenue, are typically lower than on subscription solutions due to the associated third-party costs of providing this solution. We view this revenue stream as beneficial to our operating margins, as Shopify Payments requires significantly less sales and marketing and research and development expenses than Shopify’s core subscription business. The lower margins on merchant solutions compared to subscription solutions means that the continued growth of merchant solutions has caused in the past, and may cause in the future, a decline in our overall gross margin percentage.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merchant solutions revenues are directionally correlated with the level of GMV that our merchants facilitated through our platform. Our merchants typically process additional GMV during the fourth quarter holiday season. As a result, we have historically generated higher merchant solutions revenues in our fourth quarter than in other quarters. While we believe that this seasonality has affected and will continue to affect our quarterly results, our continued growth has partially masked seasonal trends to date. As a result of the continued growth of our merchant solutions offerings, we believe that our business may become more seasonal in the future and that historical patterns in our business may not be a reliable indicator of our future performance.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and CAD. A significant proportion of operating expenses are also incurred and expected to be included in the aforementioned foreign currencies. To help mitigate the impacts associated with foreign currency fluctuations on future cash flows from operating expenses, we maintain a portfolio of foreign exchange forward contracts and options designated as hedging instruments. As our operations continue to expand internationally, we may be exposed to additional fluctuations in other foreign currencies. Refer to Part I — Item 3 "Quantitative and Qualitative Disclosures About Market Risk" in this Quarterly Report on Form 10-Q for additional information on the effect on reported results of changes in foreign exchange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Part II — Item 7 "Management's Discussion and Analysis of Financial Condition and Results of Operations" in our 2025 Form 10-K for details on the key components of results of operations. There have been no material changes to our key components of results of operations during the three months ended March 31, 2026, as compared to those described in our 2025 Form 10-K.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56"/>
        </w:trPr>
        <w:tc>
          <w:tcPr>
            <w:tcW w:w="7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80" w:type="dxa"/>
            <w:vAlign w:val="bottom"/>
            <w:gridSpan w:val="3"/>
          </w:tcPr>
          <w:p>
            <w:pPr>
              <w:jc w:val="center"/>
              <w:ind w:right="99"/>
              <w:spacing w:after="0" w:line="155" w:lineRule="exact"/>
              <w:rPr>
                <w:sz w:val="20"/>
                <w:szCs w:val="20"/>
                <w:color w:val="auto"/>
              </w:rPr>
            </w:pPr>
            <w:r>
              <w:rPr>
                <w:rFonts w:ascii="Arial" w:cs="Arial" w:eastAsia="Arial" w:hAnsi="Arial"/>
                <w:sz w:val="16"/>
                <w:szCs w:val="16"/>
                <w:color w:val="auto"/>
              </w:rPr>
              <w:t>(in US $ millions, except share and per</w:t>
            </w:r>
          </w:p>
        </w:tc>
      </w:tr>
      <w:tr>
        <w:trPr>
          <w:trHeight w:val="215"/>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3"/>
          </w:tcPr>
          <w:p>
            <w:pPr>
              <w:jc w:val="center"/>
              <w:ind w:right="79"/>
              <w:spacing w:after="0"/>
              <w:rPr>
                <w:sz w:val="20"/>
                <w:szCs w:val="20"/>
                <w:color w:val="auto"/>
              </w:rPr>
            </w:pPr>
            <w:r>
              <w:rPr>
                <w:rFonts w:ascii="Arial" w:cs="Arial" w:eastAsia="Arial" w:hAnsi="Arial"/>
                <w:sz w:val="16"/>
                <w:szCs w:val="16"/>
                <w:color w:val="auto"/>
              </w:rPr>
              <w:t>share amounts)</w:t>
            </w:r>
          </w:p>
        </w:tc>
      </w:tr>
      <w:tr>
        <w:trPr>
          <w:trHeight w:val="217"/>
        </w:trPr>
        <w:tc>
          <w:tcPr>
            <w:tcW w:w="79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spacing w:after="0"/>
              <w:rPr>
                <w:sz w:val="18"/>
                <w:szCs w:val="18"/>
                <w:color w:val="auto"/>
              </w:rPr>
            </w:pP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r>
      <w:tr>
        <w:trPr>
          <w:trHeight w:val="215"/>
        </w:trPr>
        <w:tc>
          <w:tcPr>
            <w:tcW w:w="7980" w:type="dxa"/>
            <w:vAlign w:val="bottom"/>
          </w:tcPr>
          <w:p>
            <w:pPr>
              <w:ind w:left="460"/>
              <w:spacing w:after="0"/>
              <w:rPr>
                <w:sz w:val="20"/>
                <w:szCs w:val="20"/>
                <w:color w:val="auto"/>
              </w:rPr>
            </w:pPr>
            <w:r>
              <w:rPr>
                <w:rFonts w:ascii="Arial" w:cs="Arial" w:eastAsia="Arial" w:hAnsi="Arial"/>
                <w:sz w:val="16"/>
                <w:szCs w:val="16"/>
                <w:color w:val="auto"/>
              </w:rPr>
              <w:t>Subscription solutions</w:t>
            </w:r>
          </w:p>
        </w:tc>
        <w:tc>
          <w:tcPr>
            <w:tcW w:w="18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750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6"/>
        </w:trPr>
        <w:tc>
          <w:tcPr>
            <w:tcW w:w="79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Merchant solutions</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2,420</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1,740</w:t>
            </w:r>
          </w:p>
        </w:tc>
      </w:tr>
      <w:tr>
        <w:trPr>
          <w:trHeight w:val="210"/>
        </w:trPr>
        <w:tc>
          <w:tcPr>
            <w:tcW w:w="7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3,170</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2,360</w:t>
            </w:r>
          </w:p>
        </w:tc>
      </w:tr>
      <w:tr>
        <w:trPr>
          <w:trHeight w:val="209"/>
        </w:trPr>
        <w:tc>
          <w:tcPr>
            <w:tcW w:w="7980" w:type="dxa"/>
            <w:vAlign w:val="bottom"/>
            <w:shd w:val="clear" w:color="auto" w:fill="F7F7F7"/>
          </w:tcPr>
          <w:p>
            <w:pPr>
              <w:ind w:left="140"/>
              <w:spacing w:after="0" w:line="210"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(1)(2)</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spacing w:after="0"/>
              <w:rPr>
                <w:sz w:val="18"/>
                <w:szCs w:val="18"/>
                <w:color w:val="auto"/>
              </w:rPr>
            </w:pP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r>
      <w:tr>
        <w:trPr>
          <w:trHeight w:val="215"/>
        </w:trPr>
        <w:tc>
          <w:tcPr>
            <w:tcW w:w="7980" w:type="dxa"/>
            <w:vAlign w:val="bottom"/>
          </w:tcPr>
          <w:p>
            <w:pPr>
              <w:ind w:left="460"/>
              <w:spacing w:after="0"/>
              <w:rPr>
                <w:sz w:val="20"/>
                <w:szCs w:val="20"/>
                <w:color w:val="auto"/>
              </w:rPr>
            </w:pPr>
            <w:r>
              <w:rPr>
                <w:rFonts w:ascii="Arial" w:cs="Arial" w:eastAsia="Arial" w:hAnsi="Arial"/>
                <w:sz w:val="16"/>
                <w:szCs w:val="16"/>
                <w:color w:val="auto"/>
              </w:rPr>
              <w:t>Subscription solutions</w:t>
            </w:r>
          </w:p>
        </w:tc>
        <w:tc>
          <w:tcPr>
            <w:tcW w:w="18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79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Merchant solutions</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1,476</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1,068</w:t>
            </w:r>
          </w:p>
        </w:tc>
      </w:tr>
      <w:tr>
        <w:trPr>
          <w:trHeight w:val="210"/>
        </w:trPr>
        <w:tc>
          <w:tcPr>
            <w:tcW w:w="7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1,624</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w:t>
            </w:r>
          </w:p>
        </w:tc>
      </w:tr>
      <w:tr>
        <w:trPr>
          <w:trHeight w:val="210"/>
        </w:trPr>
        <w:tc>
          <w:tcPr>
            <w:tcW w:w="79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1,546</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1,169</w:t>
            </w:r>
          </w:p>
        </w:tc>
      </w:tr>
      <w:tr>
        <w:trPr>
          <w:trHeight w:val="210"/>
        </w:trPr>
        <w:tc>
          <w:tcPr>
            <w:tcW w:w="7980" w:type="dxa"/>
            <w:vAlign w:val="bottom"/>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980" w:type="dxa"/>
            <w:vAlign w:val="bottom"/>
            <w:shd w:val="clear" w:color="auto" w:fill="F7F7F7"/>
          </w:tcPr>
          <w:p>
            <w:pPr>
              <w:ind w:left="460"/>
              <w:spacing w:after="0" w:line="216"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496</w:t>
            </w: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405</w:t>
            </w:r>
          </w:p>
        </w:tc>
      </w:tr>
      <w:tr>
        <w:trPr>
          <w:trHeight w:val="216"/>
        </w:trPr>
        <w:tc>
          <w:tcPr>
            <w:tcW w:w="7980" w:type="dxa"/>
            <w:vAlign w:val="bottom"/>
          </w:tcPr>
          <w:p>
            <w:pPr>
              <w:ind w:left="460"/>
              <w:spacing w:after="0" w:line="216"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437</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6"/>
        </w:trPr>
        <w:tc>
          <w:tcPr>
            <w:tcW w:w="7980" w:type="dxa"/>
            <w:vAlign w:val="bottom"/>
            <w:shd w:val="clear" w:color="auto" w:fill="F7F7F7"/>
          </w:tcPr>
          <w:p>
            <w:pPr>
              <w:ind w:left="46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115</w:t>
            </w: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7980" w:type="dxa"/>
            <w:vAlign w:val="bottom"/>
            <w:tcBorders>
              <w:bottom w:val="single" w:sz="8" w:color="F7F7F7"/>
            </w:tcBorders>
          </w:tcPr>
          <w:p>
            <w:pPr>
              <w:ind w:left="460"/>
              <w:spacing w:after="0"/>
              <w:rPr>
                <w:sz w:val="20"/>
                <w:szCs w:val="20"/>
                <w:color w:val="auto"/>
              </w:rPr>
            </w:pPr>
            <w:r>
              <w:rPr>
                <w:rFonts w:ascii="Arial" w:cs="Arial" w:eastAsia="Arial" w:hAnsi="Arial"/>
                <w:sz w:val="16"/>
                <w:szCs w:val="16"/>
                <w:color w:val="auto"/>
              </w:rPr>
              <w:t>Transaction and loan losses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7980" w:type="dxa"/>
            <w:vAlign w:val="bottom"/>
            <w:shd w:val="clear" w:color="auto" w:fill="F7F7F7"/>
          </w:tcPr>
          <w:p>
            <w:pPr>
              <w:ind w:left="1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1,164</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966</w:t>
            </w:r>
          </w:p>
        </w:tc>
      </w:tr>
      <w:tr>
        <w:trPr>
          <w:trHeight w:val="209"/>
        </w:trPr>
        <w:tc>
          <w:tcPr>
            <w:tcW w:w="79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382</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r>
      <w:tr>
        <w:trPr>
          <w:trHeight w:val="210"/>
        </w:trPr>
        <w:tc>
          <w:tcPr>
            <w:tcW w:w="798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loss on equity and equity method investments</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(1,082)</w:t>
            </w: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(1,044)</w:t>
            </w:r>
          </w:p>
        </w:tc>
      </w:tr>
      <w:tr>
        <w:trPr>
          <w:trHeight w:val="215"/>
        </w:trPr>
        <w:tc>
          <w:tcPr>
            <w:tcW w:w="798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7980" w:type="dxa"/>
            <w:vAlign w:val="bottom"/>
            <w:shd w:val="clear" w:color="auto" w:fill="F7F7F7"/>
          </w:tcPr>
          <w:p>
            <w:pPr>
              <w:ind w:left="140"/>
              <w:spacing w:after="0"/>
              <w:rPr>
                <w:sz w:val="20"/>
                <w:szCs w:val="20"/>
                <w:color w:val="auto"/>
              </w:rPr>
            </w:pPr>
            <w:r>
              <w:rPr>
                <w:rFonts w:ascii="Arial" w:cs="Arial" w:eastAsia="Arial" w:hAnsi="Arial"/>
                <w:sz w:val="16"/>
                <w:szCs w:val="16"/>
                <w:color w:val="auto"/>
              </w:rPr>
              <w:t>Loss before income taxes</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(634)</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(770)</w:t>
            </w:r>
          </w:p>
        </w:tc>
      </w:tr>
      <w:tr>
        <w:trPr>
          <w:trHeight w:val="209"/>
        </w:trPr>
        <w:tc>
          <w:tcPr>
            <w:tcW w:w="798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Recovery of income taxes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10"/>
        </w:trPr>
        <w:tc>
          <w:tcPr>
            <w:tcW w:w="79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bottom w:val="single" w:sz="8" w:color="auto"/>
            </w:tcBorders>
            <w:shd w:val="clear" w:color="auto" w:fill="F7F7F7"/>
          </w:tcPr>
          <w:p>
            <w:pPr>
              <w:spacing w:after="0"/>
              <w:rPr>
                <w:sz w:val="18"/>
                <w:szCs w:val="18"/>
                <w:color w:val="auto"/>
              </w:rPr>
            </w:pPr>
          </w:p>
        </w:tc>
        <w:tc>
          <w:tcPr>
            <w:tcW w:w="14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(581)</w:t>
            </w:r>
          </w:p>
        </w:tc>
        <w:tc>
          <w:tcPr>
            <w:tcW w:w="360" w:type="dxa"/>
            <w:vAlign w:val="bottom"/>
            <w:tcBorders>
              <w:bottom w:val="single" w:sz="8" w:color="auto"/>
            </w:tcBorders>
            <w:shd w:val="clear" w:color="auto" w:fill="F7F7F7"/>
          </w:tcPr>
          <w:p>
            <w:pPr>
              <w:spacing w:after="0"/>
              <w:rPr>
                <w:sz w:val="18"/>
                <w:szCs w:val="18"/>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(682)</w:t>
            </w:r>
          </w:p>
        </w:tc>
      </w:tr>
      <w:tr>
        <w:trPr>
          <w:trHeight w:val="210"/>
        </w:trPr>
        <w:tc>
          <w:tcPr>
            <w:tcW w:w="7980" w:type="dxa"/>
            <w:vAlign w:val="bottom"/>
          </w:tcPr>
          <w:p>
            <w:pPr>
              <w:ind w:left="140"/>
              <w:spacing w:after="0"/>
              <w:rPr>
                <w:sz w:val="20"/>
                <w:szCs w:val="20"/>
                <w:color w:val="auto"/>
              </w:rPr>
            </w:pPr>
            <w:r>
              <w:rPr>
                <w:rFonts w:ascii="Arial" w:cs="Arial" w:eastAsia="Arial" w:hAnsi="Arial"/>
                <w:sz w:val="16"/>
                <w:szCs w:val="16"/>
                <w:b w:val="1"/>
                <w:bCs w:val="1"/>
                <w:color w:val="auto"/>
              </w:rPr>
              <w:t>Net loss per share attributable to shareholders: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980" w:type="dxa"/>
            <w:vAlign w:val="bottom"/>
            <w:shd w:val="clear" w:color="auto" w:fill="F7F7F7"/>
          </w:tcPr>
          <w:p>
            <w:pPr>
              <w:ind w:left="56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(0.45)</w:t>
            </w:r>
          </w:p>
        </w:tc>
        <w:tc>
          <w:tcPr>
            <w:tcW w:w="3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(0.53)</w:t>
            </w:r>
          </w:p>
        </w:tc>
      </w:tr>
      <w:tr>
        <w:trPr>
          <w:trHeight w:val="215"/>
        </w:trPr>
        <w:tc>
          <w:tcPr>
            <w:tcW w:w="79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r>
      <w:tr>
        <w:trPr>
          <w:trHeight w:val="210"/>
        </w:trPr>
        <w:tc>
          <w:tcPr>
            <w:tcW w:w="79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Weighted average shares used to compute net loss per share attributable to shareholders:</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spacing w:after="0"/>
              <w:rPr>
                <w:sz w:val="18"/>
                <w:szCs w:val="18"/>
                <w:color w:val="auto"/>
              </w:rPr>
            </w:pP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r>
      <w:tr>
        <w:trPr>
          <w:trHeight w:val="215"/>
        </w:trPr>
        <w:tc>
          <w:tcPr>
            <w:tcW w:w="7980" w:type="dxa"/>
            <w:vAlign w:val="bottom"/>
          </w:tcPr>
          <w:p>
            <w:pPr>
              <w:ind w:left="56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1,303,357,874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1,295,377,376</w:t>
            </w:r>
          </w:p>
        </w:tc>
      </w:tr>
      <w:tr>
        <w:trPr>
          <w:trHeight w:val="217"/>
        </w:trPr>
        <w:tc>
          <w:tcPr>
            <w:tcW w:w="7980" w:type="dxa"/>
            <w:vAlign w:val="bottom"/>
            <w:shd w:val="clear" w:color="auto" w:fill="F7F7F7"/>
          </w:tcPr>
          <w:p>
            <w:pPr>
              <w:ind w:left="56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F7F7F7"/>
          </w:tcPr>
          <w:p>
            <w:pPr>
              <w:spacing w:after="0"/>
              <w:rPr>
                <w:sz w:val="18"/>
                <w:szCs w:val="18"/>
                <w:color w:val="auto"/>
              </w:rPr>
            </w:pPr>
          </w:p>
        </w:tc>
        <w:tc>
          <w:tcPr>
            <w:tcW w:w="14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1,303,357,874</w:t>
            </w:r>
          </w:p>
        </w:tc>
        <w:tc>
          <w:tcPr>
            <w:tcW w:w="360" w:type="dxa"/>
            <w:vAlign w:val="bottom"/>
            <w:shd w:val="clear" w:color="auto" w:fill="F7F7F7"/>
          </w:tcPr>
          <w:p>
            <w:pPr>
              <w:spacing w:after="0"/>
              <w:rPr>
                <w:sz w:val="18"/>
                <w:szCs w:val="18"/>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1,295,377,376</w:t>
            </w:r>
          </w:p>
        </w:tc>
      </w:tr>
    </w:tbl>
    <w:p>
      <w:pPr>
        <w:spacing w:after="0" w:line="99"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Includes stock-based compensation expense and related payroll taxes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80" w:type="dxa"/>
            <w:vAlign w:val="bottom"/>
          </w:tcPr>
          <w:p>
            <w:pPr>
              <w:spacing w:after="0"/>
              <w:rPr>
                <w:sz w:val="18"/>
                <w:szCs w:val="18"/>
                <w:color w:val="auto"/>
              </w:rPr>
            </w:pP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240" w:type="dxa"/>
            <w:vAlign w:val="bottom"/>
          </w:tcPr>
          <w:p>
            <w:pPr>
              <w:jc w:val="right"/>
              <w:ind w:right="699"/>
              <w:spacing w:after="0"/>
              <w:rPr>
                <w:sz w:val="20"/>
                <w:szCs w:val="20"/>
                <w:color w:val="auto"/>
              </w:rPr>
            </w:pPr>
            <w:r>
              <w:rPr>
                <w:rFonts w:ascii="Arial" w:cs="Arial" w:eastAsia="Arial" w:hAnsi="Arial"/>
                <w:sz w:val="16"/>
                <w:szCs w:val="16"/>
                <w:color w:val="auto"/>
              </w:rPr>
              <w:t>11</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97</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22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8020" w:type="dxa"/>
            <w:vAlign w:val="bottom"/>
            <w:shd w:val="clear" w:color="auto" w:fill="F7F7F7"/>
          </w:tcPr>
          <w:p>
            <w:pPr>
              <w:spacing w:after="0"/>
              <w:rPr>
                <w:sz w:val="18"/>
                <w:szCs w:val="18"/>
                <w:color w:val="auto"/>
              </w:rPr>
            </w:pP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138</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amortization of acquired intangibles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80" w:type="dxa"/>
            <w:vAlign w:val="bottom"/>
          </w:tcPr>
          <w:p>
            <w:pPr>
              <w:spacing w:after="0"/>
              <w:rPr>
                <w:sz w:val="18"/>
                <w:szCs w:val="18"/>
                <w:color w:val="auto"/>
              </w:rPr>
            </w:pPr>
          </w:p>
        </w:tc>
      </w:tr>
      <w:tr>
        <w:trPr>
          <w:trHeight w:val="217"/>
        </w:trPr>
        <w:tc>
          <w:tcPr>
            <w:tcW w:w="80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2</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0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Research and development</w:t>
            </w:r>
          </w:p>
        </w:tc>
        <w:tc>
          <w:tcPr>
            <w:tcW w:w="22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20" w:type="dxa"/>
            <w:vAlign w:val="bottom"/>
            <w:shd w:val="clear" w:color="auto" w:fill="F7F7F7"/>
          </w:tcPr>
          <w:p>
            <w:pPr>
              <w:spacing w:after="0"/>
              <w:rPr>
                <w:sz w:val="18"/>
                <w:szCs w:val="18"/>
                <w:color w:val="auto"/>
              </w:rPr>
            </w:pPr>
          </w:p>
        </w:tc>
        <w:tc>
          <w:tcPr>
            <w:tcW w:w="224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3</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4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6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2026</w:t>
            </w: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6900" w:type="dxa"/>
            <w:vAlign w:val="bottom"/>
          </w:tcPr>
          <w:p>
            <w:pPr>
              <w:spacing w:after="0"/>
              <w:rPr>
                <w:sz w:val="18"/>
                <w:szCs w:val="18"/>
                <w:color w:val="auto"/>
              </w:rPr>
            </w:pPr>
          </w:p>
        </w:tc>
        <w:tc>
          <w:tcPr>
            <w:tcW w:w="4340" w:type="dxa"/>
            <w:vAlign w:val="bottom"/>
            <w:gridSpan w:val="4"/>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9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Subscription solutions</w:t>
            </w:r>
          </w:p>
        </w:tc>
        <w:tc>
          <w:tcPr>
            <w:tcW w:w="166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750</w:t>
            </w:r>
          </w:p>
        </w:tc>
        <w:tc>
          <w:tcPr>
            <w:tcW w:w="118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620</w:t>
            </w:r>
          </w:p>
        </w:tc>
        <w:tc>
          <w:tcPr>
            <w:tcW w:w="1500" w:type="dxa"/>
            <w:vAlign w:val="bottom"/>
            <w:gridSpan w:val="2"/>
            <w:shd w:val="clear" w:color="auto" w:fill="F7F7F7"/>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6900" w:type="dxa"/>
            <w:vAlign w:val="bottom"/>
          </w:tcPr>
          <w:p>
            <w:pPr>
              <w:ind w:left="260"/>
              <w:spacing w:after="0"/>
              <w:rPr>
                <w:sz w:val="20"/>
                <w:szCs w:val="20"/>
                <w:color w:val="auto"/>
              </w:rPr>
            </w:pPr>
            <w:r>
              <w:rPr>
                <w:rFonts w:ascii="Arial" w:cs="Arial" w:eastAsia="Arial" w:hAnsi="Arial"/>
                <w:sz w:val="16"/>
                <w:szCs w:val="16"/>
                <w:color w:val="auto"/>
              </w:rPr>
              <w:t>Merchant solutions</w:t>
            </w:r>
          </w:p>
        </w:tc>
        <w:tc>
          <w:tcPr>
            <w:tcW w:w="1660" w:type="dxa"/>
            <w:vAlign w:val="bottom"/>
          </w:tcPr>
          <w:p>
            <w:pPr>
              <w:jc w:val="right"/>
              <w:ind w:right="439"/>
              <w:spacing w:after="0"/>
              <w:rPr>
                <w:sz w:val="20"/>
                <w:szCs w:val="20"/>
                <w:color w:val="auto"/>
              </w:rPr>
            </w:pPr>
            <w:r>
              <w:rPr>
                <w:rFonts w:ascii="Arial" w:cs="Arial" w:eastAsia="Arial" w:hAnsi="Arial"/>
                <w:sz w:val="16"/>
                <w:szCs w:val="16"/>
                <w:color w:val="auto"/>
              </w:rPr>
              <w:t>2,420</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1,740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0"/>
        </w:trPr>
        <w:tc>
          <w:tcPr>
            <w:tcW w:w="6900" w:type="dxa"/>
            <w:vAlign w:val="bottom"/>
            <w:tcBorders>
              <w:top w:val="single" w:sz="8" w:color="F7F7F7"/>
              <w:bottom w:val="single" w:sz="8" w:color="auto"/>
            </w:tcBorders>
            <w:shd w:val="clear" w:color="auto" w:fill="F7F7F7"/>
          </w:tcPr>
          <w:p>
            <w:pPr>
              <w:ind w:left="20"/>
              <w:spacing w:after="0"/>
              <w:rPr>
                <w:sz w:val="20"/>
                <w:szCs w:val="20"/>
                <w:color w:val="auto"/>
              </w:rPr>
            </w:pPr>
            <w:r>
              <w:rPr>
                <w:rFonts w:ascii="Arial" w:cs="Arial" w:eastAsia="Arial" w:hAnsi="Arial"/>
                <w:sz w:val="16"/>
                <w:szCs w:val="16"/>
                <w:color w:val="auto"/>
              </w:rPr>
              <w:t>Total revenues</w:t>
            </w:r>
          </w:p>
        </w:tc>
        <w:tc>
          <w:tcPr>
            <w:tcW w:w="1660" w:type="dxa"/>
            <w:vAlign w:val="bottom"/>
            <w:tcBorders>
              <w:top w:val="single" w:sz="8" w:color="auto"/>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3,170</w:t>
            </w:r>
          </w:p>
        </w:tc>
        <w:tc>
          <w:tcPr>
            <w:tcW w:w="1180" w:type="dxa"/>
            <w:vAlign w:val="bottom"/>
            <w:tcBorders>
              <w:top w:val="single" w:sz="8" w:color="auto"/>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2,360</w:t>
            </w:r>
          </w:p>
        </w:tc>
        <w:tc>
          <w:tcPr>
            <w:tcW w:w="140" w:type="dxa"/>
            <w:vAlign w:val="bottom"/>
            <w:tcBorders>
              <w:top w:val="single" w:sz="8" w:color="F7F7F7"/>
              <w:bottom w:val="single" w:sz="8" w:color="auto"/>
            </w:tcBorders>
            <w:shd w:val="clear" w:color="auto" w:fill="F7F7F7"/>
          </w:tcPr>
          <w:p>
            <w:pPr>
              <w:spacing w:after="0"/>
              <w:rPr>
                <w:sz w:val="18"/>
                <w:szCs w:val="18"/>
                <w:color w:val="auto"/>
              </w:rPr>
            </w:pPr>
          </w:p>
        </w:tc>
        <w:tc>
          <w:tcPr>
            <w:tcW w:w="1360" w:type="dxa"/>
            <w:vAlign w:val="bottom"/>
            <w:tcBorders>
              <w:top w:val="single" w:sz="8" w:color="auto"/>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34 %</w:t>
            </w:r>
          </w:p>
        </w:tc>
      </w:tr>
      <w:tr>
        <w:trPr>
          <w:trHeight w:val="89"/>
        </w:trPr>
        <w:tc>
          <w:tcPr>
            <w:tcW w:w="69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6"/>
        </w:trPr>
        <w:tc>
          <w:tcPr>
            <w:tcW w:w="690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Percentage of revenues</w:t>
            </w:r>
          </w:p>
        </w:tc>
        <w:tc>
          <w:tcPr>
            <w:tcW w:w="1660" w:type="dxa"/>
            <w:vAlign w:val="bottom"/>
            <w:shd w:val="clear" w:color="auto" w:fill="F7F7F7"/>
          </w:tcPr>
          <w:p>
            <w:pPr>
              <w:spacing w:after="0"/>
              <w:rPr>
                <w:sz w:val="18"/>
                <w:szCs w:val="18"/>
                <w:color w:val="auto"/>
              </w:rPr>
            </w:pPr>
          </w:p>
        </w:tc>
        <w:tc>
          <w:tcPr>
            <w:tcW w:w="1180" w:type="dxa"/>
            <w:vAlign w:val="bottom"/>
            <w:shd w:val="clear" w:color="auto" w:fill="F7F7F7"/>
          </w:tcPr>
          <w:p>
            <w:pPr>
              <w:spacing w:after="0"/>
              <w:rPr>
                <w:sz w:val="18"/>
                <w:szCs w:val="18"/>
                <w:color w:val="auto"/>
              </w:rPr>
            </w:pPr>
          </w:p>
        </w:tc>
        <w:tc>
          <w:tcPr>
            <w:tcW w:w="140" w:type="dxa"/>
            <w:vAlign w:val="bottom"/>
            <w:shd w:val="clear" w:color="auto" w:fill="F7F7F7"/>
          </w:tcPr>
          <w:p>
            <w:pPr>
              <w:spacing w:after="0"/>
              <w:rPr>
                <w:sz w:val="18"/>
                <w:szCs w:val="18"/>
                <w:color w:val="auto"/>
              </w:rPr>
            </w:pPr>
          </w:p>
        </w:tc>
        <w:tc>
          <w:tcPr>
            <w:tcW w:w="1360" w:type="dxa"/>
            <w:vAlign w:val="bottom"/>
            <w:shd w:val="clear" w:color="auto" w:fill="F7F7F7"/>
          </w:tcPr>
          <w:p>
            <w:pPr>
              <w:spacing w:after="0"/>
              <w:rPr>
                <w:sz w:val="18"/>
                <w:szCs w:val="18"/>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6"/>
                <w:szCs w:val="16"/>
                <w:color w:val="auto"/>
              </w:rPr>
              <w:t>Subscription solutions</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24 %</w:t>
            </w:r>
          </w:p>
        </w:tc>
        <w:tc>
          <w:tcPr>
            <w:tcW w:w="1180" w:type="dxa"/>
            <w:vAlign w:val="bottom"/>
          </w:tcPr>
          <w:p>
            <w:pPr>
              <w:jc w:val="right"/>
              <w:spacing w:after="0"/>
              <w:rPr>
                <w:sz w:val="20"/>
                <w:szCs w:val="20"/>
                <w:color w:val="auto"/>
              </w:rPr>
            </w:pPr>
            <w:r>
              <w:rPr>
                <w:rFonts w:ascii="Arial" w:cs="Arial" w:eastAsia="Arial" w:hAnsi="Arial"/>
                <w:sz w:val="16"/>
                <w:szCs w:val="16"/>
                <w:color w:val="auto"/>
              </w:rPr>
              <w:t>26 %</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69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Merchant solutions</w:t>
            </w:r>
          </w:p>
        </w:tc>
        <w:tc>
          <w:tcPr>
            <w:tcW w:w="1660" w:type="dxa"/>
            <w:vAlign w:val="bottom"/>
            <w:tcBorders>
              <w:bottom w:val="single" w:sz="8" w:color="auto"/>
            </w:tcBorders>
            <w:shd w:val="clear" w:color="auto" w:fill="F7F7F7"/>
          </w:tcPr>
          <w:p>
            <w:pPr>
              <w:jc w:val="right"/>
              <w:ind w:right="259"/>
              <w:spacing w:after="0"/>
              <w:rPr>
                <w:sz w:val="20"/>
                <w:szCs w:val="20"/>
                <w:color w:val="auto"/>
              </w:rPr>
            </w:pPr>
            <w:r>
              <w:rPr>
                <w:rFonts w:ascii="Arial" w:cs="Arial" w:eastAsia="Arial" w:hAnsi="Arial"/>
                <w:sz w:val="16"/>
                <w:szCs w:val="16"/>
                <w:color w:val="auto"/>
              </w:rPr>
              <w:t>76 %</w:t>
            </w: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74 %</w:t>
            </w:r>
          </w:p>
        </w:tc>
        <w:tc>
          <w:tcPr>
            <w:tcW w:w="140" w:type="dxa"/>
            <w:vAlign w:val="bottom"/>
            <w:shd w:val="clear" w:color="auto" w:fill="F7F7F7"/>
          </w:tcPr>
          <w:p>
            <w:pPr>
              <w:spacing w:after="0"/>
              <w:rPr>
                <w:sz w:val="18"/>
                <w:szCs w:val="18"/>
                <w:color w:val="auto"/>
              </w:rPr>
            </w:pPr>
          </w:p>
        </w:tc>
        <w:tc>
          <w:tcPr>
            <w:tcW w:w="1360" w:type="dxa"/>
            <w:vAlign w:val="bottom"/>
            <w:shd w:val="clear" w:color="auto" w:fill="F7F7F7"/>
          </w:tcPr>
          <w:p>
            <w:pPr>
              <w:spacing w:after="0"/>
              <w:rPr>
                <w:sz w:val="18"/>
                <w:szCs w:val="18"/>
                <w:color w:val="auto"/>
              </w:rPr>
            </w:pPr>
          </w:p>
        </w:tc>
      </w:tr>
      <w:tr>
        <w:trPr>
          <w:trHeight w:val="208"/>
        </w:trPr>
        <w:tc>
          <w:tcPr>
            <w:tcW w:w="69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100 %</w:t>
            </w:r>
          </w:p>
        </w:tc>
        <w:tc>
          <w:tcPr>
            <w:tcW w:w="1180" w:type="dxa"/>
            <w:vAlign w:val="bottom"/>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Solutions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Subscription solutions revenues increased for the three months ended March 31, 2026 compared to the same period in 2025. The largest component of the period-over-period change was an increase in subscription fees of $ 101 million driven by an increase in MRR, which was a result of a higher number of merchants using our platform and by a larger percentage of subscriptions coming from higher priced plans, such as Plus. The increase was also driven by higher GMV resulting in an increase in subscription fees from the variable component of certain subscription contracts.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Solutions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Merchant solutions revenues increased for the three months ended March 31, 2026 compared to the same period in 2025. The largest component of the period-over-period change was an increase in Shopify Payments revenue of $572 million, relating to payment processing and currency conversion fees, growing in the three months ended March 31, 2026 compared to the same period in 2025. This increase was a result of an increase in our Shopify Payments penetration rate and an increase in GMV from merchants using our platform. These factors drove $19.5 billion of additional GMV facilitated using Shopify Payments in the three months ended March 31, 2026 compared to the same period in 2025, representing growth of 41%. For the three months ended March 31, 2026, the Shopify Payments penetration rate was 67%, resulting in GMV of $ 67.1 billion that was facilitated using Shopify Payments. This compares to a penetration rate of 64% resulting in GMV of $47.5 billion that was facilitated using Shopify Payments in the same period in 2025.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4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6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6900" w:type="dxa"/>
            <w:vAlign w:val="bottom"/>
          </w:tcPr>
          <w:p>
            <w:pPr>
              <w:spacing w:after="0"/>
              <w:rPr>
                <w:sz w:val="18"/>
                <w:szCs w:val="18"/>
                <w:color w:val="auto"/>
              </w:rPr>
            </w:pPr>
          </w:p>
        </w:tc>
        <w:tc>
          <w:tcPr>
            <w:tcW w:w="4340" w:type="dxa"/>
            <w:vAlign w:val="bottom"/>
            <w:gridSpan w:val="4"/>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Cost of revenues: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9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Cost of subscription solutions</w:t>
            </w:r>
          </w:p>
        </w:tc>
        <w:tc>
          <w:tcPr>
            <w:tcW w:w="156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148</w:t>
            </w:r>
          </w:p>
        </w:tc>
        <w:tc>
          <w:tcPr>
            <w:tcW w:w="128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123</w:t>
            </w:r>
          </w:p>
        </w:tc>
        <w:tc>
          <w:tcPr>
            <w:tcW w:w="140" w:type="dxa"/>
            <w:vAlign w:val="bottom"/>
            <w:shd w:val="clear" w:color="auto" w:fill="F7F7F7"/>
          </w:tcPr>
          <w:p>
            <w:pPr>
              <w:spacing w:after="0"/>
              <w:rPr>
                <w:sz w:val="18"/>
                <w:szCs w:val="18"/>
                <w:color w:val="auto"/>
              </w:rPr>
            </w:pPr>
          </w:p>
        </w:tc>
        <w:tc>
          <w:tcPr>
            <w:tcW w:w="13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6900" w:type="dxa"/>
            <w:vAlign w:val="bottom"/>
            <w:tcBorders>
              <w:bottom w:val="single" w:sz="8" w:color="F7F7F7"/>
            </w:tcBorders>
          </w:tcPr>
          <w:p>
            <w:pPr>
              <w:ind w:left="260"/>
              <w:spacing w:after="0"/>
              <w:rPr>
                <w:sz w:val="20"/>
                <w:szCs w:val="20"/>
                <w:color w:val="auto"/>
              </w:rPr>
            </w:pPr>
            <w:r>
              <w:rPr>
                <w:rFonts w:ascii="Arial" w:cs="Arial" w:eastAsia="Arial" w:hAnsi="Arial"/>
                <w:sz w:val="16"/>
                <w:szCs w:val="16"/>
                <w:color w:val="auto"/>
              </w:rPr>
              <w:t>Cost of merchant solutions</w:t>
            </w: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1,476</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1,068</w:t>
            </w:r>
          </w:p>
        </w:tc>
        <w:tc>
          <w:tcPr>
            <w:tcW w:w="140" w:type="dxa"/>
            <w:vAlign w:val="bottom"/>
            <w:tcBorders>
              <w:bottom w:val="single" w:sz="8" w:color="F7F7F7"/>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r>
      <w:tr>
        <w:trPr>
          <w:trHeight w:val="209"/>
        </w:trPr>
        <w:tc>
          <w:tcPr>
            <w:tcW w:w="690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color w:val="auto"/>
              </w:rPr>
              <w:t>Total cost of revenues</w:t>
            </w:r>
          </w:p>
        </w:tc>
        <w:tc>
          <w:tcPr>
            <w:tcW w:w="156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1,624</w:t>
            </w:r>
          </w:p>
        </w:tc>
        <w:tc>
          <w:tcPr>
            <w:tcW w:w="128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1,191</w:t>
            </w:r>
          </w:p>
        </w:tc>
        <w:tc>
          <w:tcPr>
            <w:tcW w:w="140" w:type="dxa"/>
            <w:vAlign w:val="bottom"/>
            <w:tcBorders>
              <w:bottom w:val="single" w:sz="8" w:color="auto"/>
            </w:tcBorders>
            <w:shd w:val="clear" w:color="auto" w:fill="F7F7F7"/>
          </w:tcPr>
          <w:p>
            <w:pPr>
              <w:spacing w:after="0"/>
              <w:rPr>
                <w:sz w:val="18"/>
                <w:szCs w:val="18"/>
                <w:color w:val="auto"/>
              </w:rPr>
            </w:pPr>
          </w:p>
        </w:tc>
        <w:tc>
          <w:tcPr>
            <w:tcW w:w="13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36 %</w:t>
            </w: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Percentage of revenues:</w:t>
            </w:r>
          </w:p>
        </w:tc>
        <w:tc>
          <w:tcPr>
            <w:tcW w:w="1880" w:type="dxa"/>
            <w:vAlign w:val="bottom"/>
            <w:shd w:val="clear" w:color="auto" w:fill="F7F7F7"/>
          </w:tcPr>
          <w:p>
            <w:pPr>
              <w:spacing w:after="0"/>
              <w:rPr>
                <w:sz w:val="18"/>
                <w:szCs w:val="18"/>
                <w:color w:val="auto"/>
              </w:rPr>
            </w:pPr>
          </w:p>
        </w:tc>
        <w:tc>
          <w:tcPr>
            <w:tcW w:w="960" w:type="dxa"/>
            <w:vAlign w:val="bottom"/>
            <w:shd w:val="clear" w:color="auto" w:fill="F7F7F7"/>
          </w:tcPr>
          <w:p>
            <w:pPr>
              <w:spacing w:after="0"/>
              <w:rPr>
                <w:sz w:val="18"/>
                <w:szCs w:val="18"/>
                <w:color w:val="auto"/>
              </w:rPr>
            </w:pPr>
          </w:p>
        </w:tc>
        <w:tc>
          <w:tcPr>
            <w:tcW w:w="1500" w:type="dxa"/>
            <w:vAlign w:val="bottom"/>
            <w:shd w:val="clear" w:color="auto" w:fill="F7F7F7"/>
          </w:tcPr>
          <w:p>
            <w:pPr>
              <w:spacing w:after="0"/>
              <w:rPr>
                <w:sz w:val="18"/>
                <w:szCs w:val="18"/>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6"/>
                <w:szCs w:val="16"/>
                <w:color w:val="auto"/>
              </w:rPr>
              <w:t>Cost of subscription solutions</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5 %</w:t>
            </w:r>
          </w:p>
        </w:tc>
        <w:tc>
          <w:tcPr>
            <w:tcW w:w="960" w:type="dxa"/>
            <w:vAlign w:val="bottom"/>
          </w:tcPr>
          <w:p>
            <w:pPr>
              <w:jc w:val="right"/>
              <w:spacing w:after="0"/>
              <w:rPr>
                <w:sz w:val="20"/>
                <w:szCs w:val="20"/>
                <w:color w:val="auto"/>
              </w:rPr>
            </w:pPr>
            <w:r>
              <w:rPr>
                <w:rFonts w:ascii="Arial" w:cs="Arial" w:eastAsia="Arial" w:hAnsi="Arial"/>
                <w:sz w:val="16"/>
                <w:szCs w:val="16"/>
                <w:color w:val="auto"/>
              </w:rPr>
              <w:t>5 %</w:t>
            </w:r>
          </w:p>
        </w:tc>
        <w:tc>
          <w:tcPr>
            <w:tcW w:w="1500" w:type="dxa"/>
            <w:vAlign w:val="bottom"/>
          </w:tcPr>
          <w:p>
            <w:pPr>
              <w:spacing w:after="0"/>
              <w:rPr>
                <w:sz w:val="18"/>
                <w:szCs w:val="18"/>
                <w:color w:val="auto"/>
              </w:rPr>
            </w:pPr>
          </w:p>
        </w:tc>
      </w:tr>
      <w:tr>
        <w:trPr>
          <w:trHeight w:val="217"/>
        </w:trPr>
        <w:tc>
          <w:tcPr>
            <w:tcW w:w="69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Cost of merchant solutions</w:t>
            </w:r>
          </w:p>
        </w:tc>
        <w:tc>
          <w:tcPr>
            <w:tcW w:w="1880" w:type="dxa"/>
            <w:vAlign w:val="bottom"/>
            <w:tcBorders>
              <w:bottom w:val="single" w:sz="8" w:color="auto"/>
            </w:tcBorders>
            <w:shd w:val="clear" w:color="auto" w:fill="F7F7F7"/>
          </w:tcPr>
          <w:p>
            <w:pPr>
              <w:jc w:val="right"/>
              <w:ind w:right="479"/>
              <w:spacing w:after="0"/>
              <w:rPr>
                <w:sz w:val="20"/>
                <w:szCs w:val="20"/>
                <w:color w:val="auto"/>
              </w:rPr>
            </w:pPr>
            <w:r>
              <w:rPr>
                <w:rFonts w:ascii="Arial" w:cs="Arial" w:eastAsia="Arial" w:hAnsi="Arial"/>
                <w:sz w:val="16"/>
                <w:szCs w:val="16"/>
                <w:color w:val="auto"/>
              </w:rPr>
              <w:t>47 %</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45 %</w:t>
            </w:r>
          </w:p>
        </w:tc>
        <w:tc>
          <w:tcPr>
            <w:tcW w:w="1500" w:type="dxa"/>
            <w:vAlign w:val="bottom"/>
            <w:shd w:val="clear" w:color="auto" w:fill="F7F7F7"/>
          </w:tcPr>
          <w:p>
            <w:pPr>
              <w:spacing w:after="0"/>
              <w:rPr>
                <w:sz w:val="18"/>
                <w:szCs w:val="18"/>
                <w:color w:val="auto"/>
              </w:rPr>
            </w:pPr>
          </w:p>
        </w:tc>
      </w:tr>
      <w:tr>
        <w:trPr>
          <w:trHeight w:val="208"/>
        </w:trPr>
        <w:tc>
          <w:tcPr>
            <w:tcW w:w="6900" w:type="dxa"/>
            <w:vAlign w:val="bottom"/>
          </w:tcPr>
          <w:p>
            <w:pPr>
              <w:ind w:left="20"/>
              <w:spacing w:after="0"/>
              <w:rPr>
                <w:sz w:val="20"/>
                <w:szCs w:val="20"/>
                <w:color w:val="auto"/>
              </w:rPr>
            </w:pPr>
            <w:r>
              <w:rPr>
                <w:rFonts w:ascii="Arial" w:cs="Arial" w:eastAsia="Arial" w:hAnsi="Arial"/>
                <w:sz w:val="16"/>
                <w:szCs w:val="16"/>
                <w:color w:val="auto"/>
              </w:rPr>
              <w:t>Total cost of revenues</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51 %</w:t>
            </w:r>
          </w:p>
        </w:tc>
        <w:tc>
          <w:tcPr>
            <w:tcW w:w="960" w:type="dxa"/>
            <w:vAlign w:val="bottom"/>
          </w:tcPr>
          <w:p>
            <w:pPr>
              <w:jc w:val="right"/>
              <w:spacing w:after="0"/>
              <w:rPr>
                <w:sz w:val="20"/>
                <w:szCs w:val="20"/>
                <w:color w:val="auto"/>
              </w:rPr>
            </w:pPr>
            <w:r>
              <w:rPr>
                <w:rFonts w:ascii="Arial" w:cs="Arial" w:eastAsia="Arial" w:hAnsi="Arial"/>
                <w:sz w:val="16"/>
                <w:szCs w:val="16"/>
                <w:color w:val="auto"/>
              </w:rPr>
              <w:t>50 %</w:t>
            </w:r>
          </w:p>
        </w:tc>
        <w:tc>
          <w:tcPr>
            <w:tcW w:w="1500" w:type="dxa"/>
            <w:vAlign w:val="bottom"/>
          </w:tcPr>
          <w:p>
            <w:pPr>
              <w:spacing w:after="0"/>
              <w:rPr>
                <w:sz w:val="18"/>
                <w:szCs w:val="18"/>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Subscription Solutions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subscription solutions increased for the three months ended March 31, 2026 compared to the same period in 2025. The increase was driven by a $22 million increase in cloud and infrastructure costs which includes AI related usage.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Merchant Solutions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merchant solutions increased for the three months ended March 31, 2026 compared to the same period in 2025. The increase was driven by higher payment processing fees resulting from an increase in GMV facilitated through Shopify Payments.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6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9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6900" w:type="dxa"/>
            <w:vAlign w:val="bottom"/>
            <w:shd w:val="clear" w:color="auto" w:fill="F7F7F7"/>
          </w:tcPr>
          <w:p>
            <w:pPr>
              <w:ind w:left="20"/>
              <w:spacing w:after="0"/>
              <w:rPr>
                <w:sz w:val="20"/>
                <w:szCs w:val="20"/>
                <w:color w:val="auto"/>
              </w:rPr>
            </w:pPr>
            <w:r>
              <w:rPr>
                <w:rFonts w:ascii="Arial" w:cs="Arial" w:eastAsia="Arial" w:hAnsi="Arial"/>
                <w:sz w:val="16"/>
                <w:szCs w:val="16"/>
                <w:color w:val="auto"/>
              </w:rPr>
              <w:t>Gross profit</w:t>
            </w:r>
          </w:p>
        </w:tc>
        <w:tc>
          <w:tcPr>
            <w:tcW w:w="166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1,546</w:t>
            </w:r>
          </w:p>
        </w:tc>
        <w:tc>
          <w:tcPr>
            <w:tcW w:w="138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1,169</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32 %</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49 %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50 %</w:t>
            </w:r>
          </w:p>
        </w:tc>
        <w:tc>
          <w:tcPr>
            <w:tcW w:w="1300" w:type="dxa"/>
            <w:vAlign w:val="bottom"/>
          </w:tcPr>
          <w:p>
            <w:pPr>
              <w:spacing w:after="0"/>
              <w:rPr>
                <w:sz w:val="18"/>
                <w:szCs w:val="18"/>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8"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920" w:type="dxa"/>
            <w:vAlign w:val="bottom"/>
          </w:tcPr>
          <w:p>
            <w:pPr>
              <w:spacing w:after="0"/>
              <w:rPr>
                <w:sz w:val="18"/>
                <w:szCs w:val="18"/>
                <w:color w:val="auto"/>
              </w:rPr>
            </w:pPr>
          </w:p>
        </w:tc>
        <w:tc>
          <w:tcPr>
            <w:tcW w:w="4320" w:type="dxa"/>
            <w:vAlign w:val="bottom"/>
            <w:gridSpan w:val="4"/>
          </w:tcPr>
          <w:p>
            <w:pPr>
              <w:jc w:val="right"/>
              <w:ind w:right="719"/>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77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Sales and marketing</w:t>
            </w:r>
          </w:p>
        </w:tc>
        <w:tc>
          <w:tcPr>
            <w:tcW w:w="1480" w:type="dxa"/>
            <w:vAlign w:val="bottom"/>
            <w:shd w:val="clear" w:color="auto" w:fill="F7F7F7"/>
          </w:tcPr>
          <w:p>
            <w:pPr>
              <w:jc w:val="right"/>
              <w:ind w:right="1139"/>
              <w:spacing w:after="0"/>
              <w:rPr>
                <w:sz w:val="20"/>
                <w:szCs w:val="20"/>
                <w:color w:val="auto"/>
              </w:rPr>
            </w:pPr>
            <w:r>
              <w:rPr>
                <w:rFonts w:ascii="Arial" w:cs="Arial" w:eastAsia="Arial" w:hAnsi="Arial"/>
                <w:sz w:val="16"/>
                <w:szCs w:val="16"/>
                <w:color w:val="auto"/>
                <w:w w:val="89"/>
              </w:rPr>
              <w:t>496</w:t>
            </w:r>
          </w:p>
        </w:tc>
        <w:tc>
          <w:tcPr>
            <w:tcW w:w="68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w w:val="97"/>
              </w:rPr>
              <w:t>405</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1480" w:type="dxa"/>
            <w:vAlign w:val="bottom"/>
          </w:tcPr>
          <w:p>
            <w:pPr>
              <w:jc w:val="right"/>
              <w:ind w:right="939"/>
              <w:spacing w:after="0"/>
              <w:rPr>
                <w:sz w:val="20"/>
                <w:szCs w:val="20"/>
                <w:color w:val="auto"/>
              </w:rPr>
            </w:pPr>
            <w:r>
              <w:rPr>
                <w:rFonts w:ascii="Arial" w:cs="Arial" w:eastAsia="Arial" w:hAnsi="Arial"/>
                <w:sz w:val="16"/>
                <w:szCs w:val="16"/>
                <w:color w:val="auto"/>
              </w:rPr>
              <w:t>16 %</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17 %</w:t>
            </w:r>
          </w:p>
        </w:tc>
        <w:tc>
          <w:tcPr>
            <w:tcW w:w="1300" w:type="dxa"/>
            <w:vAlign w:val="bottom"/>
          </w:tcPr>
          <w:p>
            <w:pPr>
              <w:spacing w:after="0"/>
              <w:rPr>
                <w:sz w:val="18"/>
                <w:szCs w:val="18"/>
                <w:color w:val="auto"/>
              </w:rPr>
            </w:pPr>
          </w:p>
        </w:tc>
      </w:tr>
    </w:tbl>
    <w:p>
      <w:pPr>
        <w:spacing w:after="0" w:line="2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and marketing expenses increased for the three months ended March 31, 2026 compared to the same period in 2025, due to increases of $62 million in overall marketing program spend, $10 million in employee-related costs and $16 million in payouts related to our affiliate partner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1"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920" w:type="dxa"/>
            <w:vAlign w:val="bottom"/>
          </w:tcPr>
          <w:p>
            <w:pPr>
              <w:spacing w:after="0"/>
              <w:rPr>
                <w:sz w:val="18"/>
                <w:szCs w:val="18"/>
                <w:color w:val="auto"/>
              </w:rPr>
            </w:pPr>
          </w:p>
        </w:tc>
        <w:tc>
          <w:tcPr>
            <w:tcW w:w="4320" w:type="dxa"/>
            <w:vAlign w:val="bottom"/>
            <w:gridSpan w:val="4"/>
          </w:tcPr>
          <w:p>
            <w:pPr>
              <w:jc w:val="right"/>
              <w:ind w:right="719"/>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77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1480" w:type="dxa"/>
            <w:vAlign w:val="bottom"/>
            <w:shd w:val="clear" w:color="auto" w:fill="F7F7F7"/>
          </w:tcPr>
          <w:p>
            <w:pPr>
              <w:jc w:val="right"/>
              <w:ind w:right="1139"/>
              <w:spacing w:after="0"/>
              <w:rPr>
                <w:sz w:val="20"/>
                <w:szCs w:val="20"/>
                <w:color w:val="auto"/>
              </w:rPr>
            </w:pPr>
            <w:r>
              <w:rPr>
                <w:rFonts w:ascii="Arial" w:cs="Arial" w:eastAsia="Arial" w:hAnsi="Arial"/>
                <w:sz w:val="16"/>
                <w:szCs w:val="16"/>
                <w:color w:val="auto"/>
                <w:w w:val="89"/>
              </w:rPr>
              <w:t>437</w:t>
            </w:r>
          </w:p>
        </w:tc>
        <w:tc>
          <w:tcPr>
            <w:tcW w:w="68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w w:val="97"/>
              </w:rPr>
              <w:t>377</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1480" w:type="dxa"/>
            <w:vAlign w:val="bottom"/>
          </w:tcPr>
          <w:p>
            <w:pPr>
              <w:jc w:val="right"/>
              <w:ind w:right="939"/>
              <w:spacing w:after="0"/>
              <w:rPr>
                <w:sz w:val="20"/>
                <w:szCs w:val="20"/>
                <w:color w:val="auto"/>
              </w:rPr>
            </w:pPr>
            <w:r>
              <w:rPr>
                <w:rFonts w:ascii="Arial" w:cs="Arial" w:eastAsia="Arial" w:hAnsi="Arial"/>
                <w:sz w:val="16"/>
                <w:szCs w:val="16"/>
                <w:color w:val="auto"/>
              </w:rPr>
              <w:t>14 %</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16 %</w:t>
            </w:r>
          </w:p>
        </w:tc>
        <w:tc>
          <w:tcPr>
            <w:tcW w:w="1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for the three months ended March 31, 2026 compared to the same period in 2025, due to increases of $37 million in employee-related costs and $25 million in computer hardware and software costs, which includes AI related usage.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1"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920" w:type="dxa"/>
            <w:vAlign w:val="bottom"/>
          </w:tcPr>
          <w:p>
            <w:pPr>
              <w:spacing w:after="0"/>
              <w:rPr>
                <w:sz w:val="18"/>
                <w:szCs w:val="18"/>
                <w:color w:val="auto"/>
              </w:rPr>
            </w:pPr>
          </w:p>
        </w:tc>
        <w:tc>
          <w:tcPr>
            <w:tcW w:w="4320" w:type="dxa"/>
            <w:vAlign w:val="bottom"/>
            <w:gridSpan w:val="4"/>
          </w:tcPr>
          <w:p>
            <w:pPr>
              <w:jc w:val="right"/>
              <w:ind w:right="719"/>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77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General and administrative</w:t>
            </w:r>
          </w:p>
        </w:tc>
        <w:tc>
          <w:tcPr>
            <w:tcW w:w="1480" w:type="dxa"/>
            <w:vAlign w:val="bottom"/>
            <w:shd w:val="clear" w:color="auto" w:fill="F7F7F7"/>
          </w:tcPr>
          <w:p>
            <w:pPr>
              <w:jc w:val="right"/>
              <w:ind w:right="1139"/>
              <w:spacing w:after="0"/>
              <w:rPr>
                <w:sz w:val="20"/>
                <w:szCs w:val="20"/>
                <w:color w:val="auto"/>
              </w:rPr>
            </w:pPr>
            <w:r>
              <w:rPr>
                <w:rFonts w:ascii="Arial" w:cs="Arial" w:eastAsia="Arial" w:hAnsi="Arial"/>
                <w:sz w:val="16"/>
                <w:szCs w:val="16"/>
                <w:color w:val="auto"/>
                <w:w w:val="89"/>
              </w:rPr>
              <w:t>115</w:t>
            </w:r>
          </w:p>
        </w:tc>
        <w:tc>
          <w:tcPr>
            <w:tcW w:w="68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w w:val="97"/>
              </w:rPr>
              <w:t>109</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1480" w:type="dxa"/>
            <w:vAlign w:val="bottom"/>
          </w:tcPr>
          <w:p>
            <w:pPr>
              <w:jc w:val="right"/>
              <w:ind w:right="939"/>
              <w:spacing w:after="0"/>
              <w:rPr>
                <w:sz w:val="20"/>
                <w:szCs w:val="20"/>
                <w:color w:val="auto"/>
              </w:rPr>
            </w:pPr>
            <w:r>
              <w:rPr>
                <w:rFonts w:ascii="Arial" w:cs="Arial" w:eastAsia="Arial" w:hAnsi="Arial"/>
                <w:sz w:val="16"/>
                <w:szCs w:val="16"/>
                <w:color w:val="auto"/>
              </w:rPr>
              <w:t>4 %</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5 %</w:t>
            </w:r>
          </w:p>
        </w:tc>
        <w:tc>
          <w:tcPr>
            <w:tcW w:w="1300" w:type="dxa"/>
            <w:vAlign w:val="bottom"/>
          </w:tcPr>
          <w:p>
            <w:pPr>
              <w:spacing w:after="0"/>
              <w:rPr>
                <w:sz w:val="18"/>
                <w:szCs w:val="18"/>
                <w:color w:val="auto"/>
              </w:rPr>
            </w:pPr>
          </w:p>
        </w:tc>
      </w:tr>
    </w:tbl>
    <w:p>
      <w:pPr>
        <w:spacing w:after="0" w:line="2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General and administrative expenses increased for the three months ended March 31, 2026 compared to the same period in 2025, due to an increase of $6 million in indirect taxes.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Loan Losses</w:t>
      </w:r>
    </w:p>
    <w:p>
      <w:pPr>
        <w:spacing w:after="0" w:line="228"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920" w:type="dxa"/>
            <w:vAlign w:val="bottom"/>
          </w:tcPr>
          <w:p>
            <w:pPr>
              <w:spacing w:after="0"/>
              <w:rPr>
                <w:sz w:val="18"/>
                <w:szCs w:val="18"/>
                <w:color w:val="auto"/>
              </w:rPr>
            </w:pPr>
          </w:p>
        </w:tc>
        <w:tc>
          <w:tcPr>
            <w:tcW w:w="4320" w:type="dxa"/>
            <w:vAlign w:val="bottom"/>
            <w:gridSpan w:val="4"/>
          </w:tcPr>
          <w:p>
            <w:pPr>
              <w:jc w:val="right"/>
              <w:ind w:right="719"/>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778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Transaction and loan losses</w:t>
            </w:r>
          </w:p>
        </w:tc>
        <w:tc>
          <w:tcPr>
            <w:tcW w:w="1520" w:type="dxa"/>
            <w:vAlign w:val="bottom"/>
            <w:shd w:val="clear" w:color="auto" w:fill="F7F7F7"/>
          </w:tcPr>
          <w:p>
            <w:pPr>
              <w:jc w:val="right"/>
              <w:ind w:right="1179"/>
              <w:spacing w:after="0"/>
              <w:rPr>
                <w:sz w:val="20"/>
                <w:szCs w:val="20"/>
                <w:color w:val="auto"/>
              </w:rPr>
            </w:pPr>
            <w:r>
              <w:rPr>
                <w:rFonts w:ascii="Arial" w:cs="Arial" w:eastAsia="Arial" w:hAnsi="Arial"/>
                <w:sz w:val="16"/>
                <w:szCs w:val="16"/>
                <w:color w:val="auto"/>
                <w:w w:val="89"/>
              </w:rPr>
              <w:t>116</w:t>
            </w:r>
          </w:p>
        </w:tc>
        <w:tc>
          <w:tcPr>
            <w:tcW w:w="6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75</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55 %</w:t>
            </w:r>
          </w:p>
        </w:tc>
      </w:tr>
      <w:tr>
        <w:trPr>
          <w:trHeight w:val="21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1520" w:type="dxa"/>
            <w:vAlign w:val="bottom"/>
          </w:tcPr>
          <w:p>
            <w:pPr>
              <w:jc w:val="right"/>
              <w:ind w:right="979"/>
              <w:spacing w:after="0"/>
              <w:rPr>
                <w:sz w:val="20"/>
                <w:szCs w:val="20"/>
                <w:color w:val="auto"/>
              </w:rPr>
            </w:pPr>
            <w:r>
              <w:rPr>
                <w:rFonts w:ascii="Arial" w:cs="Arial" w:eastAsia="Arial" w:hAnsi="Arial"/>
                <w:sz w:val="16"/>
                <w:szCs w:val="16"/>
                <w:color w:val="auto"/>
              </w:rPr>
              <w:t>4 %</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3 %</w:t>
            </w:r>
          </w:p>
        </w:tc>
        <w:tc>
          <w:tcPr>
            <w:tcW w:w="1300" w:type="dxa"/>
            <w:vAlign w:val="bottom"/>
          </w:tcPr>
          <w:p>
            <w:pPr>
              <w:spacing w:after="0"/>
              <w:rPr>
                <w:sz w:val="18"/>
                <w:szCs w:val="18"/>
                <w:color w:val="auto"/>
              </w:rPr>
            </w:pPr>
          </w:p>
        </w:tc>
      </w:tr>
    </w:tbl>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Transaction and loan losses increased for the three months ended March 31, 2026 compared to the same period in 2025, due to increases of $28 million in losses related to lending services driven by an expansion of our offerings and programs relative to the same period in 2025 and $10 million in losses related to Shopify Payments driven by higher GMV processed through Shopify Payments relative to the same period in 2025.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on Equity and Equity Method Investments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40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7180" w:type="dxa"/>
            <w:vAlign w:val="bottom"/>
          </w:tcPr>
          <w:p>
            <w:pPr>
              <w:spacing w:after="0"/>
              <w:rPr>
                <w:sz w:val="18"/>
                <w:szCs w:val="18"/>
                <w:color w:val="auto"/>
              </w:rPr>
            </w:pPr>
          </w:p>
        </w:tc>
        <w:tc>
          <w:tcPr>
            <w:tcW w:w="4060" w:type="dxa"/>
            <w:vAlign w:val="bottom"/>
            <w:gridSpan w:val="3"/>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7180" w:type="dxa"/>
            <w:vAlign w:val="bottom"/>
            <w:shd w:val="clear" w:color="auto" w:fill="F7F7F7"/>
          </w:tcPr>
          <w:p>
            <w:pPr>
              <w:ind w:left="20"/>
              <w:spacing w:after="0"/>
              <w:rPr>
                <w:sz w:val="20"/>
                <w:szCs w:val="20"/>
                <w:color w:val="auto"/>
              </w:rPr>
            </w:pPr>
            <w:r>
              <w:rPr>
                <w:rFonts w:ascii="Arial" w:cs="Arial" w:eastAsia="Arial" w:hAnsi="Arial"/>
                <w:sz w:val="16"/>
                <w:szCs w:val="16"/>
                <w:color w:val="auto"/>
              </w:rPr>
              <w:t>Net loss on equity and equity method investments</w:t>
            </w:r>
          </w:p>
        </w:tc>
        <w:tc>
          <w:tcPr>
            <w:tcW w:w="152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(1,082)</w:t>
            </w:r>
          </w:p>
        </w:tc>
        <w:tc>
          <w:tcPr>
            <w:tcW w:w="132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(1,044)</w:t>
            </w:r>
          </w:p>
        </w:tc>
        <w:tc>
          <w:tcPr>
            <w:tcW w:w="12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4%</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*Not a meaningful comparison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three months ended March 31, 2026, we had a net loss on equity and other investments of $ 1,064 million, which included a $1,009 million unrealized loss in investments with readily determinable fair values which was the result of the change in share prices from December 31, 2025 to March 31, 2026 and $54 million unrealized loss in an investment option. Additionally, the Company had a net loss of $21 million on our equity method investment.</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three months ended March 31, 2025, we had a net loss on equity and other investments of $1,021 million which included a $930 million unrealized loss in investments with readily determinable fair values and was the result of the net change in share prices from December 31, 2024 to March 31, 2025 and a $86 million unrealized loss in an investment option. Additionally, we had a net loss of $23 million on our equity method investment.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8"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6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7260" w:type="dxa"/>
            <w:vAlign w:val="bottom"/>
          </w:tcPr>
          <w:p>
            <w:pPr>
              <w:spacing w:after="0"/>
              <w:rPr>
                <w:sz w:val="18"/>
                <w:szCs w:val="18"/>
                <w:color w:val="auto"/>
              </w:rPr>
            </w:pPr>
          </w:p>
        </w:tc>
        <w:tc>
          <w:tcPr>
            <w:tcW w:w="3980" w:type="dxa"/>
            <w:vAlign w:val="bottom"/>
            <w:gridSpan w:val="4"/>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8140" w:type="dxa"/>
            <w:vAlign w:val="bottom"/>
            <w:gridSpan w:val="2"/>
            <w:shd w:val="clear" w:color="auto" w:fill="F7F7F7"/>
          </w:tcPr>
          <w:p>
            <w:pPr>
              <w:jc w:val="right"/>
              <w:ind w:right="6739"/>
              <w:spacing w:after="0"/>
              <w:rPr>
                <w:sz w:val="20"/>
                <w:szCs w:val="20"/>
                <w:color w:val="auto"/>
              </w:rPr>
            </w:pPr>
            <w:r>
              <w:rPr>
                <w:rFonts w:ascii="Arial" w:cs="Arial" w:eastAsia="Arial" w:hAnsi="Arial"/>
                <w:sz w:val="16"/>
                <w:szCs w:val="16"/>
                <w:color w:val="auto"/>
              </w:rPr>
              <w:t>Other income, net</w:t>
            </w:r>
          </w:p>
        </w:tc>
        <w:tc>
          <w:tcPr>
            <w:tcW w:w="1380" w:type="dxa"/>
            <w:vAlign w:val="bottom"/>
            <w:shd w:val="clear" w:color="auto" w:fill="F7F7F7"/>
          </w:tcPr>
          <w:p>
            <w:pPr>
              <w:jc w:val="right"/>
              <w:ind w:right="1019"/>
              <w:spacing w:after="0"/>
              <w:rPr>
                <w:sz w:val="20"/>
                <w:szCs w:val="20"/>
                <w:color w:val="auto"/>
              </w:rPr>
            </w:pPr>
            <w:r>
              <w:rPr>
                <w:rFonts w:ascii="Arial" w:cs="Arial" w:eastAsia="Arial" w:hAnsi="Arial"/>
                <w:sz w:val="16"/>
                <w:szCs w:val="16"/>
                <w:color w:val="auto"/>
              </w:rPr>
              <w:t>66</w:t>
            </w:r>
          </w:p>
        </w:tc>
        <w:tc>
          <w:tcPr>
            <w:tcW w:w="50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71</w:t>
            </w:r>
          </w:p>
        </w:tc>
        <w:tc>
          <w:tcPr>
            <w:tcW w:w="12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(7)%</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three months ended March 31, 2026, other income, net was driven by interest income of $ 75 million recognized on marketable securities compared to interest income of $65 million recognized on marketable securities for the same period in 2025 and net loss on foreign exchange of $9 million compared to $6 million net gain on foreign exchange for the same period in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Income Taxes</w:t>
      </w:r>
    </w:p>
    <w:p>
      <w:pPr>
        <w:spacing w:after="0" w:line="228"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7220" w:type="dxa"/>
            <w:vAlign w:val="bottom"/>
          </w:tcPr>
          <w:p>
            <w:pPr>
              <w:spacing w:after="0"/>
              <w:rPr>
                <w:sz w:val="18"/>
                <w:szCs w:val="18"/>
                <w:color w:val="auto"/>
              </w:rPr>
            </w:pPr>
          </w:p>
        </w:tc>
        <w:tc>
          <w:tcPr>
            <w:tcW w:w="4020" w:type="dxa"/>
            <w:vAlign w:val="bottom"/>
            <w:gridSpan w:val="4"/>
          </w:tcPr>
          <w:p>
            <w:pPr>
              <w:jc w:val="center"/>
              <w:spacing w:after="0"/>
              <w:rPr>
                <w:sz w:val="20"/>
                <w:szCs w:val="20"/>
                <w:color w:val="auto"/>
              </w:rPr>
            </w:pPr>
            <w:r>
              <w:rPr>
                <w:rFonts w:ascii="Arial" w:cs="Arial" w:eastAsia="Arial" w:hAnsi="Arial"/>
                <w:sz w:val="16"/>
                <w:szCs w:val="16"/>
                <w:color w:val="auto"/>
              </w:rPr>
              <w:t>(in US $ millions, except percentages)</w:t>
            </w:r>
          </w:p>
        </w:tc>
      </w:tr>
      <w:tr>
        <w:trPr>
          <w:trHeight w:val="217"/>
        </w:trPr>
        <w:tc>
          <w:tcPr>
            <w:tcW w:w="8120" w:type="dxa"/>
            <w:vAlign w:val="bottom"/>
            <w:gridSpan w:val="2"/>
            <w:shd w:val="clear" w:color="auto" w:fill="F7F7F7"/>
          </w:tcPr>
          <w:p>
            <w:pPr>
              <w:jc w:val="right"/>
              <w:ind w:right="6159"/>
              <w:spacing w:after="0"/>
              <w:rPr>
                <w:sz w:val="20"/>
                <w:szCs w:val="20"/>
                <w:color w:val="auto"/>
              </w:rPr>
            </w:pPr>
            <w:r>
              <w:rPr>
                <w:rFonts w:ascii="Arial" w:cs="Arial" w:eastAsia="Arial" w:hAnsi="Arial"/>
                <w:sz w:val="16"/>
                <w:szCs w:val="16"/>
                <w:color w:val="auto"/>
              </w:rPr>
              <w:t>Recovery of income taxes</w:t>
            </w:r>
          </w:p>
        </w:tc>
        <w:tc>
          <w:tcPr>
            <w:tcW w:w="1380" w:type="dxa"/>
            <w:vAlign w:val="bottom"/>
            <w:shd w:val="clear" w:color="auto" w:fill="F7F7F7"/>
          </w:tcPr>
          <w:p>
            <w:pPr>
              <w:jc w:val="right"/>
              <w:ind w:right="1039"/>
              <w:spacing w:after="0"/>
              <w:rPr>
                <w:sz w:val="20"/>
                <w:szCs w:val="20"/>
                <w:color w:val="auto"/>
              </w:rPr>
            </w:pPr>
            <w:r>
              <w:rPr>
                <w:rFonts w:ascii="Arial" w:cs="Arial" w:eastAsia="Arial" w:hAnsi="Arial"/>
                <w:sz w:val="16"/>
                <w:szCs w:val="16"/>
                <w:color w:val="auto"/>
              </w:rPr>
              <w:t>53</w:t>
            </w:r>
          </w:p>
        </w:tc>
        <w:tc>
          <w:tcPr>
            <w:tcW w:w="50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88</w:t>
            </w:r>
          </w:p>
        </w:tc>
        <w:tc>
          <w:tcPr>
            <w:tcW w:w="124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(40)%</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a recovery of income taxes of $53 million in the three months ended March 31, 2026, compared to recovery of income taxes of $88 million in the same period in 2025, as a result of unrealized loss on equity and other investments, partially offset by provision for income taxes related to income from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selected unaudited quarterly results of operations data for each of the eight quarters ended March 31, 2026. The information for each of these quarters has been derived from unaudited condensed consolidated financial statements that were prepared on the same basis as the audited annual financial statements and, in the opinion of management, reflects all adjustments, which include only normal recurring adjustments, necessary for the fair statement of the results of operations for these periods in accordance with U.S. GAAP.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3"/>
                <w:szCs w:val="13"/>
                <w:color w:val="auto"/>
              </w:rPr>
            </w:pPr>
          </w:p>
        </w:tc>
        <w:tc>
          <w:tcPr>
            <w:tcW w:w="8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3"/>
                <w:szCs w:val="13"/>
                <w:color w:val="auto"/>
              </w:rPr>
            </w:pPr>
          </w:p>
        </w:tc>
        <w:tc>
          <w:tcPr>
            <w:tcW w:w="78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Sep 30,</w:t>
            </w:r>
          </w:p>
        </w:tc>
        <w:tc>
          <w:tcPr>
            <w:tcW w:w="200" w:type="dxa"/>
            <w:vAlign w:val="bottom"/>
          </w:tcPr>
          <w:p>
            <w:pPr>
              <w:spacing w:after="0"/>
              <w:rPr>
                <w:sz w:val="13"/>
                <w:szCs w:val="13"/>
                <w:color w:val="auto"/>
              </w:rPr>
            </w:pPr>
          </w:p>
        </w:tc>
        <w:tc>
          <w:tcPr>
            <w:tcW w:w="78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Jun 30,</w:t>
            </w:r>
          </w:p>
        </w:tc>
        <w:tc>
          <w:tcPr>
            <w:tcW w:w="200" w:type="dxa"/>
            <w:vAlign w:val="bottom"/>
          </w:tcPr>
          <w:p>
            <w:pPr>
              <w:spacing w:after="0"/>
              <w:rPr>
                <w:sz w:val="13"/>
                <w:szCs w:val="13"/>
                <w:color w:val="auto"/>
              </w:rPr>
            </w:pPr>
          </w:p>
        </w:tc>
        <w:tc>
          <w:tcPr>
            <w:tcW w:w="78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Mar 31,</w:t>
            </w:r>
          </w:p>
        </w:tc>
        <w:tc>
          <w:tcPr>
            <w:tcW w:w="200" w:type="dxa"/>
            <w:vAlign w:val="bottom"/>
          </w:tcPr>
          <w:p>
            <w:pPr>
              <w:spacing w:after="0"/>
              <w:rPr>
                <w:sz w:val="13"/>
                <w:szCs w:val="13"/>
                <w:color w:val="auto"/>
              </w:rPr>
            </w:pPr>
          </w:p>
        </w:tc>
        <w:tc>
          <w:tcPr>
            <w:tcW w:w="78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w w:val="99"/>
              </w:rPr>
              <w:t>Dec 31,</w:t>
            </w:r>
          </w:p>
        </w:tc>
        <w:tc>
          <w:tcPr>
            <w:tcW w:w="180" w:type="dxa"/>
            <w:vAlign w:val="bottom"/>
          </w:tcPr>
          <w:p>
            <w:pPr>
              <w:spacing w:after="0"/>
              <w:rPr>
                <w:sz w:val="13"/>
                <w:szCs w:val="13"/>
                <w:color w:val="auto"/>
              </w:rPr>
            </w:pPr>
          </w:p>
        </w:tc>
        <w:tc>
          <w:tcPr>
            <w:tcW w:w="80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Sep 30,</w:t>
            </w:r>
          </w:p>
        </w:tc>
        <w:tc>
          <w:tcPr>
            <w:tcW w:w="180" w:type="dxa"/>
            <w:vAlign w:val="bottom"/>
          </w:tcPr>
          <w:p>
            <w:pPr>
              <w:spacing w:after="0"/>
              <w:rPr>
                <w:sz w:val="13"/>
                <w:szCs w:val="13"/>
                <w:color w:val="auto"/>
              </w:rPr>
            </w:pPr>
          </w:p>
        </w:tc>
        <w:tc>
          <w:tcPr>
            <w:tcW w:w="74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Jun 30,</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gridSpan w:val="7"/>
          </w:tcPr>
          <w:p>
            <w:pPr>
              <w:jc w:val="right"/>
              <w:ind w:right="299"/>
              <w:spacing w:after="0"/>
              <w:rPr>
                <w:sz w:val="20"/>
                <w:szCs w:val="20"/>
                <w:color w:val="auto"/>
              </w:rPr>
            </w:pPr>
            <w:r>
              <w:rPr>
                <w:rFonts w:ascii="Arial" w:cs="Arial" w:eastAsia="Arial" w:hAnsi="Arial"/>
                <w:sz w:val="16"/>
                <w:szCs w:val="16"/>
                <w:color w:val="auto"/>
              </w:rPr>
              <w:t>(in US $ millions, except per share amounts)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tcPr>
          <w:p>
            <w:pPr>
              <w:ind w:left="14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220"/>
              <w:spacing w:after="0"/>
              <w:rPr>
                <w:sz w:val="20"/>
                <w:szCs w:val="20"/>
                <w:color w:val="auto"/>
              </w:rPr>
            </w:pPr>
            <w:r>
              <w:rPr>
                <w:rFonts w:ascii="Arial" w:cs="Arial" w:eastAsia="Arial" w:hAnsi="Arial"/>
                <w:sz w:val="16"/>
                <w:szCs w:val="16"/>
                <w:color w:val="auto"/>
              </w:rPr>
              <w:t>Subscription solutions</w:t>
            </w:r>
          </w:p>
        </w:tc>
        <w:tc>
          <w:tcPr>
            <w:tcW w:w="14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750</w:t>
            </w:r>
          </w:p>
        </w:tc>
        <w:tc>
          <w:tcPr>
            <w:tcW w:w="180" w:type="dxa"/>
            <w:vAlign w:val="bottom"/>
            <w:shd w:val="clear" w:color="auto" w:fill="F7F7F7"/>
          </w:tcPr>
          <w:p>
            <w:pPr>
              <w:spacing w:after="0"/>
              <w:rPr>
                <w:sz w:val="18"/>
                <w:szCs w:val="18"/>
                <w:color w:val="auto"/>
              </w:rPr>
            </w:pPr>
          </w:p>
        </w:tc>
        <w:tc>
          <w:tcPr>
            <w:tcW w:w="8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699</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620</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666</w:t>
            </w:r>
          </w:p>
        </w:tc>
        <w:tc>
          <w:tcPr>
            <w:tcW w:w="180" w:type="dxa"/>
            <w:vAlign w:val="bottom"/>
            <w:shd w:val="clear" w:color="auto" w:fill="F7F7F7"/>
          </w:tcPr>
          <w:p>
            <w:pPr>
              <w:spacing w:after="0"/>
              <w:rPr>
                <w:sz w:val="18"/>
                <w:szCs w:val="18"/>
                <w:color w:val="auto"/>
              </w:rPr>
            </w:pPr>
          </w:p>
        </w:tc>
        <w:tc>
          <w:tcPr>
            <w:tcW w:w="80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610</w:t>
            </w:r>
          </w:p>
        </w:tc>
        <w:tc>
          <w:tcPr>
            <w:tcW w:w="180" w:type="dxa"/>
            <w:vAlign w:val="bottom"/>
            <w:shd w:val="clear" w:color="auto" w:fill="F7F7F7"/>
          </w:tcPr>
          <w:p>
            <w:pPr>
              <w:spacing w:after="0"/>
              <w:rPr>
                <w:sz w:val="18"/>
                <w:szCs w:val="18"/>
                <w:color w:val="auto"/>
              </w:rPr>
            </w:pPr>
          </w:p>
        </w:tc>
        <w:tc>
          <w:tcPr>
            <w:tcW w:w="7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F7F7F7"/>
            </w:tcBorders>
          </w:tcPr>
          <w:p>
            <w:pPr>
              <w:ind w:left="220"/>
              <w:spacing w:after="0"/>
              <w:rPr>
                <w:sz w:val="20"/>
                <w:szCs w:val="20"/>
                <w:color w:val="auto"/>
              </w:rPr>
            </w:pPr>
            <w:r>
              <w:rPr>
                <w:rFonts w:ascii="Arial" w:cs="Arial" w:eastAsia="Arial" w:hAnsi="Arial"/>
                <w:sz w:val="16"/>
                <w:szCs w:val="16"/>
                <w:color w:val="auto"/>
              </w:rPr>
              <w:t>Merchant solutions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2,895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2,146</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shd w:val="clear" w:color="auto" w:fill="F7F7F7"/>
          </w:tcPr>
          <w:p>
            <w:pPr>
              <w:spacing w:after="0"/>
              <w:rPr>
                <w:sz w:val="18"/>
                <w:szCs w:val="18"/>
                <w:color w:val="auto"/>
              </w:rPr>
            </w:pP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3,170</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3,672</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2,844</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2,680</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2,360</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2,812</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2,162</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2,045</w:t>
            </w:r>
          </w:p>
        </w:tc>
        <w:tc>
          <w:tcPr>
            <w:tcW w:w="0" w:type="dxa"/>
            <w:vAlign w:val="bottom"/>
          </w:tcPr>
          <w:p>
            <w:pPr>
              <w:spacing w:after="0"/>
              <w:rPr>
                <w:sz w:val="1"/>
                <w:szCs w:val="1"/>
                <w:color w:val="auto"/>
              </w:rPr>
            </w:pPr>
          </w:p>
        </w:tc>
      </w:tr>
      <w:tr>
        <w:trPr>
          <w:trHeight w:val="209"/>
        </w:trPr>
        <w:tc>
          <w:tcPr>
            <w:tcW w:w="3480" w:type="dxa"/>
            <w:vAlign w:val="bottom"/>
          </w:tcPr>
          <w:p>
            <w:pPr>
              <w:ind w:left="120"/>
              <w:spacing w:after="0" w:line="210"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(1)(2)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220"/>
              <w:spacing w:after="0"/>
              <w:rPr>
                <w:sz w:val="20"/>
                <w:szCs w:val="20"/>
                <w:color w:val="auto"/>
              </w:rPr>
            </w:pPr>
            <w:r>
              <w:rPr>
                <w:rFonts w:ascii="Arial" w:cs="Arial" w:eastAsia="Arial" w:hAnsi="Arial"/>
                <w:sz w:val="16"/>
                <w:szCs w:val="16"/>
                <w:color w:val="auto"/>
              </w:rPr>
              <w:t>Subscription solutions</w:t>
            </w:r>
          </w:p>
        </w:tc>
        <w:tc>
          <w:tcPr>
            <w:tcW w:w="14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F7F7F7"/>
          </w:tcPr>
          <w:p>
            <w:pPr>
              <w:spacing w:after="0"/>
              <w:rPr>
                <w:sz w:val="18"/>
                <w:szCs w:val="18"/>
                <w:color w:val="auto"/>
              </w:rPr>
            </w:pPr>
          </w:p>
        </w:tc>
        <w:tc>
          <w:tcPr>
            <w:tcW w:w="8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128</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121</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F7F7F7"/>
          </w:tcPr>
          <w:p>
            <w:pPr>
              <w:spacing w:after="0"/>
              <w:rPr>
                <w:sz w:val="18"/>
                <w:szCs w:val="18"/>
                <w:color w:val="auto"/>
              </w:rPr>
            </w:pPr>
          </w:p>
        </w:tc>
        <w:tc>
          <w:tcPr>
            <w:tcW w:w="80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108</w:t>
            </w:r>
          </w:p>
        </w:tc>
        <w:tc>
          <w:tcPr>
            <w:tcW w:w="180" w:type="dxa"/>
            <w:vAlign w:val="bottom"/>
            <w:shd w:val="clear" w:color="auto" w:fill="F7F7F7"/>
          </w:tcPr>
          <w:p>
            <w:pPr>
              <w:spacing w:after="0"/>
              <w:rPr>
                <w:sz w:val="18"/>
                <w:szCs w:val="18"/>
                <w:color w:val="auto"/>
              </w:rPr>
            </w:pPr>
          </w:p>
        </w:tc>
        <w:tc>
          <w:tcPr>
            <w:tcW w:w="7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F7F7F7"/>
            </w:tcBorders>
          </w:tcPr>
          <w:p>
            <w:pPr>
              <w:ind w:left="220"/>
              <w:spacing w:after="0"/>
              <w:rPr>
                <w:sz w:val="20"/>
                <w:szCs w:val="20"/>
                <w:color w:val="auto"/>
              </w:rPr>
            </w:pPr>
            <w:r>
              <w:rPr>
                <w:rFonts w:ascii="Arial" w:cs="Arial" w:eastAsia="Arial" w:hAnsi="Arial"/>
                <w:sz w:val="16"/>
                <w:szCs w:val="16"/>
                <w:color w:val="auto"/>
              </w:rPr>
              <w:t>Merchant solutions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1,476</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1,831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1,257</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1,326</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936</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0"/>
        </w:trPr>
        <w:tc>
          <w:tcPr>
            <w:tcW w:w="3480" w:type="dxa"/>
            <w:vAlign w:val="bottom"/>
            <w:shd w:val="clear" w:color="auto" w:fill="F7F7F7"/>
          </w:tcPr>
          <w:p>
            <w:pPr>
              <w:spacing w:after="0"/>
              <w:rPr>
                <w:sz w:val="18"/>
                <w:szCs w:val="18"/>
                <w:color w:val="auto"/>
              </w:rPr>
            </w:pP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1,624</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1,979</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1,453</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1,378</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1,191</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1,460</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1,044</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Gross profit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1,546</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1,693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1,302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1,169</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1,352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1,118</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1,045</w:t>
            </w:r>
          </w:p>
        </w:tc>
        <w:tc>
          <w:tcPr>
            <w:tcW w:w="0" w:type="dxa"/>
            <w:vAlign w:val="bottom"/>
          </w:tcPr>
          <w:p>
            <w:pPr>
              <w:spacing w:after="0"/>
              <w:rPr>
                <w:sz w:val="1"/>
                <w:szCs w:val="1"/>
                <w:color w:val="auto"/>
              </w:rPr>
            </w:pPr>
          </w:p>
        </w:tc>
      </w:tr>
      <w:tr>
        <w:trPr>
          <w:trHeight w:val="210"/>
        </w:trPr>
        <w:tc>
          <w:tcPr>
            <w:tcW w:w="34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20" w:type="dxa"/>
            <w:vAlign w:val="bottom"/>
            <w:shd w:val="clear" w:color="auto" w:fill="F7F7F7"/>
          </w:tcPr>
          <w:p>
            <w:pPr>
              <w:spacing w:after="0"/>
              <w:rPr>
                <w:sz w:val="18"/>
                <w:szCs w:val="18"/>
                <w:color w:val="auto"/>
              </w:rPr>
            </w:pPr>
          </w:p>
        </w:tc>
        <w:tc>
          <w:tcPr>
            <w:tcW w:w="22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0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line="216"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433</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220"/>
              <w:spacing w:after="0" w:line="216"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4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F7F7F7"/>
          </w:tcPr>
          <w:p>
            <w:pPr>
              <w:spacing w:after="0"/>
              <w:rPr>
                <w:sz w:val="18"/>
                <w:szCs w:val="18"/>
                <w:color w:val="auto"/>
              </w:rPr>
            </w:pPr>
          </w:p>
        </w:tc>
        <w:tc>
          <w:tcPr>
            <w:tcW w:w="8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390</w:t>
            </w:r>
          </w:p>
        </w:tc>
        <w:tc>
          <w:tcPr>
            <w:tcW w:w="22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375</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394</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377</w:t>
            </w: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351</w:t>
            </w:r>
          </w:p>
        </w:tc>
        <w:tc>
          <w:tcPr>
            <w:tcW w:w="180" w:type="dxa"/>
            <w:vAlign w:val="bottom"/>
            <w:shd w:val="clear" w:color="auto" w:fill="F7F7F7"/>
          </w:tcPr>
          <w:p>
            <w:pPr>
              <w:spacing w:after="0"/>
              <w:rPr>
                <w:sz w:val="18"/>
                <w:szCs w:val="18"/>
                <w:color w:val="auto"/>
              </w:rPr>
            </w:pPr>
          </w:p>
        </w:tc>
        <w:tc>
          <w:tcPr>
            <w:tcW w:w="80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332</w:t>
            </w:r>
          </w:p>
        </w:tc>
        <w:tc>
          <w:tcPr>
            <w:tcW w:w="180" w:type="dxa"/>
            <w:vAlign w:val="bottom"/>
            <w:shd w:val="clear" w:color="auto" w:fill="F7F7F7"/>
          </w:tcPr>
          <w:p>
            <w:pPr>
              <w:spacing w:after="0"/>
              <w:rPr>
                <w:sz w:val="18"/>
                <w:szCs w:val="18"/>
                <w:color w:val="auto"/>
              </w:rPr>
            </w:pPr>
          </w:p>
        </w:tc>
        <w:tc>
          <w:tcPr>
            <w:tcW w:w="7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(1)(3)(4)</w:t>
            </w:r>
          </w:p>
        </w:tc>
        <w:tc>
          <w:tcPr>
            <w:tcW w:w="1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220"/>
              <w:spacing w:after="0"/>
              <w:rPr>
                <w:sz w:val="20"/>
                <w:szCs w:val="20"/>
                <w:color w:val="auto"/>
              </w:rPr>
            </w:pPr>
            <w:r>
              <w:rPr>
                <w:rFonts w:ascii="Arial" w:cs="Arial" w:eastAsia="Arial" w:hAnsi="Arial"/>
                <w:sz w:val="16"/>
                <w:szCs w:val="16"/>
                <w:color w:val="auto"/>
              </w:rPr>
              <w:t>Transaction and loan losses</w:t>
            </w: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75</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76</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887</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Income from operations</w:t>
            </w: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382</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631</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343</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291</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203</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465</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283</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155"/>
        </w:trPr>
        <w:tc>
          <w:tcPr>
            <w:tcW w:w="3480" w:type="dxa"/>
            <w:vAlign w:val="bottom"/>
          </w:tcPr>
          <w:p>
            <w:pPr>
              <w:ind w:left="120"/>
              <w:spacing w:after="0" w:line="155" w:lineRule="exact"/>
              <w:rPr>
                <w:sz w:val="20"/>
                <w:szCs w:val="20"/>
                <w:color w:val="auto"/>
              </w:rPr>
            </w:pPr>
            <w:r>
              <w:rPr>
                <w:rFonts w:ascii="Arial" w:cs="Arial" w:eastAsia="Arial" w:hAnsi="Arial"/>
                <w:sz w:val="16"/>
                <w:szCs w:val="16"/>
                <w:color w:val="auto"/>
              </w:rPr>
              <w:t>Net (loss) gain on equity and equity method</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18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3"/>
                <w:szCs w:val="13"/>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658</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(1,044)</w:t>
            </w:r>
          </w:p>
        </w:tc>
        <w:tc>
          <w:tcPr>
            <w:tcW w:w="200" w:type="dxa"/>
            <w:vAlign w:val="bottom"/>
          </w:tcPr>
          <w:p>
            <w:pPr>
              <w:spacing w:after="0"/>
              <w:rPr>
                <w:sz w:val="13"/>
                <w:szCs w:val="13"/>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906</w:t>
            </w:r>
          </w:p>
        </w:tc>
        <w:tc>
          <w:tcPr>
            <w:tcW w:w="180" w:type="dxa"/>
            <w:vAlign w:val="bottom"/>
          </w:tcPr>
          <w:p>
            <w:pPr>
              <w:spacing w:after="0"/>
              <w:rPr>
                <w:sz w:val="13"/>
                <w:szCs w:val="13"/>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484</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line="216"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(5)</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1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130</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93</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(Loss) income before income taxes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1,079</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1,421</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3480" w:type="dxa"/>
            <w:vAlign w:val="bottom"/>
            <w:shd w:val="clear" w:color="auto" w:fill="F7F7F7"/>
          </w:tcPr>
          <w:p>
            <w:pPr>
              <w:ind w:left="120"/>
              <w:spacing w:after="0"/>
              <w:rPr>
                <w:sz w:val="20"/>
                <w:szCs w:val="20"/>
                <w:color w:val="auto"/>
              </w:rPr>
            </w:pPr>
            <w:r>
              <w:rPr>
                <w:rFonts w:ascii="Arial" w:cs="Arial" w:eastAsia="Arial" w:hAnsi="Arial"/>
                <w:sz w:val="16"/>
                <w:szCs w:val="16"/>
                <w:color w:val="auto"/>
              </w:rPr>
              <w:t>Recovery of (provision for) income taxes</w:t>
            </w:r>
          </w:p>
        </w:tc>
        <w:tc>
          <w:tcPr>
            <w:tcW w:w="14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auto"/>
            </w:tcBorders>
            <w:shd w:val="clear" w:color="auto" w:fill="F7F7F7"/>
          </w:tcPr>
          <w:p>
            <w:pPr>
              <w:spacing w:after="0"/>
              <w:rPr>
                <w:sz w:val="18"/>
                <w:szCs w:val="18"/>
                <w:color w:val="auto"/>
              </w:rPr>
            </w:pPr>
          </w:p>
        </w:tc>
        <w:tc>
          <w:tcPr>
            <w:tcW w:w="82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(149)</w:t>
            </w:r>
          </w:p>
        </w:tc>
        <w:tc>
          <w:tcPr>
            <w:tcW w:w="22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88</w:t>
            </w:r>
          </w:p>
        </w:tc>
        <w:tc>
          <w:tcPr>
            <w:tcW w:w="200" w:type="dxa"/>
            <w:vAlign w:val="bottom"/>
            <w:tcBorders>
              <w:bottom w:val="single" w:sz="8" w:color="auto"/>
            </w:tcBorders>
            <w:shd w:val="clear" w:color="auto" w:fill="F7F7F7"/>
          </w:tcPr>
          <w:p>
            <w:pPr>
              <w:spacing w:after="0"/>
              <w:rPr>
                <w:sz w:val="18"/>
                <w:szCs w:val="18"/>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shd w:val="clear" w:color="auto" w:fill="F7F7F7"/>
          </w:tcPr>
          <w:p>
            <w:pPr>
              <w:spacing w:after="0"/>
              <w:rPr>
                <w:sz w:val="18"/>
                <w:szCs w:val="18"/>
                <w:color w:val="auto"/>
              </w:rPr>
            </w:pPr>
          </w:p>
        </w:tc>
        <w:tc>
          <w:tcPr>
            <w:tcW w:w="7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(loss) income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1,293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828</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0" w:type="dxa"/>
            <w:vAlign w:val="bottom"/>
          </w:tcPr>
          <w:p>
            <w:pPr>
              <w:spacing w:after="0"/>
              <w:rPr>
                <w:sz w:val="1"/>
                <w:szCs w:val="1"/>
                <w:color w:val="auto"/>
              </w:rPr>
            </w:pPr>
          </w:p>
        </w:tc>
      </w:tr>
      <w:tr>
        <w:trPr>
          <w:trHeight w:val="156"/>
        </w:trPr>
        <w:tc>
          <w:tcPr>
            <w:tcW w:w="3480" w:type="dxa"/>
            <w:vAlign w:val="bottom"/>
            <w:shd w:val="clear" w:color="auto" w:fill="F7F7F7"/>
          </w:tcPr>
          <w:p>
            <w:pPr>
              <w:ind w:left="140"/>
              <w:spacing w:after="0" w:line="155" w:lineRule="exact"/>
              <w:rPr>
                <w:sz w:val="20"/>
                <w:szCs w:val="20"/>
                <w:color w:val="auto"/>
              </w:rPr>
            </w:pPr>
            <w:r>
              <w:rPr>
                <w:rFonts w:ascii="Arial" w:cs="Arial" w:eastAsia="Arial" w:hAnsi="Arial"/>
                <w:sz w:val="16"/>
                <w:szCs w:val="16"/>
                <w:b w:val="1"/>
                <w:bCs w:val="1"/>
                <w:color w:val="auto"/>
              </w:rPr>
              <w:t>Net (loss) income per share attributable to</w:t>
            </w:r>
          </w:p>
        </w:tc>
        <w:tc>
          <w:tcPr>
            <w:tcW w:w="14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820" w:type="dxa"/>
            <w:vAlign w:val="bottom"/>
            <w:shd w:val="clear" w:color="auto" w:fill="F7F7F7"/>
          </w:tcPr>
          <w:p>
            <w:pPr>
              <w:spacing w:after="0"/>
              <w:rPr>
                <w:sz w:val="13"/>
                <w:szCs w:val="13"/>
                <w:color w:val="auto"/>
              </w:rPr>
            </w:pPr>
          </w:p>
        </w:tc>
        <w:tc>
          <w:tcPr>
            <w:tcW w:w="22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20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20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20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80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40" w:type="dxa"/>
            <w:vAlign w:val="bottom"/>
            <w:shd w:val="clear" w:color="auto" w:fill="F7F7F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shareholders:</w:t>
            </w:r>
          </w:p>
        </w:tc>
        <w:tc>
          <w:tcPr>
            <w:tcW w:w="14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20" w:type="dxa"/>
            <w:vAlign w:val="bottom"/>
            <w:shd w:val="clear" w:color="auto" w:fill="F7F7F7"/>
          </w:tcPr>
          <w:p>
            <w:pPr>
              <w:spacing w:after="0"/>
              <w:rPr>
                <w:sz w:val="18"/>
                <w:szCs w:val="18"/>
                <w:color w:val="auto"/>
              </w:rPr>
            </w:pPr>
          </w:p>
        </w:tc>
        <w:tc>
          <w:tcPr>
            <w:tcW w:w="22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0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36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7"/>
        </w:trPr>
        <w:tc>
          <w:tcPr>
            <w:tcW w:w="3480" w:type="dxa"/>
            <w:vAlign w:val="bottom"/>
            <w:shd w:val="clear" w:color="auto" w:fill="F7F7F7"/>
          </w:tcPr>
          <w:p>
            <w:pPr>
              <w:ind w:left="36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F7F7F7"/>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(0.45)</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0.57</w:t>
            </w:r>
          </w:p>
        </w:tc>
        <w:tc>
          <w:tcPr>
            <w:tcW w:w="2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0.20</w:t>
            </w:r>
          </w:p>
        </w:tc>
        <w:tc>
          <w:tcPr>
            <w:tcW w:w="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0.69</w:t>
            </w:r>
          </w:p>
        </w:tc>
        <w:tc>
          <w:tcPr>
            <w:tcW w:w="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(0.53)</w:t>
            </w:r>
          </w:p>
        </w:tc>
        <w:tc>
          <w:tcPr>
            <w:tcW w:w="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0.99</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0.64</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Includes stock-based compensation expense and related payroll taxes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55"/>
        </w:trPr>
        <w:tc>
          <w:tcPr>
            <w:tcW w:w="3560" w:type="dxa"/>
            <w:vAlign w:val="bottom"/>
          </w:tcPr>
          <w:p>
            <w:pPr>
              <w:spacing w:after="0"/>
              <w:rPr>
                <w:sz w:val="13"/>
                <w:szCs w:val="13"/>
                <w:color w:val="auto"/>
              </w:rPr>
            </w:pP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Mar 31,</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Dec 31,</w:t>
            </w: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 30,</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Jun 30,</w:t>
            </w:r>
          </w:p>
        </w:tc>
        <w:tc>
          <w:tcPr>
            <w:tcW w:w="980" w:type="dxa"/>
            <w:vAlign w:val="bottom"/>
          </w:tcPr>
          <w:p>
            <w:pPr>
              <w:jc w:val="right"/>
              <w:ind w:right="179"/>
              <w:spacing w:after="0" w:line="155" w:lineRule="exact"/>
              <w:rPr>
                <w:sz w:val="20"/>
                <w:szCs w:val="20"/>
                <w:color w:val="auto"/>
              </w:rPr>
            </w:pPr>
            <w:r>
              <w:rPr>
                <w:rFonts w:ascii="Arial" w:cs="Arial" w:eastAsia="Arial" w:hAnsi="Arial"/>
                <w:sz w:val="16"/>
                <w:szCs w:val="16"/>
                <w:b w:val="1"/>
                <w:bCs w:val="1"/>
                <w:color w:val="auto"/>
              </w:rPr>
              <w:t>Mar 31,</w:t>
            </w: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Dec 31,</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 30,</w:t>
            </w:r>
          </w:p>
        </w:tc>
        <w:tc>
          <w:tcPr>
            <w:tcW w:w="88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Jun 30,</w:t>
            </w:r>
          </w:p>
        </w:tc>
      </w:tr>
      <w:tr>
        <w:trPr>
          <w:trHeight w:val="216"/>
        </w:trPr>
        <w:tc>
          <w:tcPr>
            <w:tcW w:w="3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r>
      <w:tr>
        <w:trPr>
          <w:trHeight w:val="209"/>
        </w:trPr>
        <w:tc>
          <w:tcPr>
            <w:tcW w:w="3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2"/>
          </w:tcPr>
          <w:p>
            <w:pPr>
              <w:jc w:val="right"/>
              <w:ind w:right="319"/>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56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35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97</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87</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78</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85</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84</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77</w:t>
            </w:r>
          </w:p>
        </w:tc>
        <w:tc>
          <w:tcPr>
            <w:tcW w:w="8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356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3560" w:type="dxa"/>
            <w:vAlign w:val="bottom"/>
            <w:shd w:val="clear" w:color="auto" w:fill="F7F7F7"/>
          </w:tcPr>
          <w:p>
            <w:pPr>
              <w:spacing w:after="0"/>
              <w:rPr>
                <w:sz w:val="18"/>
                <w:szCs w:val="18"/>
                <w:color w:val="auto"/>
              </w:rPr>
            </w:pP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138</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125</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116</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120</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123</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118</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115</w:t>
            </w:r>
          </w:p>
        </w:tc>
        <w:tc>
          <w:tcPr>
            <w:tcW w:w="8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109</w:t>
            </w:r>
          </w:p>
        </w:tc>
      </w:tr>
    </w:tbl>
    <w:p>
      <w:pPr>
        <w:spacing w:after="0" w:line="8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Includes amortization of acquired intangibles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55"/>
        </w:trPr>
        <w:tc>
          <w:tcPr>
            <w:tcW w:w="3560" w:type="dxa"/>
            <w:vAlign w:val="bottom"/>
          </w:tcPr>
          <w:p>
            <w:pPr>
              <w:spacing w:after="0"/>
              <w:rPr>
                <w:sz w:val="13"/>
                <w:szCs w:val="13"/>
                <w:color w:val="auto"/>
              </w:rPr>
            </w:pP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Mar 31,</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Dec 31,</w:t>
            </w: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 30,</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Jun 30,</w:t>
            </w:r>
          </w:p>
        </w:tc>
        <w:tc>
          <w:tcPr>
            <w:tcW w:w="980" w:type="dxa"/>
            <w:vAlign w:val="bottom"/>
          </w:tcPr>
          <w:p>
            <w:pPr>
              <w:jc w:val="right"/>
              <w:ind w:right="179"/>
              <w:spacing w:after="0" w:line="155" w:lineRule="exact"/>
              <w:rPr>
                <w:sz w:val="20"/>
                <w:szCs w:val="20"/>
                <w:color w:val="auto"/>
              </w:rPr>
            </w:pPr>
            <w:r>
              <w:rPr>
                <w:rFonts w:ascii="Arial" w:cs="Arial" w:eastAsia="Arial" w:hAnsi="Arial"/>
                <w:sz w:val="16"/>
                <w:szCs w:val="16"/>
                <w:b w:val="1"/>
                <w:bCs w:val="1"/>
                <w:color w:val="auto"/>
              </w:rPr>
              <w:t>Mar 31,</w:t>
            </w:r>
          </w:p>
        </w:tc>
        <w:tc>
          <w:tcPr>
            <w:tcW w:w="9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Dec 31,</w:t>
            </w:r>
          </w:p>
        </w:tc>
        <w:tc>
          <w:tcPr>
            <w:tcW w:w="9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 30,</w:t>
            </w:r>
          </w:p>
        </w:tc>
        <w:tc>
          <w:tcPr>
            <w:tcW w:w="88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Jun 30,</w:t>
            </w:r>
          </w:p>
        </w:tc>
      </w:tr>
      <w:tr>
        <w:trPr>
          <w:trHeight w:val="216"/>
        </w:trPr>
        <w:tc>
          <w:tcPr>
            <w:tcW w:w="3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r>
      <w:tr>
        <w:trPr>
          <w:trHeight w:val="209"/>
        </w:trPr>
        <w:tc>
          <w:tcPr>
            <w:tcW w:w="3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2"/>
          </w:tcPr>
          <w:p>
            <w:pPr>
              <w:jc w:val="right"/>
              <w:ind w:right="319"/>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560" w:type="dxa"/>
            <w:vAlign w:val="bottom"/>
            <w:shd w:val="clear" w:color="auto" w:fill="F7F7F7"/>
          </w:tcPr>
          <w:p>
            <w:pPr>
              <w:ind w:left="6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w:t>
            </w:r>
          </w:p>
        </w:tc>
        <w:tc>
          <w:tcPr>
            <w:tcW w:w="8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3560" w:type="dxa"/>
            <w:vAlign w:val="bottom"/>
          </w:tcPr>
          <w:p>
            <w:pPr>
              <w:ind w:left="6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560" w:type="dxa"/>
            <w:vAlign w:val="bottom"/>
            <w:shd w:val="clear" w:color="auto" w:fill="F7F7F7"/>
          </w:tcPr>
          <w:p>
            <w:pPr>
              <w:ind w:left="6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56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370"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 the second quarter of 2024, we released an accrual for an estimated liability of $55 million associated with a legal matter.</w:t>
      </w:r>
    </w:p>
    <w:p>
      <w:pPr>
        <w:spacing w:after="0" w:line="126" w:lineRule="exact"/>
        <w:rPr>
          <w:rFonts w:ascii="Arial" w:cs="Arial" w:eastAsia="Arial" w:hAnsi="Arial"/>
          <w:sz w:val="16"/>
          <w:szCs w:val="16"/>
          <w:color w:val="auto"/>
          <w:vertAlign w:val="superscript"/>
        </w:rPr>
      </w:pPr>
    </w:p>
    <w:p>
      <w:pPr>
        <w:ind w:firstLine="8"/>
        <w:spacing w:after="0"/>
        <w:tabs>
          <w:tab w:leader="none" w:pos="154"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Includes impairment related costs associated with right-of-use assets and leasehold improvements of $3 million in the third quarter of 2025 and $10 million in the second quarter of 2025.</w:t>
      </w:r>
    </w:p>
    <w:p>
      <w:pPr>
        <w:spacing w:after="0" w:line="290" w:lineRule="exact"/>
        <w:rPr>
          <w:rFonts w:ascii="Arial" w:cs="Arial" w:eastAsia="Arial" w:hAnsi="Arial"/>
          <w:sz w:val="17"/>
          <w:szCs w:val="17"/>
          <w:color w:val="auto"/>
          <w:vertAlign w:val="superscript"/>
        </w:rPr>
      </w:pPr>
    </w:p>
    <w:p>
      <w:pPr>
        <w:ind w:firstLine="8"/>
        <w:spacing w:after="0" w:line="305" w:lineRule="auto"/>
        <w:tabs>
          <w:tab w:leader="none" w:pos="157"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loss on embedded derivative held to settle the Notes, initially with a $29 million unrealized loss during the third quarter of 2025, which then resulted in a $123 million realized loss during the fourth quarter of 2025.</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period-over-period comparisons are more meaningful than our sequential results due to seasonality in our business. While we believe that this seasonality has affected and will continue to affect our quarterly results, our rapid growth has partially masked seasonal trends to date. Our merchant solutions revenues are directionally correlated with our merchants' GMV. Our merchants' GMV typically increases during the fourth-quarter holiday season. As a result, we have historically generated higher merchant solutions revenues in our fourth quarter than in other quarters. As a result of the growth of our merchant solutions offerings, we believe that our business may become more seasonal in the future, and that historical patterns in our business may not be a reliable indicator of our future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and Gross Margin Trends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revenues experienced a seasonal decrease in our first quarter as consumers typically reduce their spending following the holiday season resulting in a seasonal decrease in GMV per merchant, which was not completely offset by Shopify Payments penetration and MRR growth. Subsequently, revenues have increased in each of the next three quarters as a result of merchant, MRR and overall GMV growth. Our merchants have processed additional GMV during the fourth-quarter holiday seasons, and as a result, we have generated higher subscription solutions and merchant solutions revenues in our fourth quarters compared to other quarters. Due to the continued growth of our merchant solutions offerings, we believe that our business may become more seasonal in the future.</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gross margin is generally driven by the mix between our higher margin subscription solutions revenue and lower margin merchant solutions revenue. While our total revenues have increased in recent periods, the mix has shifted towards merchant solutions revenue, most notably in the fourth quarter due to higher order volumes facilitated during the holiday season and the resulting Shopify Payments revenue during this period. We expect this overall trend to continue over time.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expanding our operations internationally, we anticipate a growing proportion of our revenues and cost of sales transactions to be incurred in foreign currencies as compared to USD due to increased Shopify Payments, Shopify Capital, subscriptions and other billings in select countries in local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currency. Fluctuations in foreign currencies relative to the USD may impact identified quarterly and yearly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Excluding the items outlined in the tables above, operating expenses have increased in connection with revenue and operations growth. We note a significant portion of our operating expenses are incurred in foreign currencies which may impact the comparability of our quarterly and yearly trends.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(Loss) Gain on Equity and Equity Method Investments and Other Income Trends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there have been no consistent trends associated with (loss) gain on equity and equity method investments and other income as changes are impacted by fluctuations in the fair value of our equity investments in public companies with readily determinable fair values, observable changes or impairments associated with our equity investments in private companies without readily determinable fair values, changes in our equity method investment based on our share of income and loss, including amortization of the basis difference, changes in the fair value of our investments in convertible notes of private companies, changes in the fair value of the embedded derivative held to settle the Notes, foreign exchange rates and interest rates. The results from these changes may fluctuate from period to period and may cause volatility to our earnings as well as impact comparability of our results from period to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liquidity through operating cash flows and the proceeds from the exercise of stock options. Shopify maintains a short-form base shelf prospectus with the securities commissions in each of the provinces and territories of Canada, except Quebec, and a corresponding shelf registration statement on Form F-10 with the U.S. SEC. This allows us to offer Class A subordinate voting shares, preferred shares, debt securities, warrants, subscription receipts, units, or any combination thereof, from time to time during the 25-month period that the shelf prospectus is effective. The type of securities and the specific terms thereof will be determined at the time of any offering and will be described in the applicable prospectus supplement to be filed separately with Canadian securities regulators and the SEC.</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cash requirements are for working capital and ongoing operations. Excluding current deferred revenue, working capital as of March 31, 2026 was $7.4 billion. Given the ongoing cash generated from operations and our existing cash and cash equivalents, we believe there is sufficient liquidity to meet our current and planned financial obligations over the next 12 months and into the foreseeable future. Our future cash requirements will depend on many factors, including but not limited to our growth rate, subscription renewal activity, the timing and extent of spending to support development of our platform, the expansion of sales and marketing activities, the macroeconomic conditions and overall levels of consumer spending on goods and potential strategic investments and acquisitions activity. Although we currently are not a party to any material undisclosed agreement and do not have any understanding with any third parties with respect to potential material investments in, or material acquisitions of, businesses or technologies, we may enter into these types of arrangements in the future, which could also require us to seek additional equity or debt financing. Additional funds may not be available on terms favorable to us or at all.</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we repurchased $514 million of our Class A subordinate voting shares under our share repurchase program. As of March 31, 2026, a total of $1.5 billion remained available for future repurchases of our Class A subordinate voting shares. See "Note 10 - Shareholders' Equity" to the condensed consolidated financial statements included in this report for more information about our share repurchase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marketable securities decreased by $35 million to $5.7 billion as of March 31, 2026 from $5.8 billion as of December 31, 2025, primarily as a result of cash provided by our operations and maturities of marketable securities, net of purchases, partially offset by repurchases of class A subordinate voting shares and the purchase and origination of loans, net of repayments. Cash equivalents and marketable securities include money market funds, term deposits, U.S. federal bonds and agency securities and corporate bonds and commercial paper, all maturing within 12 months from March 31, 2026.</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our total cash, cash equivalents and marketable securities as well as our operating, investing and financing activities for the three months ended March 31, 2026 and 2025:</w:t>
      </w:r>
    </w:p>
    <w:p>
      <w:pPr>
        <w:spacing w:after="0" w:line="158"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80" w:type="dxa"/>
            <w:vAlign w:val="bottom"/>
          </w:tcPr>
          <w:p>
            <w:pPr>
              <w:spacing w:after="0"/>
              <w:rPr>
                <w:sz w:val="18"/>
                <w:szCs w:val="18"/>
                <w:color w:val="auto"/>
              </w:rPr>
            </w:pPr>
          </w:p>
        </w:tc>
      </w:tr>
      <w:tr>
        <w:trPr>
          <w:trHeight w:val="217"/>
        </w:trPr>
        <w:tc>
          <w:tcPr>
            <w:tcW w:w="8980" w:type="dxa"/>
            <w:vAlign w:val="bottom"/>
            <w:gridSpan w:val="2"/>
            <w:shd w:val="clear" w:color="auto" w:fill="F7F7F7"/>
          </w:tcPr>
          <w:p>
            <w:pPr>
              <w:ind w:left="120"/>
              <w:spacing w:after="0"/>
              <w:rPr>
                <w:sz w:val="20"/>
                <w:szCs w:val="20"/>
                <w:color w:val="auto"/>
              </w:rPr>
            </w:pPr>
            <w:r>
              <w:rPr>
                <w:rFonts w:ascii="Arial" w:cs="Arial" w:eastAsia="Arial" w:hAnsi="Arial"/>
                <w:sz w:val="16"/>
                <w:szCs w:val="16"/>
                <w:b w:val="1"/>
                <w:bCs w:val="1"/>
                <w:color w:val="auto"/>
              </w:rPr>
              <w:t>Cash, cash equivalents and marketable securities (end of period)</w:t>
            </w:r>
          </w:p>
        </w:tc>
        <w:tc>
          <w:tcPr>
            <w:tcW w:w="1280" w:type="dxa"/>
            <w:vAlign w:val="bottom"/>
            <w:shd w:val="clear" w:color="auto" w:fill="F7F7F7"/>
          </w:tcPr>
          <w:p>
            <w:pPr>
              <w:jc w:val="right"/>
              <w:ind w:right="699"/>
              <w:spacing w:after="0"/>
              <w:rPr>
                <w:sz w:val="20"/>
                <w:szCs w:val="20"/>
                <w:color w:val="auto"/>
              </w:rPr>
            </w:pPr>
            <w:r>
              <w:rPr>
                <w:rFonts w:ascii="Arial" w:cs="Arial" w:eastAsia="Arial" w:hAnsi="Arial"/>
                <w:sz w:val="16"/>
                <w:szCs w:val="16"/>
                <w:b w:val="1"/>
                <w:bCs w:val="1"/>
                <w:color w:val="auto"/>
              </w:rPr>
              <w:t>5,743</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5,514</w:t>
            </w:r>
          </w:p>
        </w:tc>
      </w:tr>
      <w:tr>
        <w:trPr>
          <w:trHeight w:val="215"/>
        </w:trPr>
        <w:tc>
          <w:tcPr>
            <w:tcW w:w="8980" w:type="dxa"/>
            <w:vAlign w:val="bottom"/>
            <w:gridSpan w:val="2"/>
          </w:tcPr>
          <w:p>
            <w:pPr>
              <w:ind w:left="120"/>
              <w:spacing w:after="0"/>
              <w:rPr>
                <w:sz w:val="20"/>
                <w:szCs w:val="20"/>
                <w:color w:val="auto"/>
              </w:rPr>
            </w:pPr>
            <w:r>
              <w:rPr>
                <w:rFonts w:ascii="Arial" w:cs="Arial" w:eastAsia="Arial" w:hAnsi="Arial"/>
                <w:sz w:val="16"/>
                <w:szCs w:val="16"/>
                <w:color w:val="auto"/>
              </w:rPr>
              <w:t>Net cash provided by (used in):</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980" w:type="dxa"/>
            <w:vAlign w:val="bottom"/>
            <w:gridSpan w:val="2"/>
            <w:shd w:val="clear" w:color="auto" w:fill="F7F7F7"/>
          </w:tcPr>
          <w:p>
            <w:pPr>
              <w:ind w:left="560"/>
              <w:spacing w:after="0"/>
              <w:rPr>
                <w:sz w:val="20"/>
                <w:szCs w:val="20"/>
                <w:color w:val="auto"/>
              </w:rPr>
            </w:pPr>
            <w:r>
              <w:rPr>
                <w:rFonts w:ascii="Arial" w:cs="Arial" w:eastAsia="Arial" w:hAnsi="Arial"/>
                <w:sz w:val="16"/>
                <w:szCs w:val="16"/>
                <w:color w:val="auto"/>
              </w:rPr>
              <w:t>Operating activities</w:t>
            </w:r>
          </w:p>
        </w:tc>
        <w:tc>
          <w:tcPr>
            <w:tcW w:w="128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481</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367</w:t>
            </w:r>
          </w:p>
        </w:tc>
      </w:tr>
      <w:tr>
        <w:trPr>
          <w:trHeight w:val="215"/>
        </w:trPr>
        <w:tc>
          <w:tcPr>
            <w:tcW w:w="8980" w:type="dxa"/>
            <w:vAlign w:val="bottom"/>
            <w:gridSpan w:val="2"/>
          </w:tcPr>
          <w:p>
            <w:pPr>
              <w:ind w:left="560"/>
              <w:spacing w:after="0"/>
              <w:rPr>
                <w:sz w:val="20"/>
                <w:szCs w:val="20"/>
                <w:color w:val="auto"/>
              </w:rPr>
            </w:pPr>
            <w:r>
              <w:rPr>
                <w:rFonts w:ascii="Arial" w:cs="Arial" w:eastAsia="Arial" w:hAnsi="Arial"/>
                <w:sz w:val="16"/>
                <w:szCs w:val="16"/>
                <w:color w:val="auto"/>
              </w:rPr>
              <w:t>Investing activities</w:t>
            </w:r>
          </w:p>
        </w:tc>
        <w:tc>
          <w:tcPr>
            <w:tcW w:w="1280" w:type="dxa"/>
            <w:vAlign w:val="bottom"/>
          </w:tcPr>
          <w:p>
            <w:pPr>
              <w:jc w:val="right"/>
              <w:ind w:right="699"/>
              <w:spacing w:after="0"/>
              <w:rPr>
                <w:sz w:val="20"/>
                <w:szCs w:val="20"/>
                <w:color w:val="auto"/>
              </w:rPr>
            </w:pPr>
            <w:r>
              <w:rPr>
                <w:rFonts w:ascii="Arial" w:cs="Arial" w:eastAsia="Arial" w:hAnsi="Arial"/>
                <w:sz w:val="16"/>
                <w:szCs w:val="16"/>
                <w:color w:val="auto"/>
              </w:rPr>
              <w:t>310</w:t>
            </w:r>
          </w:p>
        </w:tc>
        <w:tc>
          <w:tcPr>
            <w:tcW w:w="98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7"/>
        </w:trPr>
        <w:tc>
          <w:tcPr>
            <w:tcW w:w="8980" w:type="dxa"/>
            <w:vAlign w:val="bottom"/>
            <w:gridSpan w:val="2"/>
            <w:shd w:val="clear" w:color="auto" w:fill="F7F7F7"/>
          </w:tcPr>
          <w:p>
            <w:pPr>
              <w:ind w:left="560"/>
              <w:spacing w:after="0"/>
              <w:rPr>
                <w:sz w:val="20"/>
                <w:szCs w:val="20"/>
                <w:color w:val="auto"/>
              </w:rPr>
            </w:pPr>
            <w:r>
              <w:rPr>
                <w:rFonts w:ascii="Arial" w:cs="Arial" w:eastAsia="Arial" w:hAnsi="Arial"/>
                <w:sz w:val="16"/>
                <w:szCs w:val="16"/>
                <w:color w:val="auto"/>
              </w:rPr>
              <w:t>Financing activities</w:t>
            </w:r>
          </w:p>
        </w:tc>
        <w:tc>
          <w:tcPr>
            <w:tcW w:w="1280" w:type="dxa"/>
            <w:vAlign w:val="bottom"/>
            <w:shd w:val="clear" w:color="auto" w:fill="F7F7F7"/>
          </w:tcPr>
          <w:p>
            <w:pPr>
              <w:jc w:val="right"/>
              <w:ind w:right="659"/>
              <w:spacing w:after="0"/>
              <w:rPr>
                <w:sz w:val="20"/>
                <w:szCs w:val="20"/>
                <w:color w:val="auto"/>
              </w:rPr>
            </w:pPr>
            <w:r>
              <w:rPr>
                <w:rFonts w:ascii="Arial" w:cs="Arial" w:eastAsia="Arial" w:hAnsi="Arial"/>
                <w:sz w:val="16"/>
                <w:szCs w:val="16"/>
                <w:color w:val="auto"/>
              </w:rPr>
              <w:t>(485)</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980" w:type="dxa"/>
            <w:vAlign w:val="bottom"/>
            <w:gridSpan w:val="2"/>
          </w:tcPr>
          <w:p>
            <w:pPr>
              <w:ind w:left="120"/>
              <w:spacing w:after="0"/>
              <w:rPr>
                <w:sz w:val="20"/>
                <w:szCs w:val="20"/>
                <w:color w:val="auto"/>
              </w:rPr>
            </w:pPr>
            <w:r>
              <w:rPr>
                <w:rFonts w:ascii="Arial" w:cs="Arial" w:eastAsia="Arial" w:hAnsi="Arial"/>
                <w:sz w:val="16"/>
                <w:szCs w:val="16"/>
                <w:color w:val="auto"/>
              </w:rPr>
              <w:t>Effect of foreign exchange on cash and cash equivalents</w:t>
            </w:r>
          </w:p>
        </w:tc>
        <w:tc>
          <w:tcPr>
            <w:tcW w:w="1280" w:type="dxa"/>
            <w:vAlign w:val="bottom"/>
          </w:tcPr>
          <w:p>
            <w:pPr>
              <w:jc w:val="right"/>
              <w:ind w:right="65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000" w:type="dxa"/>
            <w:vAlign w:val="bottom"/>
            <w:tcBorders>
              <w:top w:val="single" w:sz="8" w:color="F7F7F7"/>
            </w:tcBorders>
            <w:shd w:val="clear" w:color="auto" w:fill="F7F7F7"/>
          </w:tcPr>
          <w:p>
            <w:pPr>
              <w:ind w:left="120"/>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Borders>
              <w:top w:val="single" w:sz="8" w:color="auto"/>
            </w:tcBorders>
            <w:shd w:val="clear" w:color="auto" w:fill="F7F7F7"/>
          </w:tcPr>
          <w:p>
            <w:pPr>
              <w:spacing w:after="0"/>
              <w:rPr>
                <w:sz w:val="18"/>
                <w:szCs w:val="18"/>
                <w:color w:val="auto"/>
              </w:rPr>
            </w:pPr>
          </w:p>
        </w:tc>
        <w:tc>
          <w:tcPr>
            <w:tcW w:w="1280" w:type="dxa"/>
            <w:vAlign w:val="bottom"/>
            <w:tcBorders>
              <w:top w:val="single" w:sz="8" w:color="auto"/>
            </w:tcBorders>
            <w:shd w:val="clear" w:color="auto" w:fill="F7F7F7"/>
          </w:tcPr>
          <w:p>
            <w:pPr>
              <w:jc w:val="right"/>
              <w:ind w:right="699"/>
              <w:spacing w:after="0"/>
              <w:rPr>
                <w:sz w:val="20"/>
                <w:szCs w:val="20"/>
                <w:color w:val="auto"/>
              </w:rPr>
            </w:pPr>
            <w:r>
              <w:rPr>
                <w:rFonts w:ascii="Arial" w:cs="Arial" w:eastAsia="Arial" w:hAnsi="Arial"/>
                <w:sz w:val="16"/>
                <w:szCs w:val="16"/>
                <w:color w:val="auto"/>
              </w:rPr>
              <w:t>303</w:t>
            </w:r>
          </w:p>
        </w:tc>
        <w:tc>
          <w:tcPr>
            <w:tcW w:w="9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898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(Decrease) increase in marketable securities</w:t>
            </w:r>
            <w:r>
              <w:rPr>
                <w:rFonts w:ascii="Arial" w:cs="Arial" w:eastAsia="Arial" w:hAnsi="Arial"/>
                <w:sz w:val="21"/>
                <w:szCs w:val="21"/>
                <w:color w:val="auto"/>
                <w:vertAlign w:val="superscript"/>
              </w:rPr>
              <w:t>(1)</w:t>
            </w:r>
          </w:p>
        </w:tc>
        <w:tc>
          <w:tcPr>
            <w:tcW w:w="1280" w:type="dxa"/>
            <w:vAlign w:val="bottom"/>
          </w:tcPr>
          <w:p>
            <w:pPr>
              <w:jc w:val="right"/>
              <w:ind w:right="659"/>
              <w:spacing w:after="0"/>
              <w:rPr>
                <w:sz w:val="20"/>
                <w:szCs w:val="20"/>
                <w:color w:val="auto"/>
              </w:rPr>
            </w:pPr>
            <w:r>
              <w:rPr>
                <w:rFonts w:ascii="Arial" w:cs="Arial" w:eastAsia="Arial" w:hAnsi="Arial"/>
                <w:sz w:val="16"/>
                <w:szCs w:val="16"/>
                <w:color w:val="auto"/>
              </w:rPr>
              <w:t>(338)</w:t>
            </w: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0"/>
        </w:trPr>
        <w:tc>
          <w:tcPr>
            <w:tcW w:w="8000" w:type="dxa"/>
            <w:vAlign w:val="bottom"/>
            <w:tcBorders>
              <w:top w:val="single" w:sz="8" w:color="F7F7F7"/>
            </w:tcBorders>
            <w:shd w:val="clear" w:color="auto" w:fill="F7F7F7"/>
          </w:tcPr>
          <w:p>
            <w:pPr>
              <w:ind w:left="120"/>
              <w:spacing w:after="0"/>
              <w:rPr>
                <w:sz w:val="20"/>
                <w:szCs w:val="20"/>
                <w:color w:val="auto"/>
              </w:rPr>
            </w:pPr>
            <w:r>
              <w:rPr>
                <w:rFonts w:ascii="Arial" w:cs="Arial" w:eastAsia="Arial" w:hAnsi="Arial"/>
                <w:sz w:val="16"/>
                <w:szCs w:val="16"/>
                <w:b w:val="1"/>
                <w:bCs w:val="1"/>
                <w:color w:val="auto"/>
              </w:rPr>
              <w:t>Net (decrease) increase in cash, cash equivalents and marketable securities</w:t>
            </w:r>
          </w:p>
        </w:tc>
        <w:tc>
          <w:tcPr>
            <w:tcW w:w="980" w:type="dxa"/>
            <w:vAlign w:val="bottom"/>
            <w:tcBorders>
              <w:top w:val="single" w:sz="8" w:color="auto"/>
            </w:tcBorders>
            <w:shd w:val="clear" w:color="auto" w:fill="F7F7F7"/>
          </w:tcPr>
          <w:p>
            <w:pPr>
              <w:spacing w:after="0"/>
              <w:rPr>
                <w:sz w:val="18"/>
                <w:szCs w:val="18"/>
                <w:color w:val="auto"/>
              </w:rPr>
            </w:pPr>
          </w:p>
        </w:tc>
        <w:tc>
          <w:tcPr>
            <w:tcW w:w="1280" w:type="dxa"/>
            <w:vAlign w:val="bottom"/>
            <w:tcBorders>
              <w:top w:val="single" w:sz="8" w:color="auto"/>
            </w:tcBorders>
            <w:shd w:val="clear" w:color="auto" w:fill="F7F7F7"/>
          </w:tcPr>
          <w:p>
            <w:pPr>
              <w:jc w:val="right"/>
              <w:ind w:right="659"/>
              <w:spacing w:after="0"/>
              <w:rPr>
                <w:sz w:val="20"/>
                <w:szCs w:val="20"/>
                <w:color w:val="auto"/>
              </w:rPr>
            </w:pPr>
            <w:r>
              <w:rPr>
                <w:rFonts w:ascii="Arial" w:cs="Arial" w:eastAsia="Arial" w:hAnsi="Arial"/>
                <w:sz w:val="16"/>
                <w:szCs w:val="16"/>
                <w:b w:val="1"/>
                <w:bCs w:val="1"/>
                <w:color w:val="auto"/>
              </w:rPr>
              <w:t>(35)</w:t>
            </w:r>
          </w:p>
        </w:tc>
        <w:tc>
          <w:tcPr>
            <w:tcW w:w="9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35</w:t>
            </w:r>
          </w:p>
        </w:tc>
      </w:tr>
    </w:tbl>
    <w:p>
      <w:pPr>
        <w:spacing w:after="0" w:line="99" w:lineRule="exact"/>
        <w:rPr>
          <w:sz w:val="20"/>
          <w:szCs w:val="20"/>
          <w:color w:val="auto"/>
        </w:rPr>
      </w:pPr>
    </w:p>
    <w:p>
      <w:pPr>
        <w:ind w:left="160" w:hanging="147"/>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Excludes $708 million and $894 million of marketable securities classified in "Long-term Investments" as of March 31, 2026 and 2025,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Merchant Cash Advances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2025, Canada amended regulations that impacted merchant cash advance products. As a result, we transitioned our Shopify Capital product in Canada, from merchant cash advances, which are accounted for under ASC 606, to loans which are accounted for under ASC 310, starting in April 2026.</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Prompted by this transition, and concurrent with this product change for Canada, we changed the classification accounting of the remaining minority of merchant lending such that it is consistent with the majority of our merchant lending products, specifically merchant loans. Starting in April 2026, the outflows and inflows from merchant cash advances will move from the cash flows from Operating activities section to the cash flows from Investing activities section of the Consolidated Statement of Cash Flows. In the year ended December 31, 2025, merchant cash advances were a $141 million use of cash, with outflows more weighted in the first half of the year. In 2024, they were an $82 million use of cash.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largest source of operating cash is from merchant solutions. Within merchant solutions, the largest source of cash flows are Shopify Payments processing fee arrangements, which are received on a daily basis as transactions are processed. We also generate cash flows from our subscription solutions with subscription revenues. These payments are typically paid to us at the beginning of the applicable subscription period, except for our Shopify Plus merchants who typically pay us at the end of their monthly billing cycle.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primary uses of cash from operating activities are for third-party payment processing fees, employee-related expenditures, marketing programs and outsourced hosting costs.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net cash provided by operating activities was primarily the result of operating income, once adjusted for non-cash items, slightly offset by changes in working capital resulting in a use of cash.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in the three months ended March 31, 2026 was driven by $620 million in maturities of marketable securities, net of purchases, partially offset by $306 million used for purchases and originations of loans, net of repayments and sales and $5 million used to purchase property and equipment.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in the three months ended March 31, 2026 was driven by $ 491 million used for repurchases of Class A subordinate voting shares, partially offset by $6 million proceeds from the issuance of Class A subordinate voting shares and Class B restricted voting shares as a result of stock options exercises.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commitments consist of our unconditional purchase obligations and obligations under our operating leases for office space. There have been no significant changes to our principal commitments, as compared to the principal commitments described in our 2025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retain a guarantee with respect to certain assigned leases. We have also entered into an indemnification agreement that governs the liability obligations of the purchaser in connection with these guarantees. These arrangements, and our obligations arising from such arrangements, are not expected to have a material impact on the current or future financial performance or financial condition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Loss Contingencies</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not aware of any litigation matters or loss contingencies that would be expected to have a material adverse effect on the business, condensed consolidated financial position,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Predicting future events is inherently an imprecise activity and, as such, requires the use of significant judgment. Actual results may vary from our estimates in amounts that may be material to the financial statements. An accounting policy is deemed to be critical if it requires an accounting estimate to be made based on assumptions about matters that are highly uncertain at the time the estimate is made, and if different, applies estimates that reasonably could have been used or changes in the accounting estimates that are reasonably likely to occur periodically, which could materially impact our condensed consolidated financial statements.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critical accounting policies, estimates, and judgments are discussed in Part II — Item 7 "Management's Discussion and Analysis of Financial Condition and Results of Operations" of our 2025 Form 10-K as well as "Note 3 - Significant Accounting Policies" in the notes to the condensed consolidated financial statements included in Part I — Item 1 of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exposed to market risks, as discussed in Note 3 in our condensed consolidated financial statements and the accompanying notes for the fiscal quarter ended March 31, 2026, as well as in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audited consolidated financial statements and the accompanying notes for the fiscal year ended December 31, 2025. These risks primarily include foreign currency exchange risk, equity and other investments risk, interest rate risk, concentration of credit risk and inflation risk, as discussed below. We regularly assess these risks to minimize any adverse effects on our business as a result of those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and CAD. A significant proportion of operating expenses are also incurred in the aforementioned foreign currencies. We therefore are subject to foreign currency exchange risk related to these currencies and fluctuations in foreign currency exchange rates. To help mitigate the impacts associated with foreign currency fluctuations on future cash flows from operating expenses, we maintain a portfolio of foreign exchange derivative products designated as hedging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non-GAAP financial measures convert our revenues, cost of revenues, operating expenses and income from operations in the current reporting period using the comparative prior year period's monthly average exchange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Three months ended March 31,</w:t>
            </w: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200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GAAP Amounts as</w:t>
            </w: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Exchange Rate Effect</w:t>
            </w:r>
          </w:p>
        </w:tc>
        <w:tc>
          <w:tcPr>
            <w:tcW w:w="2220" w:type="dxa"/>
            <w:vAlign w:val="bottom"/>
            <w:gridSpan w:val="2"/>
          </w:tcPr>
          <w:p>
            <w:pPr>
              <w:jc w:val="right"/>
              <w:spacing w:after="0" w:line="155" w:lineRule="exact"/>
              <w:rPr>
                <w:sz w:val="20"/>
                <w:szCs w:val="20"/>
                <w:color w:val="auto"/>
              </w:rPr>
            </w:pPr>
            <w:r>
              <w:rPr>
                <w:rFonts w:ascii="Arial" w:cs="Arial" w:eastAsia="Arial" w:hAnsi="Arial"/>
                <w:sz w:val="11"/>
                <w:szCs w:val="11"/>
                <w:b w:val="1"/>
                <w:bCs w:val="1"/>
                <w:color w:val="auto"/>
              </w:rPr>
              <w:t xml:space="preserve">(1)   </w:t>
            </w:r>
            <w:r>
              <w:rPr>
                <w:rFonts w:ascii="Arial" w:cs="Arial" w:eastAsia="Arial" w:hAnsi="Arial"/>
                <w:sz w:val="16"/>
                <w:szCs w:val="16"/>
                <w:b w:val="1"/>
                <w:bCs w:val="1"/>
                <w:color w:val="auto"/>
              </w:rPr>
              <w:t>At Prior Period Effective</w:t>
            </w:r>
          </w:p>
        </w:tc>
        <w:tc>
          <w:tcPr>
            <w:tcW w:w="180" w:type="dxa"/>
            <w:vAlign w:val="bottom"/>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GAAP Amounts as</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Reported</w:t>
            </w:r>
          </w:p>
        </w:tc>
        <w:tc>
          <w:tcPr>
            <w:tcW w:w="17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360"/>
              <w:spacing w:after="0" w:line="216" w:lineRule="exact"/>
              <w:rPr>
                <w:sz w:val="20"/>
                <w:szCs w:val="20"/>
                <w:color w:val="auto"/>
              </w:rPr>
            </w:pPr>
            <w:r>
              <w:rPr>
                <w:rFonts w:ascii="Arial" w:cs="Arial" w:eastAsia="Arial" w:hAnsi="Arial"/>
                <w:sz w:val="16"/>
                <w:szCs w:val="16"/>
                <w:b w:val="1"/>
                <w:bCs w:val="1"/>
                <w:color w:val="auto"/>
              </w:rPr>
              <w:t>Rates</w:t>
            </w:r>
            <w:r>
              <w:rPr>
                <w:rFonts w:ascii="Arial" w:cs="Arial" w:eastAsia="Arial" w:hAnsi="Arial"/>
                <w:sz w:val="21"/>
                <w:szCs w:val="21"/>
                <w:b w:val="1"/>
                <w:bCs w:val="1"/>
                <w:color w:val="auto"/>
                <w:vertAlign w:val="superscript"/>
              </w:rPr>
              <w:t>(2)</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20" w:type="dxa"/>
            <w:vAlign w:val="bottom"/>
            <w:gridSpan w:val="4"/>
          </w:tcPr>
          <w:p>
            <w:pPr>
              <w:jc w:val="center"/>
              <w:ind w:right="20"/>
              <w:spacing w:after="0"/>
              <w:rPr>
                <w:sz w:val="20"/>
                <w:szCs w:val="20"/>
                <w:color w:val="auto"/>
              </w:rPr>
            </w:pPr>
            <w:r>
              <w:rPr>
                <w:rFonts w:ascii="Arial" w:cs="Arial" w:eastAsia="Arial" w:hAnsi="Arial"/>
                <w:sz w:val="16"/>
                <w:szCs w:val="16"/>
                <w:color w:val="auto"/>
              </w:rPr>
              <w:t>(in US $ millions)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Revenues</w:t>
            </w:r>
          </w:p>
        </w:tc>
        <w:tc>
          <w:tcPr>
            <w:tcW w:w="20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3,170</w:t>
            </w:r>
          </w:p>
        </w:tc>
        <w:tc>
          <w:tcPr>
            <w:tcW w:w="2300" w:type="dxa"/>
            <w:vAlign w:val="bottom"/>
            <w:gridSpan w:val="2"/>
            <w:shd w:val="clear" w:color="auto" w:fill="F7F7F7"/>
          </w:tcPr>
          <w:p>
            <w:pPr>
              <w:jc w:val="right"/>
              <w:ind w:right="327"/>
              <w:spacing w:after="0"/>
              <w:rPr>
                <w:sz w:val="20"/>
                <w:szCs w:val="20"/>
                <w:color w:val="auto"/>
              </w:rPr>
            </w:pPr>
            <w:r>
              <w:rPr>
                <w:rFonts w:ascii="Arial" w:cs="Arial" w:eastAsia="Arial" w:hAnsi="Arial"/>
                <w:sz w:val="16"/>
                <w:szCs w:val="16"/>
                <w:color w:val="auto"/>
              </w:rPr>
              <w:t>(54)</w:t>
            </w:r>
          </w:p>
        </w:tc>
        <w:tc>
          <w:tcPr>
            <w:tcW w:w="16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3,116</w:t>
            </w:r>
          </w:p>
        </w:tc>
        <w:tc>
          <w:tcPr>
            <w:tcW w:w="180" w:type="dxa"/>
            <w:vAlign w:val="bottom"/>
            <w:shd w:val="clear" w:color="auto" w:fill="F7F7F7"/>
          </w:tcPr>
          <w:p>
            <w:pPr>
              <w:spacing w:after="0"/>
              <w:rPr>
                <w:sz w:val="18"/>
                <w:szCs w:val="18"/>
                <w:color w:val="auto"/>
              </w:rPr>
            </w:pPr>
          </w:p>
        </w:tc>
        <w:tc>
          <w:tcPr>
            <w:tcW w:w="20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0" w:type="dxa"/>
            <w:vAlign w:val="bottom"/>
          </w:tcPr>
          <w:p>
            <w:pPr>
              <w:jc w:val="right"/>
              <w:spacing w:after="0"/>
              <w:rPr>
                <w:sz w:val="20"/>
                <w:szCs w:val="20"/>
                <w:color w:val="auto"/>
              </w:rPr>
            </w:pPr>
            <w:r>
              <w:rPr>
                <w:rFonts w:ascii="Arial" w:cs="Arial" w:eastAsia="Arial" w:hAnsi="Arial"/>
                <w:sz w:val="16"/>
                <w:szCs w:val="16"/>
                <w:color w:val="auto"/>
              </w:rPr>
              <w:t>(1,624)</w:t>
            </w:r>
          </w:p>
        </w:tc>
        <w:tc>
          <w:tcPr>
            <w:tcW w:w="2300" w:type="dxa"/>
            <w:vAlign w:val="bottom"/>
            <w:gridSpan w:val="2"/>
          </w:tcPr>
          <w:p>
            <w:pPr>
              <w:jc w:val="right"/>
              <w:ind w:right="367"/>
              <w:spacing w:after="0"/>
              <w:rPr>
                <w:sz w:val="20"/>
                <w:szCs w:val="20"/>
                <w:color w:val="auto"/>
              </w:rPr>
            </w:pPr>
            <w:r>
              <w:rPr>
                <w:rFonts w:ascii="Arial" w:cs="Arial" w:eastAsia="Arial" w:hAnsi="Arial"/>
                <w:sz w:val="16"/>
                <w:szCs w:val="16"/>
                <w:color w:val="auto"/>
              </w:rPr>
              <w:t>22</w:t>
            </w:r>
          </w:p>
        </w:tc>
        <w:tc>
          <w:tcPr>
            <w:tcW w:w="1640" w:type="dxa"/>
            <w:vAlign w:val="bottom"/>
          </w:tcPr>
          <w:p>
            <w:pPr>
              <w:jc w:val="right"/>
              <w:spacing w:after="0"/>
              <w:rPr>
                <w:sz w:val="20"/>
                <w:szCs w:val="20"/>
                <w:color w:val="auto"/>
              </w:rPr>
            </w:pPr>
            <w:r>
              <w:rPr>
                <w:rFonts w:ascii="Arial" w:cs="Arial" w:eastAsia="Arial" w:hAnsi="Arial"/>
                <w:sz w:val="16"/>
                <w:szCs w:val="16"/>
                <w:color w:val="auto"/>
              </w:rPr>
              <w:t>(1,602)</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7"/>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Operating expenses</w:t>
            </w: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(1,164)</w:t>
            </w:r>
          </w:p>
        </w:tc>
        <w:tc>
          <w:tcPr>
            <w:tcW w:w="2300" w:type="dxa"/>
            <w:vAlign w:val="bottom"/>
            <w:tcBorders>
              <w:bottom w:val="single" w:sz="8" w:color="auto"/>
            </w:tcBorders>
            <w:gridSpan w:val="2"/>
            <w:shd w:val="clear" w:color="auto" w:fill="F7F7F7"/>
          </w:tcPr>
          <w:p>
            <w:pPr>
              <w:jc w:val="right"/>
              <w:ind w:right="367"/>
              <w:spacing w:after="0"/>
              <w:rPr>
                <w:sz w:val="20"/>
                <w:szCs w:val="20"/>
                <w:color w:val="auto"/>
              </w:rPr>
            </w:pPr>
            <w:r>
              <w:rPr>
                <w:rFonts w:ascii="Arial" w:cs="Arial" w:eastAsia="Arial" w:hAnsi="Arial"/>
                <w:sz w:val="16"/>
                <w:szCs w:val="16"/>
                <w:color w:val="auto"/>
              </w:rPr>
              <w:t>11</w:t>
            </w:r>
          </w:p>
        </w:tc>
        <w:tc>
          <w:tcPr>
            <w:tcW w:w="16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(1,153)</w:t>
            </w:r>
          </w:p>
        </w:tc>
        <w:tc>
          <w:tcPr>
            <w:tcW w:w="180" w:type="dxa"/>
            <w:vAlign w:val="bottom"/>
            <w:shd w:val="clear" w:color="auto" w:fill="F7F7F7"/>
          </w:tcPr>
          <w:p>
            <w:pPr>
              <w:spacing w:after="0"/>
              <w:rPr>
                <w:sz w:val="18"/>
                <w:szCs w:val="18"/>
                <w:color w:val="auto"/>
              </w:rPr>
            </w:pP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08"/>
        </w:trPr>
        <w:tc>
          <w:tcPr>
            <w:tcW w:w="3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2300" w:type="dxa"/>
            <w:vAlign w:val="bottom"/>
            <w:gridSpan w:val="2"/>
          </w:tcPr>
          <w:p>
            <w:pPr>
              <w:jc w:val="right"/>
              <w:ind w:right="327"/>
              <w:spacing w:after="0"/>
              <w:rPr>
                <w:sz w:val="20"/>
                <w:szCs w:val="20"/>
                <w:color w:val="auto"/>
              </w:rPr>
            </w:pPr>
            <w:r>
              <w:rPr>
                <w:rFonts w:ascii="Arial" w:cs="Arial" w:eastAsia="Arial" w:hAnsi="Arial"/>
                <w:sz w:val="16"/>
                <w:szCs w:val="16"/>
                <w:color w:val="auto"/>
              </w:rPr>
              <w:t>(21)</w:t>
            </w:r>
          </w:p>
        </w:tc>
        <w:tc>
          <w:tcPr>
            <w:tcW w:w="1640" w:type="dxa"/>
            <w:vAlign w:val="bottom"/>
          </w:tcPr>
          <w:p>
            <w:pPr>
              <w:jc w:val="right"/>
              <w:spacing w:after="0"/>
              <w:rPr>
                <w:sz w:val="20"/>
                <w:szCs w:val="20"/>
                <w:color w:val="auto"/>
              </w:rPr>
            </w:pPr>
            <w:r>
              <w:rPr>
                <w:rFonts w:ascii="Arial" w:cs="Arial" w:eastAsia="Arial" w:hAnsi="Arial"/>
                <w:sz w:val="16"/>
                <w:szCs w:val="16"/>
                <w:color w:val="auto"/>
              </w:rPr>
              <w:t>361</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 w:firstLine="8"/>
        <w:spacing w:after="0" w:line="292"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the increase or decrease in GAAP amounts reported resulting from using the comparative period's effective foreign exchange rates. The exchange rate effect is primarily driven by fluctuations in EUR, AUD and GBP foreign exchange rates.</w:t>
      </w:r>
    </w:p>
    <w:p>
      <w:pPr>
        <w:spacing w:after="0" w:line="94"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the outcome that would have resulted if the comparative period's effective foreign exchange rates are applied to the current reporting period.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effect of foreign exchange rates on our condensed consolidated statements of operations disclosure is a supplement to our condensed consolidated financial statements, which are prepared and presented in accordance with U.S. GAAP. We have provided the above non-GAAP disclosure as we believe it presents a clear comparison of our period to period operating results by removing the impact of fluctuations in foreign exchange rates and to assist investors in understanding our financial and operating performance. Non-GAAP financial measures are not recognized measures for financial statement presentation under U.S. GAAP, do not have standardized meanings and may not be comparable to similar measures presented by other public companies. Such non-GAAP financial measures should be considered as a supplement to, and not as a substitute for, or superior to, the corresponding measures calculated in accordance with U.S. GAAP.</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effects on revenues, cost of revenues, operating expenses and income from operations of a 10% strengthening of all foreign currencies the Company transacts in versus the USD without considering the impact of the Company's hedging activities and factoring in any potential changes in demand for the Company's solutions as a result of fluctuations in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320" w:type="dxa"/>
            <w:vAlign w:val="bottom"/>
            <w:tcBorders>
              <w:bottom w:val="single" w:sz="8" w:color="auto"/>
            </w:tcBorders>
          </w:tcPr>
          <w:p>
            <w:pPr>
              <w:spacing w:after="0"/>
              <w:rPr>
                <w:sz w:val="18"/>
                <w:szCs w:val="18"/>
                <w:color w:val="auto"/>
              </w:rPr>
            </w:pPr>
          </w:p>
        </w:tc>
      </w:tr>
      <w:tr>
        <w:trPr>
          <w:trHeight w:val="155"/>
        </w:trPr>
        <w:tc>
          <w:tcPr>
            <w:tcW w:w="304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GAAP Amounts</w:t>
            </w:r>
          </w:p>
        </w:tc>
        <w:tc>
          <w:tcPr>
            <w:tcW w:w="13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Exchange Rate</w:t>
            </w: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At 10% Stronger</w:t>
            </w:r>
          </w:p>
        </w:tc>
        <w:tc>
          <w:tcPr>
            <w:tcW w:w="18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GAAP Amounts</w:t>
            </w:r>
          </w:p>
        </w:tc>
        <w:tc>
          <w:tcPr>
            <w:tcW w:w="13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Exchange Rate</w:t>
            </w: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At 10% Stronger</w:t>
            </w:r>
          </w:p>
        </w:tc>
      </w:tr>
      <w:tr>
        <w:trPr>
          <w:trHeight w:val="216"/>
        </w:trPr>
        <w:tc>
          <w:tcPr>
            <w:tcW w:w="3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As Reported</w:t>
            </w: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Effect</w:t>
            </w:r>
            <w:r>
              <w:rPr>
                <w:rFonts w:ascii="Arial" w:cs="Arial" w:eastAsia="Arial" w:hAnsi="Arial"/>
                <w:sz w:val="9"/>
                <w:szCs w:val="9"/>
                <w:b w:val="1"/>
                <w:bCs w:val="1"/>
                <w:color w:val="auto"/>
              </w:rPr>
              <w:t>(1)(2)</w:t>
            </w:r>
          </w:p>
        </w:tc>
        <w:tc>
          <w:tcPr>
            <w:tcW w:w="1500" w:type="dxa"/>
            <w:vAlign w:val="bottom"/>
            <w:tcBorders>
              <w:bottom w:val="single" w:sz="8" w:color="auto"/>
            </w:tcBorders>
            <w:gridSpan w:val="2"/>
          </w:tcPr>
          <w:p>
            <w:pPr>
              <w:ind w:left="380"/>
              <w:spacing w:after="0" w:line="216" w:lineRule="exact"/>
              <w:rPr>
                <w:sz w:val="20"/>
                <w:szCs w:val="20"/>
                <w:color w:val="auto"/>
              </w:rPr>
            </w:pPr>
            <w:r>
              <w:rPr>
                <w:rFonts w:ascii="Arial" w:cs="Arial" w:eastAsia="Arial" w:hAnsi="Arial"/>
                <w:sz w:val="16"/>
                <w:szCs w:val="16"/>
                <w:b w:val="1"/>
                <w:bCs w:val="1"/>
                <w:color w:val="auto"/>
              </w:rPr>
              <w:t>Rates</w:t>
            </w:r>
            <w:r>
              <w:rPr>
                <w:rFonts w:ascii="Arial" w:cs="Arial" w:eastAsia="Arial" w:hAnsi="Arial"/>
                <w:sz w:val="21"/>
                <w:szCs w:val="21"/>
                <w:b w:val="1"/>
                <w:bCs w:val="1"/>
                <w:color w:val="auto"/>
                <w:vertAlign w:val="superscript"/>
              </w:rPr>
              <w:t>(3)</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As Reported</w:t>
            </w: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Effect</w:t>
            </w:r>
            <w:r>
              <w:rPr>
                <w:rFonts w:ascii="Arial" w:cs="Arial" w:eastAsia="Arial" w:hAnsi="Arial"/>
                <w:sz w:val="9"/>
                <w:szCs w:val="9"/>
                <w:b w:val="1"/>
                <w:bCs w:val="1"/>
                <w:color w:val="auto"/>
              </w:rPr>
              <w:t>(1)(2)</w:t>
            </w:r>
          </w:p>
        </w:tc>
        <w:tc>
          <w:tcPr>
            <w:tcW w:w="132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Rates</w:t>
            </w:r>
            <w:r>
              <w:rPr>
                <w:rFonts w:ascii="Arial" w:cs="Arial" w:eastAsia="Arial" w:hAnsi="Arial"/>
                <w:sz w:val="21"/>
                <w:szCs w:val="21"/>
                <w:b w:val="1"/>
                <w:bCs w:val="1"/>
                <w:color w:val="auto"/>
                <w:vertAlign w:val="superscript"/>
              </w:rPr>
              <w:t>(3)</w:t>
            </w:r>
          </w:p>
        </w:tc>
      </w:tr>
      <w:tr>
        <w:trPr>
          <w:trHeight w:val="209"/>
        </w:trPr>
        <w:tc>
          <w:tcPr>
            <w:tcW w:w="3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60" w:type="dxa"/>
            <w:vAlign w:val="bottom"/>
            <w:gridSpan w:val="3"/>
          </w:tcPr>
          <w:p>
            <w:pPr>
              <w:jc w:val="right"/>
              <w:ind w:right="739"/>
              <w:spacing w:after="0"/>
              <w:rPr>
                <w:sz w:val="20"/>
                <w:szCs w:val="20"/>
                <w:color w:val="auto"/>
              </w:rPr>
            </w:pPr>
            <w:r>
              <w:rPr>
                <w:rFonts w:ascii="Arial" w:cs="Arial" w:eastAsia="Arial" w:hAnsi="Arial"/>
                <w:sz w:val="16"/>
                <w:szCs w:val="16"/>
                <w:color w:val="auto"/>
              </w:rPr>
              <w:t>(in US $ millions)</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04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Revenues</w:t>
            </w:r>
          </w:p>
        </w:tc>
        <w:tc>
          <w:tcPr>
            <w:tcW w:w="134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3,170</w:t>
            </w:r>
          </w:p>
        </w:tc>
        <w:tc>
          <w:tcPr>
            <w:tcW w:w="1300" w:type="dxa"/>
            <w:vAlign w:val="bottom"/>
            <w:shd w:val="clear" w:color="auto" w:fill="F7F7F7"/>
          </w:tcPr>
          <w:p>
            <w:pPr>
              <w:jc w:val="center"/>
              <w:ind w:left="884"/>
              <w:spacing w:after="0"/>
              <w:rPr>
                <w:sz w:val="20"/>
                <w:szCs w:val="20"/>
                <w:color w:val="auto"/>
              </w:rPr>
            </w:pPr>
            <w:r>
              <w:rPr>
                <w:rFonts w:ascii="Arial" w:cs="Arial" w:eastAsia="Arial" w:hAnsi="Arial"/>
                <w:sz w:val="16"/>
                <w:szCs w:val="16"/>
                <w:color w:val="auto"/>
              </w:rPr>
              <w:t>77</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3,247</w:t>
            </w:r>
          </w:p>
        </w:tc>
        <w:tc>
          <w:tcPr>
            <w:tcW w:w="180" w:type="dxa"/>
            <w:vAlign w:val="bottom"/>
            <w:shd w:val="clear" w:color="auto" w:fill="F7F7F7"/>
          </w:tcPr>
          <w:p>
            <w:pPr>
              <w:spacing w:after="0"/>
              <w:rPr>
                <w:sz w:val="18"/>
                <w:szCs w:val="18"/>
                <w:color w:val="auto"/>
              </w:rPr>
            </w:pPr>
          </w:p>
        </w:tc>
        <w:tc>
          <w:tcPr>
            <w:tcW w:w="13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2,360</w:t>
            </w:r>
          </w:p>
        </w:tc>
        <w:tc>
          <w:tcPr>
            <w:tcW w:w="1300" w:type="dxa"/>
            <w:vAlign w:val="bottom"/>
            <w:shd w:val="clear" w:color="auto" w:fill="F7F7F7"/>
          </w:tcPr>
          <w:p>
            <w:pPr>
              <w:jc w:val="right"/>
              <w:ind w:right="4"/>
              <w:spacing w:after="0"/>
              <w:rPr>
                <w:sz w:val="20"/>
                <w:szCs w:val="20"/>
                <w:color w:val="auto"/>
              </w:rPr>
            </w:pPr>
            <w:r>
              <w:rPr>
                <w:rFonts w:ascii="Arial" w:cs="Arial" w:eastAsia="Arial" w:hAnsi="Arial"/>
                <w:sz w:val="16"/>
                <w:szCs w:val="16"/>
                <w:color w:val="auto"/>
              </w:rPr>
              <w:t>52</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2,412</w:t>
            </w: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340" w:type="dxa"/>
            <w:vAlign w:val="bottom"/>
          </w:tcPr>
          <w:p>
            <w:pPr>
              <w:jc w:val="right"/>
              <w:spacing w:after="0"/>
              <w:rPr>
                <w:sz w:val="20"/>
                <w:szCs w:val="20"/>
                <w:color w:val="auto"/>
              </w:rPr>
            </w:pPr>
            <w:r>
              <w:rPr>
                <w:rFonts w:ascii="Arial" w:cs="Arial" w:eastAsia="Arial" w:hAnsi="Arial"/>
                <w:sz w:val="16"/>
                <w:szCs w:val="16"/>
                <w:color w:val="auto"/>
              </w:rPr>
              <w:t>(1,624)</w:t>
            </w:r>
          </w:p>
        </w:tc>
        <w:tc>
          <w:tcPr>
            <w:tcW w:w="1300" w:type="dxa"/>
            <w:vAlign w:val="bottom"/>
          </w:tcPr>
          <w:p>
            <w:pPr>
              <w:jc w:val="center"/>
              <w:ind w:left="884"/>
              <w:spacing w:after="0"/>
              <w:rPr>
                <w:sz w:val="20"/>
                <w:szCs w:val="20"/>
                <w:color w:val="auto"/>
              </w:rPr>
            </w:pPr>
            <w:r>
              <w:rPr>
                <w:rFonts w:ascii="Arial" w:cs="Arial" w:eastAsia="Arial" w:hAnsi="Arial"/>
                <w:sz w:val="16"/>
                <w:szCs w:val="16"/>
                <w:color w:val="auto"/>
              </w:rPr>
              <w:t>(34)</w:t>
            </w:r>
          </w:p>
        </w:tc>
        <w:tc>
          <w:tcPr>
            <w:tcW w:w="1320" w:type="dxa"/>
            <w:vAlign w:val="bottom"/>
          </w:tcPr>
          <w:p>
            <w:pPr>
              <w:jc w:val="right"/>
              <w:spacing w:after="0"/>
              <w:rPr>
                <w:sz w:val="20"/>
                <w:szCs w:val="20"/>
                <w:color w:val="auto"/>
              </w:rPr>
            </w:pPr>
            <w:r>
              <w:rPr>
                <w:rFonts w:ascii="Arial" w:cs="Arial" w:eastAsia="Arial" w:hAnsi="Arial"/>
                <w:sz w:val="16"/>
                <w:szCs w:val="16"/>
                <w:color w:val="auto"/>
              </w:rPr>
              <w:t>(1,658)</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(1,191)</w:t>
            </w: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132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7"/>
        </w:trPr>
        <w:tc>
          <w:tcPr>
            <w:tcW w:w="3040" w:type="dxa"/>
            <w:vAlign w:val="bottom"/>
            <w:shd w:val="clear" w:color="auto" w:fill="F7F7F7"/>
          </w:tcPr>
          <w:p>
            <w:pPr>
              <w:ind w:left="20"/>
              <w:spacing w:after="0"/>
              <w:rPr>
                <w:sz w:val="20"/>
                <w:szCs w:val="20"/>
                <w:color w:val="auto"/>
              </w:rPr>
            </w:pPr>
            <w:r>
              <w:rPr>
                <w:rFonts w:ascii="Arial" w:cs="Arial" w:eastAsia="Arial" w:hAnsi="Arial"/>
                <w:sz w:val="16"/>
                <w:szCs w:val="16"/>
                <w:color w:val="auto"/>
              </w:rPr>
              <w:t>Operating expenses</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(1,164)</w:t>
            </w:r>
          </w:p>
        </w:tc>
        <w:tc>
          <w:tcPr>
            <w:tcW w:w="1300" w:type="dxa"/>
            <w:vAlign w:val="bottom"/>
            <w:tcBorders>
              <w:bottom w:val="single" w:sz="8" w:color="auto"/>
            </w:tcBorders>
            <w:shd w:val="clear" w:color="auto" w:fill="F7F7F7"/>
          </w:tcPr>
          <w:p>
            <w:pPr>
              <w:jc w:val="center"/>
              <w:ind w:left="884"/>
              <w:spacing w:after="0"/>
              <w:rPr>
                <w:sz w:val="20"/>
                <w:szCs w:val="20"/>
                <w:color w:val="auto"/>
              </w:rPr>
            </w:pPr>
            <w:r>
              <w:rPr>
                <w:rFonts w:ascii="Arial" w:cs="Arial" w:eastAsia="Arial" w:hAnsi="Arial"/>
                <w:sz w:val="16"/>
                <w:szCs w:val="16"/>
                <w:color w:val="auto"/>
              </w:rPr>
              <w:t>(29)</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(1,193)</w:t>
            </w:r>
          </w:p>
        </w:tc>
        <w:tc>
          <w:tcPr>
            <w:tcW w:w="180" w:type="dxa"/>
            <w:vAlign w:val="bottom"/>
            <w:shd w:val="clear" w:color="auto" w:fill="F7F7F7"/>
          </w:tcPr>
          <w:p>
            <w:pPr>
              <w:spacing w:after="0"/>
              <w:rPr>
                <w:sz w:val="18"/>
                <w:szCs w:val="18"/>
                <w:color w:val="auto"/>
              </w:rPr>
            </w:pPr>
          </w:p>
        </w:tc>
        <w:tc>
          <w:tcPr>
            <w:tcW w:w="13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(966)</w:t>
            </w: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(27)</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(993)</w:t>
            </w:r>
          </w:p>
        </w:tc>
      </w:tr>
      <w:tr>
        <w:trPr>
          <w:trHeight w:val="208"/>
        </w:trPr>
        <w:tc>
          <w:tcPr>
            <w:tcW w:w="30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300" w:type="dxa"/>
            <w:vAlign w:val="bottom"/>
          </w:tcPr>
          <w:p>
            <w:pPr>
              <w:jc w:val="center"/>
              <w:ind w:left="884"/>
              <w:spacing w:after="0"/>
              <w:rPr>
                <w:sz w:val="20"/>
                <w:szCs w:val="20"/>
                <w:color w:val="auto"/>
              </w:rPr>
            </w:pPr>
            <w:r>
              <w:rPr>
                <w:rFonts w:ascii="Arial" w:cs="Arial" w:eastAsia="Arial" w:hAnsi="Arial"/>
                <w:sz w:val="16"/>
                <w:szCs w:val="16"/>
                <w:color w:val="auto"/>
              </w:rPr>
              <w:t>14</w:t>
            </w:r>
          </w:p>
        </w:tc>
        <w:tc>
          <w:tcPr>
            <w:tcW w:w="1320" w:type="dxa"/>
            <w:vAlign w:val="bottom"/>
          </w:tcPr>
          <w:p>
            <w:pPr>
              <w:jc w:val="right"/>
              <w:spacing w:after="0"/>
              <w:rPr>
                <w:sz w:val="20"/>
                <w:szCs w:val="20"/>
                <w:color w:val="auto"/>
              </w:rPr>
            </w:pPr>
            <w:r>
              <w:rPr>
                <w:rFonts w:ascii="Arial" w:cs="Arial" w:eastAsia="Arial" w:hAnsi="Arial"/>
                <w:sz w:val="16"/>
                <w:szCs w:val="16"/>
                <w:color w:val="auto"/>
              </w:rPr>
              <w:t>396</w:t>
            </w:r>
          </w:p>
        </w:tc>
        <w:tc>
          <w:tcPr>
            <w:tcW w:w="1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320" w:type="dxa"/>
            <w:vAlign w:val="bottom"/>
          </w:tcPr>
          <w:p>
            <w:pPr>
              <w:jc w:val="right"/>
              <w:spacing w:after="0"/>
              <w:rPr>
                <w:sz w:val="20"/>
                <w:szCs w:val="20"/>
                <w:color w:val="auto"/>
              </w:rPr>
            </w:pPr>
            <w:r>
              <w:rPr>
                <w:rFonts w:ascii="Arial" w:cs="Arial" w:eastAsia="Arial" w:hAnsi="Arial"/>
                <w:sz w:val="16"/>
                <w:szCs w:val="16"/>
                <w:color w:val="auto"/>
              </w:rPr>
              <w:t>204</w:t>
            </w:r>
          </w:p>
        </w:tc>
      </w:tr>
    </w:tbl>
    <w:p>
      <w:pPr>
        <w:spacing w:after="0" w:line="262" w:lineRule="exact"/>
        <w:rPr>
          <w:sz w:val="20"/>
          <w:szCs w:val="20"/>
          <w:color w:val="auto"/>
        </w:rPr>
      </w:pPr>
    </w:p>
    <w:p>
      <w:pPr>
        <w:ind w:firstLine="8"/>
        <w:spacing w:after="0" w:line="305" w:lineRule="auto"/>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A 10% weakening of the foreign currencies versus the USD would have an equal and opposite impact on the Company's revenues, cost of revenues, operating expenses and income (loss) from operations as presented in the table.</w:t>
      </w:r>
    </w:p>
    <w:p>
      <w:pPr>
        <w:spacing w:after="0" w:line="76"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Represents the increase or decrease in GAAP amounts reported resulting from a 10% strengthening in foreign exchange rates relative to the USD.</w:t>
      </w:r>
    </w:p>
    <w:p>
      <w:pPr>
        <w:spacing w:after="0" w:line="163" w:lineRule="exact"/>
        <w:rPr>
          <w:rFonts w:ascii="Arial" w:cs="Arial" w:eastAsia="Arial" w:hAnsi="Arial"/>
          <w:sz w:val="9"/>
          <w:szCs w:val="9"/>
          <w:color w:val="auto"/>
        </w:rPr>
      </w:pPr>
    </w:p>
    <w:p>
      <w:pPr>
        <w:ind w:firstLine="8"/>
        <w:spacing w:after="0" w:line="316"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Represents the outcome that would have resulted had the foreign exchange rates relative to the USD in those periods been 10% stronger than they actually were, excluding the impact of our hedging program and without factoring in any potential changes in demand for the Company's solutions as a result of changes in exchange rates.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 Risk</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hold equity and other investments that are subject to market-related risks that could substantially reduce or increase the fair value of our holdings. As of March 31, 2026, we had equity and other investments in public and private companies and our equity method investment totaled $4.1 billion. Our equity and other investments with readily determinable fair values, representing $2.0 billion of our investments as of March 31, 2026, are recorded at fair value, which is subject to market price volatility. Our equity investments in private companies, representing $970 million of our investments as of March 31, 2026,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Our equity method investment in Flexport, representing $581 million of our investments as of March 31, 2026, is subject to market-related risks based on our share of income or loss, including amortization of the basis difference, from this investment which may cause volatility to our earnings. Our debt investments in convertible notes of private companies are recorded at fair value representing $567 million of our investments as of March 31, 2026, which are impacted by the underlying entities' valuations and interest rates. Our investment option derivative to purchase Series B common shares in Klaviyo, representing $21 million of our investments as of March 31, 2026, is impacted by market price volatility and interest rates.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marketable securities greater than one year, and less than 3 years, representing $708 million of our investments as of March 31, 2026, are recorded at carrying value and any changes in the fair value due to the interest rate are not recorded until the investment is sold as they are classified as "held to maturity".</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from these changes may fluctuate from period to period and may cause volatility to our earnings as well as impact comparability of our results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cash, cash equivalents and marketable securities in our cash management program totaling $5.7 billion as of March 31, 2026. The cash and cash equivalents are held for operations and working capital purposes. Our investments within cash, cash equivalents and marketable securities are made for capital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preservation purposes. We do not enter into these types of investments for trading or speculative purposes.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equivalents and our portfolio of marketable securities are subject to market risk due to changes in interest rates. Fixed rate securities may have their market value adversely affected due to a rise in interest rates and macroeconomic conditions. Our future investment income may fall short of our expectations due to changes in interest rates or we may suffer losses in principal if we are forced to sell securities that decline in market value due to changes in interest rates. However, because we classify our debt securities as "held to maturity", no gains or losses are recognized due to changes in interest rates unless such securities are sold prior to maturity or declines in fair value are determined to be other than temporary.</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holds convertible notes in private companies. These investments are classified as available-for-sale debt securities, for which we have elected to account for under the fair value option. These investments are carried at fair value at each balance sheet date and any movements in the fair value are recognized in "Net loss" in the condensed consolidated statements of operations and comprehensive loss. The underlying entity's valuation includes inputs such as interest rates which impact the market value of the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inflation risk that could have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 Furthermore, our merchants are also subject to risks associated with inflationary pressures that could impact their business and financial condition. These pressures could subsequently result in impacts to our GMV and further affect our business, particularly if economic growth has slowed across many of the regions in which we operate.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control systems, no matter how well designed, have inherent limitations. Accordingly, even disclosure controls and procedures and internal controls over financial reporting determined to be effective can only provide reasonable assurance of achieving their control objectives with respect to financial statement preparation and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under the supervision of the Chief Executive Officer and Chief Financial Officer, is responsible for establishing and maintaining disclosure controls and procedures (as defined by the SEC) in Rule 13a-15(e) under the Exchange Act for the Company to ensure that material information relating to the Company, including its consolidated subsidiaries, that is required to be made known to the Chief Executive Officer and Chief Financial Officer by others within the Company and disclosed by the Company in reports filed or submitted by it under the Exchange Act is (i) recorded, processed,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summarized and reported within the time periods specified in the SEC's rules and forms; and (ii) accumulated and communicated to the Company's management, including its Chief Executive Officer and Chief Financial Officer, to allow timely decisions regarding required disclosure.</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including the Chief Executive Officer and Chief Financial Officer, have evaluated the effectiveness of the Company's disclosure controls and procedures and have concluded that the Company's disclosure controls and procedures were effective as of March 31,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identified in connection with the evaluation required by Exchange Act Rules 13a-15(d) or 15d-15(d)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set forth under "Note 8— Contingencies — Litigation and Loss Contingencies" to the condensed consolidated financial statements included in Part I — Item 1 of this Quarterly Report on Form 10-Q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risks and uncertainties that may affect our business, results of operations and financial condition including, not limited to, those described in Part I — Item 1A "Risk Factors" in the Company's 2025 Form 10-K. Current global economic and geopolitical events and conditions may amplify many of these risks. These risks are not the only risks that may affect us. Additional risks that we are not aware of or do not believe are material at the time of this filing may also become important factors that adversely affect our business. There have been no material changes to the Company’s risk factors from those disclosed in the 2025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for the three months ended March 31, 2026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w:t>
            </w:r>
          </w:p>
        </w:tc>
        <w:tc>
          <w:tcPr>
            <w:tcW w:w="1900" w:type="dxa"/>
            <w:vAlign w:val="bottom"/>
            <w:gridSpan w:val="3"/>
          </w:tcPr>
          <w:p>
            <w:pPr>
              <w:ind w:left="220"/>
              <w:spacing w:after="0"/>
              <w:rPr>
                <w:sz w:val="20"/>
                <w:szCs w:val="20"/>
                <w:color w:val="auto"/>
              </w:rPr>
            </w:pPr>
            <w:r>
              <w:rPr>
                <w:rFonts w:ascii="Arial" w:cs="Arial" w:eastAsia="Arial" w:hAnsi="Arial"/>
                <w:sz w:val="16"/>
                <w:szCs w:val="16"/>
                <w:b w:val="1"/>
                <w:bCs w:val="1"/>
                <w:color w:val="auto"/>
              </w:rPr>
              <w:t>Average Price Paid</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Shares Purchased</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94"/>
        </w:trPr>
        <w:tc>
          <w:tcPr>
            <w:tcW w:w="2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 Purchased</w:t>
            </w:r>
          </w:p>
        </w:tc>
        <w:tc>
          <w:tcPr>
            <w:tcW w:w="420" w:type="dxa"/>
            <w:vAlign w:val="bottom"/>
          </w:tcPr>
          <w:p>
            <w:pPr>
              <w:spacing w:after="0"/>
              <w:rPr>
                <w:sz w:val="8"/>
                <w:szCs w:val="8"/>
                <w:color w:val="auto"/>
              </w:rPr>
            </w:pPr>
          </w:p>
        </w:tc>
        <w:tc>
          <w:tcPr>
            <w:tcW w:w="84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7"/>
              </w:rPr>
              <w:t>per Share</w:t>
            </w:r>
          </w:p>
        </w:tc>
        <w:tc>
          <w:tcPr>
            <w:tcW w:w="640" w:type="dxa"/>
            <w:vAlign w:val="bottom"/>
          </w:tcPr>
          <w:p>
            <w:pPr>
              <w:jc w:val="right"/>
              <w:ind w:right="436"/>
              <w:spacing w:after="0" w:line="95" w:lineRule="exact"/>
              <w:rPr>
                <w:sz w:val="20"/>
                <w:szCs w:val="20"/>
                <w:color w:val="auto"/>
              </w:rPr>
            </w:pPr>
            <w:r>
              <w:rPr>
                <w:rFonts w:ascii="Arial" w:cs="Arial" w:eastAsia="Arial" w:hAnsi="Arial"/>
                <w:sz w:val="9"/>
                <w:szCs w:val="9"/>
                <w:b w:val="1"/>
                <w:bCs w:val="1"/>
                <w:color w:val="auto"/>
              </w:rPr>
              <w:t>(2)</w:t>
            </w:r>
          </w:p>
        </w:tc>
        <w:tc>
          <w:tcPr>
            <w:tcW w:w="152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as Part of Publicly</w:t>
            </w:r>
          </w:p>
        </w:tc>
        <w:tc>
          <w:tcPr>
            <w:tcW w:w="320" w:type="dxa"/>
            <w:vAlign w:val="bottom"/>
          </w:tcPr>
          <w:p>
            <w:pPr>
              <w:spacing w:after="0"/>
              <w:rPr>
                <w:sz w:val="8"/>
                <w:szCs w:val="8"/>
                <w:color w:val="auto"/>
              </w:rPr>
            </w:pPr>
          </w:p>
        </w:tc>
        <w:tc>
          <w:tcPr>
            <w:tcW w:w="1520" w:type="dxa"/>
            <w:vAlign w:val="bottom"/>
          </w:tcPr>
          <w:p>
            <w:pPr>
              <w:jc w:val="center"/>
              <w:ind w:right="64"/>
              <w:spacing w:after="0" w:line="95" w:lineRule="exact"/>
              <w:rPr>
                <w:sz w:val="20"/>
                <w:szCs w:val="20"/>
                <w:color w:val="auto"/>
              </w:rPr>
            </w:pPr>
            <w:r>
              <w:rPr>
                <w:rFonts w:ascii="Arial" w:cs="Arial" w:eastAsia="Arial" w:hAnsi="Arial"/>
                <w:sz w:val="10"/>
                <w:szCs w:val="10"/>
                <w:b w:val="1"/>
                <w:bCs w:val="1"/>
                <w:color w:val="auto"/>
              </w:rPr>
              <w:t>May Yet be</w:t>
            </w:r>
          </w:p>
        </w:tc>
        <w:tc>
          <w:tcPr>
            <w:tcW w:w="0" w:type="dxa"/>
            <w:vAlign w:val="bottom"/>
          </w:tcPr>
          <w:p>
            <w:pPr>
              <w:spacing w:after="0"/>
              <w:rPr>
                <w:sz w:val="1"/>
                <w:szCs w:val="1"/>
                <w:color w:val="auto"/>
              </w:rPr>
            </w:pPr>
          </w:p>
        </w:tc>
      </w:tr>
      <w:tr>
        <w:trPr>
          <w:trHeight w:val="148"/>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 Ended</w:t>
            </w:r>
          </w:p>
        </w:tc>
        <w:tc>
          <w:tcPr>
            <w:tcW w:w="2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Announced</w:t>
            </w:r>
          </w:p>
        </w:tc>
        <w:tc>
          <w:tcPr>
            <w:tcW w:w="320" w:type="dxa"/>
            <w:vAlign w:val="bottom"/>
          </w:tcPr>
          <w:p>
            <w:pPr>
              <w:spacing w:after="0"/>
              <w:rPr>
                <w:sz w:val="12"/>
                <w:szCs w:val="12"/>
                <w:color w:val="auto"/>
              </w:rPr>
            </w:pPr>
          </w:p>
        </w:tc>
        <w:tc>
          <w:tcPr>
            <w:tcW w:w="1520" w:type="dxa"/>
            <w:vAlign w:val="bottom"/>
          </w:tcPr>
          <w:p>
            <w:pPr>
              <w:jc w:val="center"/>
              <w:ind w:right="64"/>
              <w:spacing w:after="0" w:line="148" w:lineRule="exact"/>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64"/>
              <w:spacing w:after="0" w:line="216" w:lineRule="exact"/>
              <w:rPr>
                <w:sz w:val="20"/>
                <w:szCs w:val="20"/>
                <w:color w:val="auto"/>
              </w:rPr>
            </w:pPr>
            <w:r>
              <w:rPr>
                <w:rFonts w:ascii="Arial" w:cs="Arial" w:eastAsia="Arial" w:hAnsi="Arial"/>
                <w:sz w:val="16"/>
                <w:szCs w:val="16"/>
                <w:b w:val="1"/>
                <w:bCs w:val="1"/>
                <w:color w:val="auto"/>
                <w:w w:val="98"/>
              </w:rPr>
              <w:t>the Programs</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5420" w:type="dxa"/>
            <w:vAlign w:val="bottom"/>
            <w:gridSpan w:val="5"/>
          </w:tcPr>
          <w:p>
            <w:pPr>
              <w:jc w:val="right"/>
              <w:ind w:right="156"/>
              <w:spacing w:after="0"/>
              <w:rPr>
                <w:sz w:val="20"/>
                <w:szCs w:val="20"/>
                <w:color w:val="auto"/>
              </w:rPr>
            </w:pPr>
            <w:r>
              <w:rPr>
                <w:rFonts w:ascii="Arial" w:cs="Arial" w:eastAsia="Arial" w:hAnsi="Arial"/>
                <w:sz w:val="16"/>
                <w:szCs w:val="16"/>
                <w:color w:val="auto"/>
              </w:rPr>
              <w:t>(in US $ millions, except share and share price amounts)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F7F7F7"/>
          </w:tcPr>
          <w:p>
            <w:pPr>
              <w:ind w:left="20"/>
              <w:spacing w:after="0"/>
              <w:rPr>
                <w:sz w:val="20"/>
                <w:szCs w:val="20"/>
                <w:color w:val="auto"/>
              </w:rPr>
            </w:pPr>
            <w:r>
              <w:rPr>
                <w:rFonts w:ascii="Arial" w:cs="Arial" w:eastAsia="Arial" w:hAnsi="Arial"/>
                <w:sz w:val="16"/>
                <w:szCs w:val="16"/>
                <w:color w:val="auto"/>
              </w:rPr>
              <w:t>January 31, 2026</w:t>
            </w:r>
          </w:p>
        </w:tc>
        <w:tc>
          <w:tcPr>
            <w:tcW w:w="2020" w:type="dxa"/>
            <w:vAlign w:val="bottom"/>
            <w:shd w:val="clear" w:color="auto" w:fill="F7F7F7"/>
          </w:tcPr>
          <w:p>
            <w:pPr>
              <w:spacing w:after="0"/>
              <w:rPr>
                <w:sz w:val="18"/>
                <w:szCs w:val="18"/>
                <w:color w:val="auto"/>
              </w:rPr>
            </w:pP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F7F7F7"/>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F7F7F7"/>
          </w:tcPr>
          <w:p>
            <w:pPr>
              <w:spacing w:after="0"/>
              <w:rPr>
                <w:sz w:val="18"/>
                <w:szCs w:val="18"/>
                <w:color w:val="auto"/>
              </w:rPr>
            </w:pPr>
          </w:p>
        </w:tc>
        <w:tc>
          <w:tcPr>
            <w:tcW w:w="640" w:type="dxa"/>
            <w:vAlign w:val="bottom"/>
            <w:shd w:val="clear" w:color="auto" w:fill="F7F7F7"/>
          </w:tcPr>
          <w:p>
            <w:pPr>
              <w:jc w:val="right"/>
              <w:ind w:right="196"/>
              <w:spacing w:after="0"/>
              <w:rPr>
                <w:sz w:val="20"/>
                <w:szCs w:val="20"/>
                <w:color w:val="auto"/>
              </w:rPr>
            </w:pPr>
            <w:r>
              <w:rPr>
                <w:rFonts w:ascii="Arial" w:cs="Arial" w:eastAsia="Arial" w:hAnsi="Arial"/>
                <w:sz w:val="16"/>
                <w:szCs w:val="16"/>
                <w:color w:val="auto"/>
              </w:rPr>
              <w:t>—</w:t>
            </w:r>
          </w:p>
        </w:tc>
        <w:tc>
          <w:tcPr>
            <w:tcW w:w="1520" w:type="dxa"/>
            <w:vAlign w:val="bottom"/>
            <w:shd w:val="clear" w:color="auto" w:fill="F7F7F7"/>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F7F7F7"/>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February 28, 2026</w:t>
            </w: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1,101,698</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96"/>
              <w:spacing w:after="0"/>
              <w:rPr>
                <w:sz w:val="20"/>
                <w:szCs w:val="20"/>
                <w:color w:val="auto"/>
              </w:rPr>
            </w:pPr>
            <w:r>
              <w:rPr>
                <w:rFonts w:ascii="Arial" w:cs="Arial" w:eastAsia="Arial" w:hAnsi="Arial"/>
                <w:sz w:val="16"/>
                <w:szCs w:val="16"/>
                <w:color w:val="auto"/>
              </w:rPr>
              <w:t>121.76</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1,101,698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17"/>
        </w:trPr>
        <w:tc>
          <w:tcPr>
            <w:tcW w:w="2460" w:type="dxa"/>
            <w:vAlign w:val="bottom"/>
            <w:shd w:val="clear" w:color="auto" w:fill="F7F7F7"/>
          </w:tcPr>
          <w:p>
            <w:pPr>
              <w:ind w:left="20"/>
              <w:spacing w:after="0"/>
              <w:rPr>
                <w:sz w:val="20"/>
                <w:szCs w:val="20"/>
                <w:color w:val="auto"/>
              </w:rPr>
            </w:pPr>
            <w:r>
              <w:rPr>
                <w:rFonts w:ascii="Arial" w:cs="Arial" w:eastAsia="Arial" w:hAnsi="Arial"/>
                <w:sz w:val="16"/>
                <w:szCs w:val="16"/>
                <w:color w:val="auto"/>
              </w:rPr>
              <w:t>March 31, 2026</w:t>
            </w:r>
          </w:p>
        </w:tc>
        <w:tc>
          <w:tcPr>
            <w:tcW w:w="3520" w:type="dxa"/>
            <w:vAlign w:val="bottom"/>
            <w:gridSpan w:val="2"/>
            <w:shd w:val="clear" w:color="auto" w:fill="F7F7F7"/>
          </w:tcPr>
          <w:p>
            <w:pPr>
              <w:jc w:val="right"/>
              <w:spacing w:after="0"/>
              <w:rPr>
                <w:sz w:val="20"/>
                <w:szCs w:val="20"/>
                <w:color w:val="auto"/>
              </w:rPr>
            </w:pPr>
            <w:r>
              <w:rPr>
                <w:rFonts w:ascii="Arial" w:cs="Arial" w:eastAsia="Arial" w:hAnsi="Arial"/>
                <w:sz w:val="16"/>
                <w:szCs w:val="16"/>
                <w:color w:val="auto"/>
              </w:rPr>
              <w:t>3,112,321</w:t>
            </w:r>
          </w:p>
        </w:tc>
        <w:tc>
          <w:tcPr>
            <w:tcW w:w="420" w:type="dxa"/>
            <w:vAlign w:val="bottom"/>
            <w:shd w:val="clear" w:color="auto" w:fill="F7F7F7"/>
          </w:tcPr>
          <w:p>
            <w:pPr>
              <w:ind w:left="2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F7F7F7"/>
          </w:tcPr>
          <w:p>
            <w:pPr>
              <w:jc w:val="right"/>
              <w:ind w:right="196"/>
              <w:spacing w:after="0"/>
              <w:rPr>
                <w:sz w:val="20"/>
                <w:szCs w:val="20"/>
                <w:color w:val="auto"/>
              </w:rPr>
            </w:pPr>
            <w:r>
              <w:rPr>
                <w:rFonts w:ascii="Arial" w:cs="Arial" w:eastAsia="Arial" w:hAnsi="Arial"/>
                <w:sz w:val="16"/>
                <w:szCs w:val="16"/>
                <w:color w:val="auto"/>
              </w:rPr>
              <w:t>121.94</w:t>
            </w:r>
          </w:p>
        </w:tc>
        <w:tc>
          <w:tcPr>
            <w:tcW w:w="1520" w:type="dxa"/>
            <w:vAlign w:val="bottom"/>
            <w:shd w:val="clear" w:color="auto" w:fill="F7F7F7"/>
          </w:tcPr>
          <w:p>
            <w:pPr>
              <w:jc w:val="right"/>
              <w:ind w:right="2"/>
              <w:spacing w:after="0"/>
              <w:rPr>
                <w:sz w:val="20"/>
                <w:szCs w:val="20"/>
                <w:color w:val="auto"/>
              </w:rPr>
            </w:pPr>
            <w:r>
              <w:rPr>
                <w:rFonts w:ascii="Arial" w:cs="Arial" w:eastAsia="Arial" w:hAnsi="Arial"/>
                <w:sz w:val="16"/>
                <w:szCs w:val="16"/>
                <w:color w:val="auto"/>
              </w:rPr>
              <w:t>3,112,321</w:t>
            </w:r>
          </w:p>
        </w:tc>
        <w:tc>
          <w:tcPr>
            <w:tcW w:w="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F7F7F7"/>
          </w:tcPr>
          <w:p>
            <w:pPr>
              <w:jc w:val="right"/>
              <w:ind w:right="4"/>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4,214,019</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4,214,019</w:t>
            </w: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firstLine="8"/>
        <w:spacing w:after="0" w:line="493"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jc w:val="both"/>
        <w:spacing w:after="0" w:line="269" w:lineRule="auto"/>
        <w:rPr>
          <w:sz w:val="20"/>
          <w:szCs w:val="20"/>
          <w:color w:val="auto"/>
        </w:rPr>
      </w:pPr>
      <w:r>
        <w:rPr>
          <w:rFonts w:ascii="Arial" w:cs="Arial" w:eastAsia="Arial" w:hAnsi="Arial"/>
          <w:sz w:val="14"/>
          <w:szCs w:val="14"/>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10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During the three months ended March 31, 2026, we repurchased $514 million of our Class A subordinate voting shares under our share repurchase program. As of March 31, 2026, a total of $1.5 billion remained available for future repurchases of our Class A subordinate voting shares.</w:t>
      </w:r>
    </w:p>
    <w:p>
      <w:pPr>
        <w:spacing w:after="0" w:line="9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Excludes broker commissions and excise tax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Incorporated by Reference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6"/>
                <w:szCs w:val="16"/>
                <w:color w:val="auto"/>
              </w:rPr>
              <w:t>No.</w:t>
            </w:r>
          </w:p>
        </w:tc>
        <w:tc>
          <w:tcPr>
            <w:tcW w:w="5040" w:type="dxa"/>
            <w:vAlign w:val="bottom"/>
            <w:gridSpan w:val="5"/>
            <w:vMerge w:val="restart"/>
          </w:tcPr>
          <w:p>
            <w:pPr>
              <w:ind w:left="1840"/>
              <w:spacing w:after="0"/>
              <w:rPr>
                <w:sz w:val="20"/>
                <w:szCs w:val="20"/>
                <w:color w:val="auto"/>
              </w:rPr>
            </w:pPr>
            <w:r>
              <w:rPr>
                <w:rFonts w:ascii="Arial" w:cs="Arial" w:eastAsia="Arial" w:hAnsi="Arial"/>
                <w:sz w:val="16"/>
                <w:szCs w:val="16"/>
                <w:color w:val="auto"/>
              </w:rPr>
              <w:t>Exhibit Description</w:t>
            </w:r>
          </w:p>
        </w:tc>
        <w:tc>
          <w:tcPr>
            <w:tcW w:w="1560" w:type="dxa"/>
            <w:vAlign w:val="bottom"/>
          </w:tcPr>
          <w:p>
            <w:pPr>
              <w:jc w:val="center"/>
              <w:spacing w:after="0" w:line="144" w:lineRule="exact"/>
              <w:rPr>
                <w:sz w:val="20"/>
                <w:szCs w:val="20"/>
                <w:color w:val="auto"/>
              </w:rPr>
            </w:pPr>
            <w:r>
              <w:rPr>
                <w:rFonts w:ascii="Arial" w:cs="Arial" w:eastAsia="Arial" w:hAnsi="Arial"/>
                <w:sz w:val="16"/>
                <w:szCs w:val="16"/>
                <w:color w:val="auto"/>
              </w:rPr>
              <w:t>Filed or Furnished</w:t>
            </w:r>
          </w:p>
        </w:tc>
        <w:tc>
          <w:tcPr>
            <w:tcW w:w="700" w:type="dxa"/>
            <w:vAlign w:val="bottom"/>
            <w:vMerge w:val="restart"/>
          </w:tcPr>
          <w:p>
            <w:pPr>
              <w:ind w:left="160"/>
              <w:spacing w:after="0"/>
              <w:rPr>
                <w:sz w:val="20"/>
                <w:szCs w:val="20"/>
                <w:color w:val="auto"/>
              </w:rPr>
            </w:pPr>
            <w:r>
              <w:rPr>
                <w:rFonts w:ascii="Arial" w:cs="Arial" w:eastAsia="Arial" w:hAnsi="Arial"/>
                <w:sz w:val="16"/>
                <w:szCs w:val="16"/>
                <w:color w:val="auto"/>
              </w:rPr>
              <w:t>Form</w:t>
            </w:r>
          </w:p>
        </w:tc>
        <w:tc>
          <w:tcPr>
            <w:tcW w:w="880" w:type="dxa"/>
            <w:vAlign w:val="bottom"/>
            <w:vMerge w:val="restart"/>
          </w:tcPr>
          <w:p>
            <w:pPr>
              <w:ind w:left="140"/>
              <w:spacing w:after="0"/>
              <w:rPr>
                <w:sz w:val="20"/>
                <w:szCs w:val="20"/>
                <w:color w:val="auto"/>
              </w:rPr>
            </w:pPr>
            <w:r>
              <w:rPr>
                <w:rFonts w:ascii="Arial" w:cs="Arial" w:eastAsia="Arial" w:hAnsi="Arial"/>
                <w:sz w:val="16"/>
                <w:szCs w:val="16"/>
                <w:color w:val="auto"/>
              </w:rPr>
              <w:t>File No.</w:t>
            </w:r>
          </w:p>
        </w:tc>
        <w:tc>
          <w:tcPr>
            <w:tcW w:w="920" w:type="dxa"/>
            <w:vAlign w:val="bottom"/>
            <w:vMerge w:val="restart"/>
          </w:tcPr>
          <w:p>
            <w:pPr>
              <w:ind w:left="160"/>
              <w:spacing w:after="0"/>
              <w:rPr>
                <w:sz w:val="20"/>
                <w:szCs w:val="20"/>
                <w:color w:val="auto"/>
              </w:rPr>
            </w:pPr>
            <w:r>
              <w:rPr>
                <w:rFonts w:ascii="Arial" w:cs="Arial" w:eastAsia="Arial" w:hAnsi="Arial"/>
                <w:sz w:val="16"/>
                <w:szCs w:val="16"/>
                <w:color w:val="auto"/>
              </w:rPr>
              <w:t>Exhibit</w:t>
            </w:r>
          </w:p>
        </w:tc>
        <w:tc>
          <w:tcPr>
            <w:tcW w:w="1360" w:type="dxa"/>
            <w:vAlign w:val="bottom"/>
            <w:vMerge w:val="restart"/>
          </w:tcPr>
          <w:p>
            <w:pPr>
              <w:ind w:left="260"/>
              <w:spacing w:after="0"/>
              <w:rPr>
                <w:sz w:val="20"/>
                <w:szCs w:val="20"/>
                <w:color w:val="auto"/>
              </w:rPr>
            </w:pPr>
            <w:r>
              <w:rPr>
                <w:rFonts w:ascii="Arial" w:cs="Arial" w:eastAsia="Arial" w:hAnsi="Arial"/>
                <w:sz w:val="16"/>
                <w:szCs w:val="16"/>
                <w:color w:val="auto"/>
              </w:rPr>
              <w:t>Date Filed</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5040" w:type="dxa"/>
            <w:vAlign w:val="bottom"/>
            <w:tcBorders>
              <w:bottom w:val="single" w:sz="8" w:color="auto"/>
            </w:tcBorders>
            <w:gridSpan w:val="5"/>
            <w:vMerge w:val="continue"/>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with this 10-Q</w:t>
            </w:r>
          </w:p>
        </w:tc>
        <w:tc>
          <w:tcPr>
            <w:tcW w:w="7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40" w:type="dxa"/>
            <w:vAlign w:val="bottom"/>
            <w:gridSpan w:val="3"/>
          </w:tcPr>
          <w:p>
            <w:pPr>
              <w:ind w:left="20"/>
              <w:spacing w:after="0" w:line="170"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5040" w:type="dxa"/>
            <w:vAlign w:val="bottom"/>
            <w:gridSpan w:val="5"/>
          </w:tcPr>
          <w:p>
            <w:pPr>
              <w:spacing w:after="0" w:line="170" w:lineRule="exact"/>
              <w:rPr>
                <w:sz w:val="20"/>
                <w:szCs w:val="20"/>
                <w:color w:val="auto"/>
              </w:rPr>
            </w:pPr>
            <w:r>
              <w:rPr>
                <w:rFonts w:ascii="Arial" w:cs="Arial" w:eastAsia="Arial" w:hAnsi="Arial"/>
                <w:sz w:val="16"/>
                <w:szCs w:val="16"/>
                <w:color w:val="0000FF"/>
              </w:rPr>
              <w:t>Certification of the Chief Executive Officer and the Chief Financial</w:t>
            </w:r>
          </w:p>
        </w:tc>
        <w:tc>
          <w:tcPr>
            <w:tcW w:w="1560" w:type="dxa"/>
            <w:vAlign w:val="bottom"/>
          </w:tcPr>
          <w:p>
            <w:pPr>
              <w:jc w:val="center"/>
              <w:spacing w:after="0" w:line="170" w:lineRule="exact"/>
              <w:rPr>
                <w:sz w:val="20"/>
                <w:szCs w:val="20"/>
                <w:color w:val="auto"/>
              </w:rPr>
            </w:pPr>
            <w:r>
              <w:rPr>
                <w:rFonts w:ascii="Arial" w:cs="Arial" w:eastAsia="Arial" w:hAnsi="Arial"/>
                <w:sz w:val="16"/>
                <w:szCs w:val="16"/>
                <w:color w:val="auto"/>
              </w:rPr>
              <w:t>X</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Officer pursuant to Section 302 of the Sarbanes-Oxley Act of 2002</w:t>
            </w:r>
          </w:p>
        </w:tc>
        <w:tc>
          <w:tcPr>
            <w:tcW w:w="6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 w:type="dxa"/>
            <w:vAlign w:val="bottom"/>
            <w:gridSpan w:val="3"/>
          </w:tcPr>
          <w:p>
            <w:pPr>
              <w:ind w:left="20"/>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p>
        </w:tc>
        <w:tc>
          <w:tcPr>
            <w:tcW w:w="5040" w:type="dxa"/>
            <w:vAlign w:val="bottom"/>
            <w:gridSpan w:val="5"/>
          </w:tcPr>
          <w:p>
            <w:pPr>
              <w:spacing w:after="0"/>
              <w:rPr>
                <w:sz w:val="20"/>
                <w:szCs w:val="20"/>
                <w:color w:val="auto"/>
              </w:rPr>
            </w:pPr>
            <w:r>
              <w:rPr>
                <w:rFonts w:ascii="Arial" w:cs="Arial" w:eastAsia="Arial" w:hAnsi="Arial"/>
                <w:sz w:val="16"/>
                <w:szCs w:val="16"/>
                <w:color w:val="0000FF"/>
              </w:rPr>
              <w:t>Certification of the Chief Executive Officer and the Chief Financial</w:t>
            </w:r>
          </w:p>
        </w:tc>
        <w:tc>
          <w:tcPr>
            <w:tcW w:w="1560" w:type="dxa"/>
            <w:vAlign w:val="bottom"/>
          </w:tcPr>
          <w:p>
            <w:pPr>
              <w:jc w:val="center"/>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340" w:type="dxa"/>
            <w:vAlign w:val="bottom"/>
            <w:gridSpan w:val="3"/>
          </w:tcPr>
          <w:p>
            <w:pPr>
              <w:spacing w:after="0" w:line="142" w:lineRule="exact"/>
              <w:rPr>
                <w:sz w:val="20"/>
                <w:szCs w:val="20"/>
                <w:color w:val="auto"/>
              </w:rPr>
            </w:pPr>
            <w:r>
              <w:rPr>
                <w:rFonts w:ascii="Arial" w:cs="Arial" w:eastAsia="Arial" w:hAnsi="Arial"/>
                <w:sz w:val="16"/>
                <w:szCs w:val="16"/>
                <w:color w:val="0000FF"/>
              </w:rPr>
              <w:t>to</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w:t>
            </w:r>
          </w:p>
        </w:tc>
        <w:tc>
          <w:tcPr>
            <w:tcW w:w="240" w:type="dxa"/>
            <w:vAlign w:val="bottom"/>
          </w:tcPr>
          <w:p>
            <w:pPr>
              <w:spacing w:after="0"/>
              <w:rPr>
                <w:sz w:val="15"/>
                <w:szCs w:val="15"/>
                <w:color w:val="auto"/>
              </w:rPr>
            </w:pPr>
          </w:p>
        </w:tc>
        <w:tc>
          <w:tcPr>
            <w:tcW w:w="5040" w:type="dxa"/>
            <w:vAlign w:val="bottom"/>
            <w:gridSpan w:val="5"/>
          </w:tcPr>
          <w:p>
            <w:pPr>
              <w:spacing w:after="0" w:line="183" w:lineRule="exact"/>
              <w:rPr>
                <w:sz w:val="20"/>
                <w:szCs w:val="20"/>
                <w:color w:val="auto"/>
              </w:rPr>
            </w:pPr>
            <w:r>
              <w:rPr>
                <w:rFonts w:ascii="Arial" w:cs="Arial" w:eastAsia="Arial" w:hAnsi="Arial"/>
                <w:sz w:val="16"/>
                <w:szCs w:val="16"/>
                <w:color w:val="auto"/>
              </w:rPr>
              <w:t>The following financial statements from the Company's Quarterly</w:t>
            </w:r>
          </w:p>
        </w:tc>
        <w:tc>
          <w:tcPr>
            <w:tcW w:w="156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Report on Form 10-Q for the quarter ended March 31, 2026,</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formatted in Inline XBRL: (i) Condensed Consolidated Balance</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Sheets, (ii) Condensed Consolidated Statements of Operations and</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Comprehensive Income (Loss), (iii) Condensed Consolidated</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Statements of Changes in Shareholders' Equity, (iv) Condensed</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Consolidated Statements of Cash Flows and (v) Notes to the</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gridSpan w:val="5"/>
          </w:tcPr>
          <w:p>
            <w:pPr>
              <w:spacing w:after="0" w:line="162" w:lineRule="exact"/>
              <w:rPr>
                <w:sz w:val="20"/>
                <w:szCs w:val="20"/>
                <w:color w:val="auto"/>
              </w:rPr>
            </w:pPr>
            <w:r>
              <w:rPr>
                <w:rFonts w:ascii="Arial" w:cs="Arial" w:eastAsia="Arial" w:hAnsi="Arial"/>
                <w:sz w:val="16"/>
                <w:szCs w:val="16"/>
                <w:color w:val="auto"/>
              </w:rPr>
              <w:t>Condensed Consolidated Financial Statements, tagged as blocks of</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Arial" w:cs="Arial" w:eastAsia="Arial" w:hAnsi="Arial"/>
                <w:sz w:val="16"/>
                <w:szCs w:val="16"/>
                <w:color w:val="auto"/>
              </w:rPr>
              <w:t>text and including detailed tags</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104</w:t>
            </w:r>
          </w:p>
        </w:tc>
        <w:tc>
          <w:tcPr>
            <w:tcW w:w="240" w:type="dxa"/>
            <w:vAlign w:val="bottom"/>
          </w:tcPr>
          <w:p>
            <w:pPr>
              <w:spacing w:after="0"/>
              <w:rPr>
                <w:sz w:val="14"/>
                <w:szCs w:val="14"/>
                <w:color w:val="auto"/>
              </w:rPr>
            </w:pPr>
          </w:p>
        </w:tc>
        <w:tc>
          <w:tcPr>
            <w:tcW w:w="5040" w:type="dxa"/>
            <w:vAlign w:val="bottom"/>
            <w:gridSpan w:val="5"/>
          </w:tcPr>
          <w:p>
            <w:pPr>
              <w:spacing w:after="0" w:line="164" w:lineRule="exact"/>
              <w:rPr>
                <w:sz w:val="20"/>
                <w:szCs w:val="20"/>
                <w:color w:val="auto"/>
              </w:rPr>
            </w:pPr>
            <w:r>
              <w:rPr>
                <w:rFonts w:ascii="Arial" w:cs="Arial" w:eastAsia="Arial" w:hAnsi="Arial"/>
                <w:sz w:val="16"/>
                <w:szCs w:val="16"/>
                <w:color w:val="auto"/>
              </w:rPr>
              <w:t>The cover page from the Company's Quarterly Report on Form 10-Q</w:t>
            </w:r>
          </w:p>
        </w:tc>
        <w:tc>
          <w:tcPr>
            <w:tcW w:w="1560" w:type="dxa"/>
            <w:vAlign w:val="bottom"/>
          </w:tcPr>
          <w:p>
            <w:pPr>
              <w:jc w:val="center"/>
              <w:spacing w:after="0" w:line="164" w:lineRule="exact"/>
              <w:rPr>
                <w:sz w:val="20"/>
                <w:szCs w:val="20"/>
                <w:color w:val="auto"/>
              </w:rPr>
            </w:pPr>
            <w:r>
              <w:rPr>
                <w:rFonts w:ascii="Arial" w:cs="Arial" w:eastAsia="Arial" w:hAnsi="Arial"/>
                <w:sz w:val="16"/>
                <w:szCs w:val="16"/>
                <w:color w:val="auto"/>
              </w:rPr>
              <w:t>X</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Arial" w:cs="Arial" w:eastAsia="Arial" w:hAnsi="Arial"/>
                <w:sz w:val="16"/>
                <w:szCs w:val="16"/>
                <w:color w:val="auto"/>
              </w:rPr>
              <w:t>for the quarter ended March 31, 2026, formatted in Inline XBRL</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right="340" w:hanging="614"/>
        <w:spacing w:after="0" w:line="218" w:lineRule="auto"/>
        <w:tabs>
          <w:tab w:leader="none" w:pos="640" w:val="left"/>
        </w:tabs>
        <w:numPr>
          <w:ilvl w:val="0"/>
          <w:numId w:val="23"/>
        </w:numPr>
        <w:rPr>
          <w:rFonts w:ascii="Arial" w:cs="Arial" w:eastAsia="Arial" w:hAnsi="Arial"/>
          <w:sz w:val="20"/>
          <w:szCs w:val="20"/>
          <w:color w:val="auto"/>
        </w:rPr>
      </w:pPr>
      <w:r>
        <w:rPr>
          <w:rFonts w:ascii="Arial" w:cs="Arial" w:eastAsia="Arial" w:hAnsi="Arial"/>
          <w:sz w:val="16"/>
          <w:szCs w:val="16"/>
          <w:color w:val="auto"/>
        </w:rPr>
        <w:t>These certifications are not deemed filed by the SEC and are not to be incorporated by reference in any filing we make under the Securities Act of 1933 or the Securities Exchange Act of 1934, irrespective of any general incorporation language in any filings.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2026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Shopify Inc.</w:t>
      </w:r>
    </w:p>
    <w:p>
      <w:pPr>
        <w:spacing w:after="0" w:line="200" w:lineRule="exact"/>
        <w:rPr>
          <w:sz w:val="20"/>
          <w:szCs w:val="20"/>
          <w:color w:val="auto"/>
        </w:rPr>
      </w:pPr>
    </w:p>
    <w:p>
      <w:pPr>
        <w:spacing w:after="0" w:line="34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77470</wp:posOffset>
            </wp:positionV>
            <wp:extent cx="1491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Jeff Hoffmeister</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Tobias Lütke, certify that:</w:t>
      </w:r>
    </w:p>
    <w:p>
      <w:pPr>
        <w:spacing w:after="0" w:line="225"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Shopify Inc.;</w:t>
      </w:r>
    </w:p>
    <w:p>
      <w:pPr>
        <w:spacing w:after="0" w:line="225"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580" w:firstLine="8"/>
        <w:spacing w:after="0" w:line="31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7"/>
          <w:szCs w:val="17"/>
          <w:color w:val="auto"/>
        </w:rPr>
      </w:pPr>
    </w:p>
    <w:p>
      <w:pPr>
        <w:ind w:right="20" w:firstLine="8"/>
        <w:spacing w:after="0" w:line="260"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issuer and have:</w:t>
      </w:r>
    </w:p>
    <w:p>
      <w:pPr>
        <w:spacing w:after="0" w:line="234" w:lineRule="exact"/>
        <w:rPr>
          <w:rFonts w:ascii="Arial" w:cs="Arial" w:eastAsia="Arial" w:hAnsi="Arial"/>
          <w:sz w:val="18"/>
          <w:szCs w:val="18"/>
          <w:color w:val="auto"/>
        </w:rPr>
      </w:pPr>
    </w:p>
    <w:p>
      <w:pPr>
        <w:jc w:val="both"/>
        <w:ind w:left="660" w:right="100" w:hanging="4"/>
        <w:spacing w:after="0" w:line="268"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100" w:hanging="4"/>
        <w:spacing w:after="0" w:line="268"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660" w:right="260" w:hanging="4"/>
        <w:spacing w:after="0" w:line="268"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7" w:lineRule="exact"/>
        <w:rPr>
          <w:rFonts w:ascii="Arial" w:cs="Arial" w:eastAsia="Arial" w:hAnsi="Arial"/>
          <w:sz w:val="18"/>
          <w:szCs w:val="18"/>
          <w:color w:val="auto"/>
        </w:rPr>
      </w:pPr>
    </w:p>
    <w:p>
      <w:pPr>
        <w:ind w:right="40" w:firstLine="8"/>
        <w:spacing w:after="0" w:line="287"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79" w:lineRule="exact"/>
        <w:rPr>
          <w:rFonts w:ascii="Arial" w:cs="Arial" w:eastAsia="Arial" w:hAnsi="Arial"/>
          <w:sz w:val="18"/>
          <w:szCs w:val="18"/>
          <w:color w:val="auto"/>
        </w:rPr>
      </w:pPr>
    </w:p>
    <w:p>
      <w:pPr>
        <w:ind w:left="660" w:right="20" w:hanging="4"/>
        <w:spacing w:after="0" w:line="287"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9" w:lineRule="exact"/>
        <w:rPr>
          <w:rFonts w:ascii="Arial" w:cs="Arial" w:eastAsia="Arial" w:hAnsi="Arial"/>
          <w:sz w:val="18"/>
          <w:szCs w:val="18"/>
          <w:color w:val="auto"/>
        </w:rPr>
      </w:pPr>
    </w:p>
    <w:p>
      <w:pPr>
        <w:ind w:left="660" w:right="520" w:hanging="4"/>
        <w:spacing w:after="0" w:line="287"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5, 2026</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Tobias Lütke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857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Tobias Lütke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9"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Jeff Hoffmeister, certify that:</w:t>
      </w:r>
    </w:p>
    <w:p>
      <w:pPr>
        <w:spacing w:after="0" w:line="225"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Shopify Inc.;</w:t>
      </w:r>
    </w:p>
    <w:p>
      <w:pPr>
        <w:spacing w:after="0" w:line="225" w:lineRule="exact"/>
        <w:rPr>
          <w:rFonts w:ascii="Arial" w:cs="Arial" w:eastAsia="Arial" w:hAnsi="Arial"/>
          <w:sz w:val="18"/>
          <w:szCs w:val="18"/>
          <w:color w:val="auto"/>
        </w:rPr>
      </w:pPr>
    </w:p>
    <w:p>
      <w:pPr>
        <w:ind w:right="80" w:firstLine="8"/>
        <w:spacing w:after="0" w:line="268"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560" w:firstLine="8"/>
        <w:spacing w:after="0" w:line="31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7"/>
          <w:szCs w:val="17"/>
          <w:color w:val="auto"/>
        </w:rPr>
      </w:pPr>
    </w:p>
    <w:p>
      <w:pPr>
        <w:ind w:firstLine="8"/>
        <w:spacing w:after="0" w:line="260"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issuer and have:</w:t>
      </w:r>
    </w:p>
    <w:p>
      <w:pPr>
        <w:spacing w:after="0" w:line="234" w:lineRule="exact"/>
        <w:rPr>
          <w:rFonts w:ascii="Arial" w:cs="Arial" w:eastAsia="Arial" w:hAnsi="Arial"/>
          <w:sz w:val="18"/>
          <w:szCs w:val="18"/>
          <w:color w:val="auto"/>
        </w:rPr>
      </w:pPr>
    </w:p>
    <w:p>
      <w:pPr>
        <w:jc w:val="both"/>
        <w:ind w:left="660" w:right="80" w:hanging="4"/>
        <w:spacing w:after="0" w:line="268"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80" w:hanging="4"/>
        <w:spacing w:after="0" w:line="268"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100" w:hanging="4"/>
        <w:spacing w:after="0" w:line="268"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660" w:right="240" w:hanging="4"/>
        <w:spacing w:after="0" w:line="268"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7" w:lineRule="exact"/>
        <w:rPr>
          <w:rFonts w:ascii="Arial" w:cs="Arial" w:eastAsia="Arial" w:hAnsi="Arial"/>
          <w:sz w:val="18"/>
          <w:szCs w:val="18"/>
          <w:color w:val="auto"/>
        </w:rPr>
      </w:pPr>
    </w:p>
    <w:p>
      <w:pPr>
        <w:ind w:right="20" w:firstLine="8"/>
        <w:spacing w:after="0" w:line="287"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79" w:lineRule="exact"/>
        <w:rPr>
          <w:rFonts w:ascii="Arial" w:cs="Arial" w:eastAsia="Arial" w:hAnsi="Arial"/>
          <w:sz w:val="18"/>
          <w:szCs w:val="18"/>
          <w:color w:val="auto"/>
        </w:rPr>
      </w:pPr>
    </w:p>
    <w:p>
      <w:pPr>
        <w:ind w:left="660" w:hanging="4"/>
        <w:spacing w:after="0" w:line="287"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4"/>
        <w:spacing w:after="0" w:line="287" w:lineRule="auto"/>
        <w:tabs>
          <w:tab w:leader="none" w:pos="9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5, 2026</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85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Hoffmeister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20"/>
          </w:cols>
          <w:pgMar w:left="320" w:top="1376"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quarterly report of Shopify Inc. (the "Company") on Form 10-Q for the quarter ended March 31, 2026, as filed with the Securities and Exchange Commission on the date hereof (the "Report"), I, Tobias Lütke, Chief Executive Officer of the Company, certify, pursuant to 18 U.S.C. section 1350, as adopted pursuant to Section 906 of the Sarbanes-Oxley Act of 2002, that, to my knowledge:</w:t>
      </w:r>
    </w:p>
    <w:p>
      <w:pPr>
        <w:spacing w:after="0" w:line="171"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5, 2026</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Tobias Lütke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603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Tobias Lütke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sectPr>
          <w:pgSz w:w="11900" w:h="16838" w:orient="portrait"/>
          <w:cols w:equalWidth="0" w:num="1">
            <w:col w:w="11240"/>
          </w:cols>
          <w:pgMar w:left="320" w:top="890" w:right="339" w:bottom="1440" w:gutter="0" w:footer="0" w:header="0"/>
        </w:sectPr>
      </w:pPr>
    </w:p>
    <w:bookmarkStart w:id="48" w:name="page49"/>
    <w:bookmarkEnd w:id="48"/>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 quarterly report of Shopify Inc. (the "Company") on Form 10-Q for the quarter ended March 31, 2026, as filed with the Securities and Exchange Commission on the date hereof (the "Report"), I, Jeff Hoffmeister, Chief Financial Officer of the Company, certify, pursuant to 18 U.S.C. section 1350, as adopted pursuant to Section 906 of the Sarbanes-Oxley Act of 2002, that, to my knowledge:</w:t>
      </w:r>
    </w:p>
    <w:p>
      <w:pPr>
        <w:spacing w:after="0" w:line="171"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360" w:firstLine="8"/>
        <w:spacing w:after="0" w:line="287"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5, 2026</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603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Hoffmeister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sectPr>
      <w:pgSz w:w="11900" w:h="16838" w:orient="portrait"/>
      <w:cols w:equalWidth="0" w:num="1">
        <w:col w:w="11200"/>
      </w:cols>
      <w:pgMar w:left="320" w:top="11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2026-05-05T06:21:52Z</dcterms:created>
  <dcterms:modified xsi:type="dcterms:W3CDTF">2026-05-05T06:21:52Z</dcterms:modified>
</cp:coreProperties>
</file>