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0" w:lineRule="exact"/>
        <w:rPr>
          <w:sz w:val="24"/>
          <w:szCs w:val="24"/>
          <w:color w:val="auto"/>
        </w:rPr>
      </w:pPr>
    </w:p>
    <w:p>
      <w:pPr>
        <w:ind w:left="3220"/>
        <w:spacing w:after="0"/>
        <w:rPr>
          <w:sz w:val="20"/>
          <w:szCs w:val="20"/>
          <w:color w:val="auto"/>
        </w:rPr>
      </w:pPr>
      <w:r>
        <w:rPr>
          <w:rFonts w:ascii="Arial" w:cs="Arial" w:eastAsia="Arial" w:hAnsi="Arial"/>
          <w:sz w:val="17"/>
          <w:szCs w:val="17"/>
          <w:u w:val="single" w:color="auto"/>
          <w:color w:val="auto"/>
        </w:rPr>
        <w:t>________________________________________________</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40" w:lineRule="exact"/>
        <w:rPr>
          <w:sz w:val="24"/>
          <w:szCs w:val="24"/>
          <w:color w:val="auto"/>
        </w:rPr>
      </w:pPr>
    </w:p>
    <w:p>
      <w:pPr>
        <w:ind w:left="3220"/>
        <w:spacing w:after="0"/>
        <w:rPr>
          <w:sz w:val="20"/>
          <w:szCs w:val="20"/>
          <w:color w:val="auto"/>
        </w:rPr>
      </w:pPr>
      <w:r>
        <w:rPr>
          <w:rFonts w:ascii="Arial" w:cs="Arial" w:eastAsia="Arial" w:hAnsi="Arial"/>
          <w:sz w:val="17"/>
          <w:szCs w:val="17"/>
          <w:u w:val="single" w:color="auto"/>
          <w:color w:val="auto"/>
        </w:rPr>
        <w:t>________________________________________________</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November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3220"/>
        <w:spacing w:after="0"/>
        <w:rPr>
          <w:sz w:val="20"/>
          <w:szCs w:val="20"/>
          <w:color w:val="auto"/>
        </w:rPr>
      </w:pPr>
      <w:r>
        <w:rPr>
          <w:rFonts w:ascii="Arial" w:cs="Arial" w:eastAsia="Arial" w:hAnsi="Arial"/>
          <w:sz w:val="17"/>
          <w:szCs w:val="17"/>
          <w:u w:val="single" w:color="auto"/>
          <w:color w:val="auto"/>
        </w:rPr>
        <w:t>________________________________________________</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Shopify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4" w:lineRule="exact"/>
        <w:rPr>
          <w:sz w:val="24"/>
          <w:szCs w:val="24"/>
          <w:color w:val="auto"/>
        </w:rPr>
      </w:pPr>
    </w:p>
    <w:p>
      <w:pPr>
        <w:ind w:left="3220"/>
        <w:spacing w:after="0"/>
        <w:rPr>
          <w:sz w:val="20"/>
          <w:szCs w:val="20"/>
          <w:color w:val="auto"/>
        </w:rPr>
      </w:pPr>
      <w:r>
        <w:rPr>
          <w:rFonts w:ascii="Arial" w:cs="Arial" w:eastAsia="Arial" w:hAnsi="Arial"/>
          <w:sz w:val="17"/>
          <w:szCs w:val="17"/>
          <w:u w:val="single" w:color="auto"/>
          <w:color w:val="auto"/>
        </w:rPr>
        <w:t>________________________________________________</w:t>
      </w:r>
    </w:p>
    <w:p>
      <w:pPr>
        <w:sectPr>
          <w:pgSz w:w="11900" w:h="16838" w:orient="portrait"/>
          <w:cols w:equalWidth="0" w:num="1">
            <w:col w:w="11240"/>
          </w:cols>
          <w:pgMar w:left="320" w:top="1052" w:right="339" w:bottom="1440" w:gutter="0" w:footer="0" w:header="0"/>
        </w:sectPr>
      </w:pPr>
    </w:p>
    <w:p>
      <w:pPr>
        <w:spacing w:after="0" w:line="341" w:lineRule="exact"/>
        <w:rPr>
          <w:sz w:val="24"/>
          <w:szCs w:val="24"/>
          <w:color w:val="auto"/>
        </w:rPr>
      </w:pPr>
    </w:p>
    <w:p>
      <w:pPr>
        <w:ind w:left="2260"/>
        <w:spacing w:after="0"/>
        <w:rPr>
          <w:sz w:val="20"/>
          <w:szCs w:val="20"/>
          <w:color w:val="auto"/>
        </w:rPr>
      </w:pPr>
      <w:r>
        <w:rPr>
          <w:rFonts w:ascii="Arial" w:cs="Arial" w:eastAsia="Arial" w:hAnsi="Arial"/>
          <w:sz w:val="14"/>
          <w:szCs w:val="14"/>
          <w:b w:val="1"/>
          <w:bCs w:val="1"/>
          <w:color w:val="auto"/>
        </w:rPr>
        <w:t>Canada</w:t>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001-37400</w:t>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98-0486686</w:t>
      </w:r>
    </w:p>
    <w:p>
      <w:pPr>
        <w:spacing w:after="0" w:line="42" w:lineRule="exact"/>
        <w:rPr>
          <w:sz w:val="24"/>
          <w:szCs w:val="24"/>
          <w:color w:val="auto"/>
        </w:rPr>
      </w:pPr>
    </w:p>
    <w:p>
      <w:pPr>
        <w:sectPr>
          <w:pgSz w:w="11900" w:h="16838" w:orient="portrait"/>
          <w:cols w:equalWidth="0" w:num="3">
            <w:col w:w="4540" w:space="720"/>
            <w:col w:w="2360" w:space="720"/>
            <w:col w:w="2900"/>
          </w:cols>
          <w:pgMar w:left="320" w:top="1052" w:right="339" w:bottom="1440" w:gutter="0" w:footer="0" w:header="0"/>
          <w:type w:val="continuous"/>
        </w:sectPr>
      </w:pPr>
    </w:p>
    <w:p>
      <w:pPr>
        <w:ind w:left="1100"/>
        <w:spacing w:after="0"/>
        <w:rPr>
          <w:sz w:val="20"/>
          <w:szCs w:val="20"/>
          <w:color w:val="auto"/>
        </w:rPr>
      </w:pPr>
      <w:r>
        <w:rPr>
          <w:rFonts w:ascii="Arial" w:cs="Arial" w:eastAsia="Arial" w:hAnsi="Arial"/>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7" w:lineRule="exact"/>
        <w:rPr>
          <w:sz w:val="24"/>
          <w:szCs w:val="24"/>
          <w:color w:val="auto"/>
        </w:rPr>
      </w:pPr>
    </w:p>
    <w:p>
      <w:pPr>
        <w:sectPr>
          <w:pgSz w:w="11900" w:h="16838" w:orient="portrait"/>
          <w:cols w:equalWidth="0" w:num="3">
            <w:col w:w="4040" w:space="720"/>
            <w:col w:w="2200" w:space="720"/>
            <w:col w:w="3560"/>
          </w:cols>
          <w:pgMar w:left="320" w:top="1052" w:right="339" w:bottom="1440" w:gutter="0" w:footer="0" w:header="0"/>
          <w:type w:val="continuous"/>
        </w:sectPr>
      </w:pPr>
    </w:p>
    <w:p>
      <w:pPr>
        <w:ind w:left="2100"/>
        <w:spacing w:after="0"/>
        <w:rPr>
          <w:sz w:val="20"/>
          <w:szCs w:val="20"/>
          <w:color w:val="auto"/>
        </w:rPr>
      </w:pPr>
      <w:r>
        <w:rPr>
          <w:rFonts w:ascii="Arial" w:cs="Arial" w:eastAsia="Arial" w:hAnsi="Arial"/>
          <w:sz w:val="14"/>
          <w:szCs w:val="14"/>
          <w:color w:val="auto"/>
        </w:rPr>
        <w:t>organization)</w:t>
      </w:r>
    </w:p>
    <w:p>
      <w:pPr>
        <w:spacing w:after="0" w:line="9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8488 Rozita Lee Ave, Bldg 3 Suite 100</w:t>
      </w:r>
    </w:p>
    <w:p>
      <w:pPr>
        <w:spacing w:after="0" w:line="55" w:lineRule="exact"/>
        <w:rPr>
          <w:sz w:val="24"/>
          <w:szCs w:val="24"/>
          <w:color w:val="auto"/>
        </w:rPr>
      </w:pPr>
    </w:p>
    <w:p>
      <w:pPr>
        <w:jc w:val="center"/>
        <w:ind w:right="40"/>
        <w:spacing w:after="0"/>
        <w:tabs>
          <w:tab w:leader="none" w:pos="140" w:val="left"/>
        </w:tabs>
        <w:rPr>
          <w:sz w:val="20"/>
          <w:szCs w:val="20"/>
          <w:color w:val="auto"/>
        </w:rPr>
      </w:pPr>
      <w:r>
        <w:rPr>
          <w:rFonts w:ascii="Arial" w:cs="Arial" w:eastAsia="Arial" w:hAnsi="Arial"/>
          <w:sz w:val="14"/>
          <w:szCs w:val="14"/>
          <w:b w:val="1"/>
          <w:bCs w:val="1"/>
          <w:color w:val="auto"/>
        </w:rPr>
        <w:t>Las Vegas, Nevada</w:t>
      </w:r>
      <w:r>
        <w:rPr>
          <w:sz w:val="20"/>
          <w:szCs w:val="20"/>
          <w:color w:val="auto"/>
        </w:rPr>
        <w:tab/>
      </w:r>
      <w:r>
        <w:rPr>
          <w:rFonts w:ascii="Arial" w:cs="Arial" w:eastAsia="Arial" w:hAnsi="Arial"/>
          <w:sz w:val="13"/>
          <w:szCs w:val="13"/>
          <w:b w:val="1"/>
          <w:bCs w:val="1"/>
          <w:color w:val="auto"/>
        </w:rPr>
        <w:t>89113</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 including zip code)</w:t>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(613) 241-2828 x 1045</w:t>
      </w:r>
    </w:p>
    <w:p>
      <w:pPr>
        <w:spacing w:after="0" w:line="59" w:lineRule="exact"/>
        <w:rPr>
          <w:sz w:val="24"/>
          <w:szCs w:val="24"/>
          <w:color w:val="auto"/>
        </w:rPr>
      </w:pPr>
    </w:p>
    <w:p>
      <w:pPr>
        <w:ind w:left="3220"/>
        <w:spacing w:after="0"/>
        <w:rPr>
          <w:sz w:val="20"/>
          <w:szCs w:val="20"/>
          <w:color w:val="auto"/>
        </w:rPr>
      </w:pPr>
      <w:r>
        <w:rPr>
          <w:rFonts w:ascii="Arial" w:cs="Arial" w:eastAsia="Arial" w:hAnsi="Arial"/>
          <w:sz w:val="18"/>
          <w:szCs w:val="18"/>
          <w:u w:val="single" w:color="auto"/>
          <w:color w:val="auto"/>
        </w:rPr>
        <w:t>________________________________________________</w:t>
      </w:r>
    </w:p>
    <w:p>
      <w:pPr>
        <w:spacing w:after="0" w:line="279" w:lineRule="exact"/>
        <w:rPr>
          <w:sz w:val="24"/>
          <w:szCs w:val="24"/>
          <w:color w:val="auto"/>
        </w:rPr>
      </w:pPr>
    </w:p>
    <w:p>
      <w:pPr>
        <w:ind w:right="260"/>
        <w:spacing w:after="0" w:line="28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31" w:lineRule="exact"/>
        <w:rPr>
          <w:sz w:val="24"/>
          <w:szCs w:val="24"/>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235"/>
        </w:trPr>
        <w:tc>
          <w:tcPr>
            <w:tcW w:w="4740" w:type="dxa"/>
            <w:vAlign w:val="bottom"/>
            <w:gridSpan w:val="3"/>
          </w:tcPr>
          <w:p>
            <w:pPr>
              <w:jc w:val="center"/>
              <w:ind w:right="820"/>
              <w:spacing w:after="0"/>
              <w:rPr>
                <w:sz w:val="20"/>
                <w:szCs w:val="20"/>
                <w:color w:val="auto"/>
              </w:rPr>
            </w:pPr>
            <w:r>
              <w:rPr>
                <w:rFonts w:ascii="Arial" w:cs="Arial" w:eastAsia="Arial" w:hAnsi="Arial"/>
                <w:sz w:val="18"/>
                <w:szCs w:val="18"/>
                <w:color w:val="auto"/>
                <w:w w:val="99"/>
              </w:rPr>
              <w:t>Title of each class</w:t>
            </w:r>
          </w:p>
        </w:tc>
        <w:tc>
          <w:tcPr>
            <w:tcW w:w="1660" w:type="dxa"/>
            <w:vAlign w:val="bottom"/>
            <w:gridSpan w:val="2"/>
          </w:tcPr>
          <w:p>
            <w:pPr>
              <w:jc w:val="center"/>
              <w:ind w:right="780"/>
              <w:spacing w:after="0"/>
              <w:rPr>
                <w:sz w:val="20"/>
                <w:szCs w:val="20"/>
                <w:color w:val="auto"/>
              </w:rPr>
            </w:pPr>
            <w:r>
              <w:rPr>
                <w:rFonts w:ascii="Arial" w:cs="Arial" w:eastAsia="Arial" w:hAnsi="Arial"/>
                <w:sz w:val="18"/>
                <w:szCs w:val="18"/>
                <w:color w:val="auto"/>
                <w:w w:val="98"/>
              </w:rPr>
              <w:t>Trading</w:t>
            </w:r>
          </w:p>
        </w:tc>
        <w:tc>
          <w:tcPr>
            <w:tcW w:w="484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40"/>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Class A Subordinate Voting Shares</w:t>
            </w:r>
          </w:p>
        </w:tc>
        <w:tc>
          <w:tcPr>
            <w:tcW w:w="3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7"/>
              </w:rPr>
              <w:t>SHOP</w:t>
            </w:r>
          </w:p>
        </w:tc>
        <w:tc>
          <w:tcPr>
            <w:tcW w:w="300" w:type="dxa"/>
            <w:vAlign w:val="bottom"/>
          </w:tcPr>
          <w:p>
            <w:pPr>
              <w:spacing w:after="0"/>
              <w:rPr>
                <w:sz w:val="20"/>
                <w:szCs w:val="20"/>
                <w:color w:val="auto"/>
              </w:rPr>
            </w:pPr>
          </w:p>
        </w:tc>
        <w:tc>
          <w:tcPr>
            <w:tcW w:w="4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Select Market</w:t>
            </w:r>
          </w:p>
        </w:tc>
      </w:tr>
    </w:tbl>
    <w:p>
      <w:pPr>
        <w:spacing w:after="0" w:line="288" w:lineRule="exact"/>
        <w:rPr>
          <w:sz w:val="24"/>
          <w:szCs w:val="24"/>
          <w:color w:val="auto"/>
        </w:rPr>
      </w:pPr>
    </w:p>
    <w:p>
      <w:pPr>
        <w:jc w:val="both"/>
        <w:spacing w:after="0" w:line="22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spacing w:after="0" w:line="25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November 3, 2026, Shopify Inc. (the "Company") issued a press release announcing its financial results for the quarter ended September 30, 2026. A copy of the press release is furnished as Exhibit 99.1 to this report.</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furnished with this Item 2.02, including Exhibit 99.1, shall not be deemed "filed" for the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420" w:type="dxa"/>
            <w:vAlign w:val="bottom"/>
          </w:tcPr>
          <w:p>
            <w:pPr>
              <w:spacing w:after="0"/>
              <w:rPr>
                <w:sz w:val="21"/>
                <w:szCs w:val="21"/>
                <w:color w:val="auto"/>
              </w:rPr>
            </w:pPr>
          </w:p>
        </w:tc>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3"/>
        </w:trPr>
        <w:tc>
          <w:tcPr>
            <w:tcW w:w="1380" w:type="dxa"/>
            <w:vAlign w:val="bottom"/>
          </w:tcPr>
          <w:p>
            <w:pPr>
              <w:ind w:left="140"/>
              <w:spacing w:after="0"/>
              <w:rPr>
                <w:sz w:val="20"/>
                <w:szCs w:val="20"/>
                <w:color w:val="auto"/>
              </w:rPr>
            </w:pPr>
            <w:r>
              <w:rPr>
                <w:rFonts w:ascii="Arial" w:cs="Arial" w:eastAsia="Arial" w:hAnsi="Arial"/>
                <w:sz w:val="18"/>
                <w:szCs w:val="18"/>
                <w:color w:val="auto"/>
              </w:rPr>
              <w:t>99.1</w:t>
            </w:r>
          </w:p>
        </w:tc>
        <w:tc>
          <w:tcPr>
            <w:tcW w:w="9860" w:type="dxa"/>
            <w:vAlign w:val="bottom"/>
            <w:gridSpan w:val="3"/>
          </w:tcPr>
          <w:p>
            <w:pPr>
              <w:ind w:left="420"/>
              <w:spacing w:after="0"/>
              <w:rPr>
                <w:sz w:val="20"/>
                <w:szCs w:val="20"/>
                <w:color w:val="auto"/>
              </w:rPr>
            </w:pPr>
            <w:r>
              <w:rPr>
                <w:rFonts w:ascii="Arial" w:cs="Arial" w:eastAsia="Arial" w:hAnsi="Arial"/>
                <w:sz w:val="18"/>
                <w:szCs w:val="18"/>
                <w:color w:val="0000FF"/>
              </w:rPr>
              <w:t>Press release of financial results issued by Shopify Inc. on November 3, 2026</w:t>
            </w:r>
          </w:p>
        </w:tc>
      </w:tr>
      <w:tr>
        <w:trPr>
          <w:trHeight w:val="20"/>
        </w:trPr>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6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54"/>
        </w:trPr>
        <w:tc>
          <w:tcPr>
            <w:tcW w:w="1380" w:type="dxa"/>
            <w:vAlign w:val="bottom"/>
          </w:tcPr>
          <w:p>
            <w:pPr>
              <w:ind w:left="14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2"/>
                <w:szCs w:val="22"/>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01"/>
        </w:trPr>
        <w:tc>
          <w:tcPr>
            <w:tcW w:w="1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06" w:lineRule="exact"/>
        <w:rPr>
          <w:sz w:val="20"/>
          <w:szCs w:val="20"/>
          <w:color w:val="auto"/>
        </w:rPr>
      </w:pPr>
    </w:p>
    <w:p>
      <w:pPr>
        <w:ind w:left="60"/>
        <w:spacing w:after="0" w:line="31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SHOPIFY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2026</w:t>
      </w:r>
    </w:p>
    <w:p>
      <w:pPr>
        <w:spacing w:after="0" w:line="32" w:lineRule="exact"/>
        <w:rPr>
          <w:sz w:val="20"/>
          <w:szCs w:val="20"/>
          <w:color w:val="auto"/>
        </w:rPr>
      </w:pPr>
    </w:p>
    <w:p>
      <w:pPr>
        <w:ind w:left="55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3952875</wp:posOffset>
            </wp:positionH>
            <wp:positionV relativeFrom="paragraph">
              <wp:posOffset>12065</wp:posOffset>
            </wp:positionV>
            <wp:extent cx="3171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4"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Michael L. Johnson</w:t>
      </w:r>
    </w:p>
    <w:p>
      <w:pPr>
        <w:spacing w:after="0" w:line="7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Corporate Secretary</w:t>
      </w:r>
    </w:p>
    <w:p>
      <w:pPr>
        <w:sectPr>
          <w:pgSz w:w="11900" w:h="16838" w:orient="portrait"/>
          <w:cols w:equalWidth="0" w:num="1">
            <w:col w:w="11180"/>
          </w:cols>
          <w:pgMar w:left="340" w:top="1187" w:right="379" w:bottom="1440" w:gutter="0" w:footer="0" w:header="0"/>
        </w:sectPr>
      </w:pPr>
    </w:p>
    <w:bookmarkStart w:id="3" w:name="page4"/>
    <w:bookmarkEnd w:id="3"/>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7500"/>
                    </a:xfrm>
                    <a:prstGeom prst="rect">
                      <a:avLst/>
                    </a:prstGeom>
                    <a:noFill/>
                  </pic:spPr>
                </pic:pic>
              </a:graphicData>
            </a:graphic>
          </wp:anchor>
        </w:drawing>
      </w:r>
    </w:p>
    <w:p>
      <w:pPr>
        <w:ind w:left="80" w:right="120"/>
        <w:spacing w:after="0" w:line="287" w:lineRule="auto"/>
        <w:rPr>
          <w:sz w:val="20"/>
          <w:szCs w:val="20"/>
          <w:color w:val="auto"/>
        </w:rPr>
      </w:pPr>
      <w:r>
        <w:rPr>
          <w:rFonts w:ascii="Arial" w:cs="Arial" w:eastAsia="Arial" w:hAnsi="Arial"/>
          <w:sz w:val="36"/>
          <w:szCs w:val="36"/>
          <w:color w:val="auto"/>
        </w:rPr>
        <w:t>Shopify Sustains Rapid Growth with Revenue Up 32% and Free Cash Flow Margin of 22%</w:t>
      </w:r>
    </w:p>
    <w:p>
      <w:pPr>
        <w:spacing w:after="0" w:line="100" w:lineRule="exact"/>
        <w:rPr>
          <w:sz w:val="20"/>
          <w:szCs w:val="20"/>
          <w:color w:val="auto"/>
        </w:rPr>
      </w:pPr>
    </w:p>
    <w:p>
      <w:pPr>
        <w:jc w:val="both"/>
        <w:ind w:left="80"/>
        <w:spacing w:after="0" w:line="409" w:lineRule="auto"/>
        <w:rPr>
          <w:sz w:val="20"/>
          <w:szCs w:val="20"/>
          <w:color w:val="auto"/>
        </w:rPr>
      </w:pPr>
      <w:r>
        <w:rPr>
          <w:rFonts w:ascii="Arial" w:cs="Arial" w:eastAsia="Arial" w:hAnsi="Arial"/>
          <w:sz w:val="16"/>
          <w:szCs w:val="16"/>
          <w:color w:val="auto"/>
        </w:rPr>
        <w:t>November 3, 2026 - Shopify announced today financial results for the quarter ended September 30, 2026. Shopify achieved 32% revenue growth (32% in constant currency) and a 22% free cash flow margin.</w:t>
      </w:r>
    </w:p>
    <w:p>
      <w:pPr>
        <w:spacing w:after="0" w:line="115" w:lineRule="exact"/>
        <w:rPr>
          <w:sz w:val="20"/>
          <w:szCs w:val="20"/>
          <w:color w:val="auto"/>
        </w:rPr>
      </w:pPr>
    </w:p>
    <w:p>
      <w:pPr>
        <w:jc w:val="both"/>
        <w:ind w:left="80"/>
        <w:spacing w:after="0" w:line="389" w:lineRule="auto"/>
        <w:rPr>
          <w:sz w:val="20"/>
          <w:szCs w:val="20"/>
          <w:color w:val="auto"/>
        </w:rPr>
      </w:pPr>
      <w:r>
        <w:rPr>
          <w:rFonts w:ascii="Arial" w:cs="Arial" w:eastAsia="Arial" w:hAnsi="Arial"/>
          <w:sz w:val="16"/>
          <w:szCs w:val="16"/>
          <w:color w:val="auto"/>
        </w:rPr>
        <w:t>“Shopify is uncommonly good at operating in two realities at the same time: the world our merchants exist in today, and the one they are moving towards. Q3 is the perfect example. We powered $119 billion in GMV, while continuing to build commerce into every surface, every agent, and increasingly, everywhere,” said Harley Finkelstein, President of Shopify.</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6"/>
          <w:szCs w:val="16"/>
          <w:color w:val="auto"/>
        </w:rPr>
        <w:t>“We extended our track record of consistent execution, with 32% revenue growth and a 22% free cash flow margin,”</w:t>
      </w:r>
    </w:p>
    <w:p>
      <w:pPr>
        <w:spacing w:after="0" w:line="100" w:lineRule="exact"/>
        <w:rPr>
          <w:sz w:val="20"/>
          <w:szCs w:val="20"/>
          <w:color w:val="auto"/>
        </w:rPr>
      </w:pPr>
    </w:p>
    <w:p>
      <w:pPr>
        <w:jc w:val="both"/>
        <w:ind w:left="80"/>
        <w:spacing w:after="0" w:line="409" w:lineRule="auto"/>
        <w:rPr>
          <w:sz w:val="20"/>
          <w:szCs w:val="20"/>
          <w:color w:val="auto"/>
        </w:rPr>
      </w:pPr>
      <w:r>
        <w:rPr>
          <w:rFonts w:ascii="Arial" w:cs="Arial" w:eastAsia="Arial" w:hAnsi="Arial"/>
          <w:sz w:val="16"/>
          <w:szCs w:val="16"/>
          <w:color w:val="auto"/>
        </w:rPr>
        <w:t>said Jeff Hoffmeister, Chief Financial Officer of Shopify. “Delivering these results at our scale speaks to the strength of our model, our multiple growth drivers, and our expanding addressable market.”</w:t>
      </w:r>
    </w:p>
    <w:p>
      <w:pPr>
        <w:spacing w:after="0" w:line="30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Selected Business Performance Information</w:t>
      </w:r>
      <w:r>
        <w:rPr>
          <w:rFonts w:ascii="Arial" w:cs="Arial" w:eastAsia="Arial" w:hAnsi="Arial"/>
          <w:sz w:val="25"/>
          <w:szCs w:val="25"/>
          <w:b w:val="1"/>
          <w:bCs w:val="1"/>
          <w:color w:val="auto"/>
          <w:vertAlign w:val="superscript"/>
        </w:rPr>
        <w:t>(1)</w:t>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US $ millions, except percentages)</w:t>
      </w:r>
    </w:p>
    <w:p>
      <w:pPr>
        <w:spacing w:after="0" w:line="68"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720" w:type="dxa"/>
            <w:vAlign w:val="bottom"/>
            <w:tcBorders>
              <w:bottom w:val="single" w:sz="8" w:color="auto"/>
            </w:tcBorders>
          </w:tcPr>
          <w:p>
            <w:pPr>
              <w:spacing w:after="0"/>
              <w:rPr>
                <w:sz w:val="18"/>
                <w:szCs w:val="18"/>
                <w:color w:val="auto"/>
              </w:rPr>
            </w:pPr>
          </w:p>
        </w:tc>
      </w:tr>
      <w:tr>
        <w:trPr>
          <w:trHeight w:val="223"/>
        </w:trPr>
        <w:tc>
          <w:tcPr>
            <w:tcW w:w="60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September 30, 2026</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2025</w:t>
            </w:r>
          </w:p>
        </w:tc>
      </w:tr>
      <w:tr>
        <w:trPr>
          <w:trHeight w:val="221"/>
        </w:trPr>
        <w:tc>
          <w:tcPr>
            <w:tcW w:w="6060" w:type="dxa"/>
            <w:vAlign w:val="bottom"/>
          </w:tcPr>
          <w:p>
            <w:pPr>
              <w:ind w:left="20"/>
              <w:spacing w:after="0"/>
              <w:rPr>
                <w:sz w:val="20"/>
                <w:szCs w:val="20"/>
                <w:color w:val="auto"/>
              </w:rPr>
            </w:pPr>
            <w:r>
              <w:rPr>
                <w:rFonts w:ascii="Arial" w:cs="Arial" w:eastAsia="Arial" w:hAnsi="Arial"/>
                <w:sz w:val="16"/>
                <w:szCs w:val="16"/>
                <w:color w:val="auto"/>
              </w:rPr>
              <w:t>GMV</w:t>
            </w:r>
          </w:p>
        </w:tc>
        <w:tc>
          <w:tcPr>
            <w:tcW w:w="3460" w:type="dxa"/>
            <w:vAlign w:val="bottom"/>
          </w:tcPr>
          <w:p>
            <w:pPr>
              <w:jc w:val="right"/>
              <w:ind w:right="1019"/>
              <w:spacing w:after="0"/>
              <w:rPr>
                <w:sz w:val="20"/>
                <w:szCs w:val="20"/>
                <w:color w:val="auto"/>
              </w:rPr>
            </w:pPr>
            <w:r>
              <w:rPr>
                <w:rFonts w:ascii="Arial" w:cs="Arial" w:eastAsia="Arial" w:hAnsi="Arial"/>
                <w:sz w:val="16"/>
                <w:szCs w:val="16"/>
                <w:color w:val="auto"/>
              </w:rPr>
              <w:t>119,145</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92,013</w:t>
            </w:r>
          </w:p>
        </w:tc>
      </w:tr>
      <w:tr>
        <w:trPr>
          <w:trHeight w:val="284"/>
        </w:trPr>
        <w:tc>
          <w:tcPr>
            <w:tcW w:w="6060" w:type="dxa"/>
            <w:vAlign w:val="bottom"/>
          </w:tcPr>
          <w:p>
            <w:pPr>
              <w:ind w:left="20"/>
              <w:spacing w:after="0"/>
              <w:rPr>
                <w:sz w:val="20"/>
                <w:szCs w:val="20"/>
                <w:color w:val="auto"/>
              </w:rPr>
            </w:pPr>
            <w:r>
              <w:rPr>
                <w:rFonts w:ascii="Arial" w:cs="Arial" w:eastAsia="Arial" w:hAnsi="Arial"/>
                <w:sz w:val="16"/>
                <w:szCs w:val="16"/>
                <w:color w:val="auto"/>
              </w:rPr>
              <w:t>MRR</w:t>
            </w:r>
          </w:p>
        </w:tc>
        <w:tc>
          <w:tcPr>
            <w:tcW w:w="3460" w:type="dxa"/>
            <w:vAlign w:val="bottom"/>
          </w:tcPr>
          <w:p>
            <w:pPr>
              <w:jc w:val="right"/>
              <w:ind w:right="1019"/>
              <w:spacing w:after="0"/>
              <w:rPr>
                <w:sz w:val="20"/>
                <w:szCs w:val="20"/>
                <w:color w:val="auto"/>
              </w:rPr>
            </w:pPr>
            <w:r>
              <w:rPr>
                <w:rFonts w:ascii="Arial" w:cs="Arial" w:eastAsia="Arial" w:hAnsi="Arial"/>
                <w:sz w:val="16"/>
                <w:szCs w:val="16"/>
                <w:color w:val="auto"/>
              </w:rPr>
              <w:t>230</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193</w:t>
            </w:r>
          </w:p>
        </w:tc>
      </w:tr>
      <w:tr>
        <w:trPr>
          <w:trHeight w:val="283"/>
        </w:trPr>
        <w:tc>
          <w:tcPr>
            <w:tcW w:w="6060" w:type="dxa"/>
            <w:vAlign w:val="bottom"/>
          </w:tcPr>
          <w:p>
            <w:pPr>
              <w:ind w:left="20"/>
              <w:spacing w:after="0"/>
              <w:rPr>
                <w:sz w:val="20"/>
                <w:szCs w:val="20"/>
                <w:color w:val="auto"/>
              </w:rPr>
            </w:pPr>
            <w:r>
              <w:rPr>
                <w:rFonts w:ascii="Arial" w:cs="Arial" w:eastAsia="Arial" w:hAnsi="Arial"/>
                <w:sz w:val="16"/>
                <w:szCs w:val="16"/>
                <w:color w:val="auto"/>
              </w:rPr>
              <w:t>Revenue</w:t>
            </w:r>
          </w:p>
        </w:tc>
        <w:tc>
          <w:tcPr>
            <w:tcW w:w="3460" w:type="dxa"/>
            <w:vAlign w:val="bottom"/>
          </w:tcPr>
          <w:p>
            <w:pPr>
              <w:jc w:val="right"/>
              <w:ind w:right="1019"/>
              <w:spacing w:after="0"/>
              <w:rPr>
                <w:sz w:val="20"/>
                <w:szCs w:val="20"/>
                <w:color w:val="auto"/>
              </w:rPr>
            </w:pPr>
            <w:r>
              <w:rPr>
                <w:rFonts w:ascii="Arial" w:cs="Arial" w:eastAsia="Arial" w:hAnsi="Arial"/>
                <w:sz w:val="16"/>
                <w:szCs w:val="16"/>
                <w:color w:val="auto"/>
              </w:rPr>
              <w:t>3,742</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2,844</w:t>
            </w:r>
          </w:p>
        </w:tc>
      </w:tr>
      <w:tr>
        <w:trPr>
          <w:trHeight w:val="284"/>
        </w:trPr>
        <w:tc>
          <w:tcPr>
            <w:tcW w:w="60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460" w:type="dxa"/>
            <w:vAlign w:val="bottom"/>
          </w:tcPr>
          <w:p>
            <w:pPr>
              <w:jc w:val="right"/>
              <w:ind w:right="1019"/>
              <w:spacing w:after="0"/>
              <w:rPr>
                <w:sz w:val="20"/>
                <w:szCs w:val="20"/>
                <w:color w:val="auto"/>
              </w:rPr>
            </w:pPr>
            <w:r>
              <w:rPr>
                <w:rFonts w:ascii="Arial" w:cs="Arial" w:eastAsia="Arial" w:hAnsi="Arial"/>
                <w:sz w:val="16"/>
                <w:szCs w:val="16"/>
                <w:color w:val="auto"/>
              </w:rPr>
              <w:t>1,781</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1,391</w:t>
            </w:r>
          </w:p>
        </w:tc>
      </w:tr>
      <w:tr>
        <w:trPr>
          <w:trHeight w:val="283"/>
        </w:trPr>
        <w:tc>
          <w:tcPr>
            <w:tcW w:w="60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460" w:type="dxa"/>
            <w:vAlign w:val="bottom"/>
          </w:tcPr>
          <w:p>
            <w:pPr>
              <w:jc w:val="right"/>
              <w:ind w:right="1019"/>
              <w:spacing w:after="0"/>
              <w:rPr>
                <w:sz w:val="20"/>
                <w:szCs w:val="20"/>
                <w:color w:val="auto"/>
              </w:rPr>
            </w:pPr>
            <w:r>
              <w:rPr>
                <w:rFonts w:ascii="Arial" w:cs="Arial" w:eastAsia="Arial" w:hAnsi="Arial"/>
                <w:sz w:val="16"/>
                <w:szCs w:val="16"/>
                <w:color w:val="auto"/>
              </w:rPr>
              <w:t>568</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343</w:t>
            </w:r>
          </w:p>
        </w:tc>
      </w:tr>
      <w:tr>
        <w:trPr>
          <w:trHeight w:val="283"/>
        </w:trPr>
        <w:tc>
          <w:tcPr>
            <w:tcW w:w="606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3460" w:type="dxa"/>
            <w:vAlign w:val="bottom"/>
          </w:tcPr>
          <w:p>
            <w:pPr>
              <w:jc w:val="right"/>
              <w:ind w:right="1019"/>
              <w:spacing w:after="0"/>
              <w:rPr>
                <w:sz w:val="20"/>
                <w:szCs w:val="20"/>
                <w:color w:val="auto"/>
              </w:rPr>
            </w:pPr>
            <w:r>
              <w:rPr>
                <w:rFonts w:ascii="Arial" w:cs="Arial" w:eastAsia="Arial" w:hAnsi="Arial"/>
                <w:sz w:val="16"/>
                <w:szCs w:val="16"/>
                <w:color w:val="auto"/>
              </w:rPr>
              <w:t>816</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507</w:t>
            </w:r>
          </w:p>
        </w:tc>
      </w:tr>
      <w:tr>
        <w:trPr>
          <w:trHeight w:val="56"/>
        </w:trPr>
        <w:tc>
          <w:tcPr>
            <w:tcW w:w="606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262"/>
        </w:trPr>
        <w:tc>
          <w:tcPr>
            <w:tcW w:w="6060" w:type="dxa"/>
            <w:vAlign w:val="bottom"/>
          </w:tcPr>
          <w:p>
            <w:pPr>
              <w:ind w:left="180"/>
              <w:spacing w:after="0"/>
              <w:rPr>
                <w:sz w:val="20"/>
                <w:szCs w:val="20"/>
                <w:color w:val="auto"/>
              </w:rPr>
            </w:pPr>
            <w:r>
              <w:rPr>
                <w:rFonts w:ascii="Arial" w:cs="Arial" w:eastAsia="Arial" w:hAnsi="Arial"/>
                <w:sz w:val="16"/>
                <w:szCs w:val="16"/>
                <w:i w:val="1"/>
                <w:iCs w:val="1"/>
                <w:color w:val="auto"/>
              </w:rPr>
              <w:t>YoY revenue growth rate</w:t>
            </w:r>
          </w:p>
        </w:tc>
        <w:tc>
          <w:tcPr>
            <w:tcW w:w="3460" w:type="dxa"/>
            <w:vAlign w:val="bottom"/>
          </w:tcPr>
          <w:p>
            <w:pPr>
              <w:jc w:val="right"/>
              <w:ind w:right="899"/>
              <w:spacing w:after="0"/>
              <w:rPr>
                <w:sz w:val="20"/>
                <w:szCs w:val="20"/>
                <w:color w:val="auto"/>
              </w:rPr>
            </w:pPr>
            <w:r>
              <w:rPr>
                <w:rFonts w:ascii="Arial" w:cs="Arial" w:eastAsia="Arial" w:hAnsi="Arial"/>
                <w:sz w:val="16"/>
                <w:szCs w:val="16"/>
                <w:i w:val="1"/>
                <w:iCs w:val="1"/>
                <w:color w:val="auto"/>
              </w:rPr>
              <w:t>32%</w:t>
            </w:r>
          </w:p>
        </w:tc>
        <w:tc>
          <w:tcPr>
            <w:tcW w:w="1720" w:type="dxa"/>
            <w:vAlign w:val="bottom"/>
          </w:tcPr>
          <w:p>
            <w:pPr>
              <w:jc w:val="right"/>
              <w:spacing w:after="0"/>
              <w:rPr>
                <w:sz w:val="20"/>
                <w:szCs w:val="20"/>
                <w:color w:val="auto"/>
              </w:rPr>
            </w:pPr>
            <w:r>
              <w:rPr>
                <w:rFonts w:ascii="Arial" w:cs="Arial" w:eastAsia="Arial" w:hAnsi="Arial"/>
                <w:sz w:val="16"/>
                <w:szCs w:val="16"/>
                <w:i w:val="1"/>
                <w:iCs w:val="1"/>
                <w:color w:val="auto"/>
              </w:rPr>
              <w:t>32%</w:t>
            </w:r>
          </w:p>
        </w:tc>
      </w:tr>
      <w:tr>
        <w:trPr>
          <w:trHeight w:val="284"/>
        </w:trPr>
        <w:tc>
          <w:tcPr>
            <w:tcW w:w="6060" w:type="dxa"/>
            <w:vAlign w:val="bottom"/>
          </w:tcPr>
          <w:p>
            <w:pPr>
              <w:ind w:left="180"/>
              <w:spacing w:after="0"/>
              <w:rPr>
                <w:sz w:val="20"/>
                <w:szCs w:val="20"/>
                <w:color w:val="auto"/>
              </w:rPr>
            </w:pPr>
            <w:r>
              <w:rPr>
                <w:rFonts w:ascii="Arial" w:cs="Arial" w:eastAsia="Arial" w:hAnsi="Arial"/>
                <w:sz w:val="16"/>
                <w:szCs w:val="16"/>
                <w:i w:val="1"/>
                <w:iCs w:val="1"/>
                <w:color w:val="auto"/>
              </w:rPr>
              <w:t>Free cash flow margin</w:t>
            </w:r>
          </w:p>
        </w:tc>
        <w:tc>
          <w:tcPr>
            <w:tcW w:w="3460" w:type="dxa"/>
            <w:vAlign w:val="bottom"/>
          </w:tcPr>
          <w:p>
            <w:pPr>
              <w:jc w:val="right"/>
              <w:ind w:right="899"/>
              <w:spacing w:after="0"/>
              <w:rPr>
                <w:sz w:val="20"/>
                <w:szCs w:val="20"/>
                <w:color w:val="auto"/>
              </w:rPr>
            </w:pPr>
            <w:r>
              <w:rPr>
                <w:rFonts w:ascii="Arial" w:cs="Arial" w:eastAsia="Arial" w:hAnsi="Arial"/>
                <w:sz w:val="16"/>
                <w:szCs w:val="16"/>
                <w:i w:val="1"/>
                <w:iCs w:val="1"/>
                <w:color w:val="auto"/>
              </w:rPr>
              <w:t>22%</w:t>
            </w:r>
          </w:p>
        </w:tc>
        <w:tc>
          <w:tcPr>
            <w:tcW w:w="1720" w:type="dxa"/>
            <w:vAlign w:val="bottom"/>
          </w:tcPr>
          <w:p>
            <w:pPr>
              <w:jc w:val="right"/>
              <w:spacing w:after="0"/>
              <w:rPr>
                <w:sz w:val="20"/>
                <w:szCs w:val="20"/>
                <w:color w:val="auto"/>
              </w:rPr>
            </w:pPr>
            <w:r>
              <w:rPr>
                <w:rFonts w:ascii="Arial" w:cs="Arial" w:eastAsia="Arial" w:hAnsi="Arial"/>
                <w:sz w:val="16"/>
                <w:szCs w:val="16"/>
                <w:i w:val="1"/>
                <w:iCs w:val="1"/>
                <w:color w:val="auto"/>
              </w:rPr>
              <w:t>18%</w:t>
            </w:r>
          </w:p>
        </w:tc>
      </w:tr>
    </w:tbl>
    <w:p>
      <w:pPr>
        <w:spacing w:after="0" w:line="124" w:lineRule="exact"/>
        <w:rPr>
          <w:sz w:val="20"/>
          <w:szCs w:val="20"/>
          <w:color w:val="auto"/>
        </w:rPr>
      </w:pPr>
    </w:p>
    <w:p>
      <w:pPr>
        <w:ind w:left="80" w:right="220" w:hanging="73"/>
        <w:spacing w:after="0" w:line="348" w:lineRule="auto"/>
        <w:tabs>
          <w:tab w:leader="none" w:pos="104" w:val="left"/>
        </w:tabs>
        <w:numPr>
          <w:ilvl w:val="0"/>
          <w:numId w:val="2"/>
        </w:numPr>
        <w:rPr>
          <w:rFonts w:ascii="Arial" w:cs="Arial" w:eastAsia="Arial" w:hAnsi="Arial"/>
          <w:sz w:val="11"/>
          <w:szCs w:val="11"/>
          <w:color w:val="6D6D6D"/>
          <w:vertAlign w:val="superscript"/>
        </w:rPr>
      </w:pPr>
      <w:r>
        <w:rPr>
          <w:rFonts w:ascii="Arial" w:cs="Arial" w:eastAsia="Arial" w:hAnsi="Arial"/>
          <w:sz w:val="9"/>
          <w:szCs w:val="9"/>
          <w:color w:val="6D6D6D"/>
        </w:rPr>
        <w:t>See endnotes below for definitions of GMV and MRR and additional information on constant currency, free cash flow, and free cash flow margin, which are non-GAAP financial measures and are reconciled to the comparable GAAP measures in the non-GAAP reconciliations at the end of this press release. Please refer to the Condensed Consolidated Statements of Cash Flows for additional information on the presentation of cash flows in 2026 and 2025.</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6"/>
          <w:szCs w:val="16"/>
          <w:color w:val="6D6D6D"/>
        </w:rPr>
        <w:t>1</w:t>
      </w:r>
    </w:p>
    <w:p>
      <w:pPr>
        <w:sectPr>
          <w:pgSz w:w="11900" w:h="16838" w:orient="portrait"/>
          <w:cols w:equalWidth="0" w:num="1">
            <w:col w:w="11320"/>
          </w:cols>
          <w:pgMar w:left="240" w:top="1440" w:right="339" w:bottom="1440" w:gutter="0" w:footer="0" w:header="0"/>
        </w:sectPr>
      </w:pPr>
    </w:p>
    <w:bookmarkStart w:id="4" w:name="page5"/>
    <w:bookmarkEnd w:id="4"/>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75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2026 Outlook</w:t>
      </w:r>
    </w:p>
    <w:p>
      <w:pPr>
        <w:spacing w:after="0" w:line="185" w:lineRule="exact"/>
        <w:rPr>
          <w:sz w:val="20"/>
          <w:szCs w:val="20"/>
          <w:color w:val="auto"/>
        </w:rPr>
      </w:pPr>
    </w:p>
    <w:p>
      <w:pPr>
        <w:jc w:val="both"/>
        <w:spacing w:after="0" w:line="383" w:lineRule="auto"/>
        <w:rPr>
          <w:sz w:val="20"/>
          <w:szCs w:val="20"/>
          <w:color w:val="auto"/>
        </w:rPr>
      </w:pPr>
      <w:r>
        <w:rPr>
          <w:rFonts w:ascii="Arial" w:cs="Arial" w:eastAsia="Arial" w:hAnsi="Arial"/>
          <w:sz w:val="16"/>
          <w:szCs w:val="16"/>
          <w:color w:val="auto"/>
        </w:rPr>
        <w:t>The outlook that follows supersedes all prior financial outlook statements made by Shopify, constitutes forward-looking information within the meaning of applicable securities laws, is based on a number of assumptions, and is subject to a number of risks. Actual results could vary materially as a result of numerous factors, including certain risk factors, many of which are beyond Shopify’s control. Please see “Forward-looking Statements” at the end of this press release.</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For the fourth quarter of 2026, we expect:</w:t>
      </w:r>
    </w:p>
    <w:p>
      <w:pPr>
        <w:spacing w:after="0" w:line="16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to grow at a low-thirties percentage rate on a year-over-year basis;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profit dollars to grow at a high-twenties percentage rate on a year-over-year basis;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expenses as a percentage of revenue to be 29% to 30%;</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Stock-based compensation to be $155 million; and</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Free cash flow margin to be consistent with the fourth quarter of 2025.</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Quarterly Conference Call</w:t>
      </w:r>
    </w:p>
    <w:p>
      <w:pPr>
        <w:spacing w:after="0" w:line="185" w:lineRule="exact"/>
        <w:rPr>
          <w:sz w:val="20"/>
          <w:szCs w:val="20"/>
          <w:color w:val="auto"/>
        </w:rPr>
      </w:pPr>
    </w:p>
    <w:p>
      <w:pPr>
        <w:jc w:val="both"/>
        <w:spacing w:after="0" w:line="389" w:lineRule="auto"/>
        <w:rPr>
          <w:sz w:val="20"/>
          <w:szCs w:val="20"/>
          <w:color w:val="auto"/>
        </w:rPr>
      </w:pPr>
      <w:r>
        <w:rPr>
          <w:rFonts w:ascii="Arial" w:cs="Arial" w:eastAsia="Arial" w:hAnsi="Arial"/>
          <w:sz w:val="16"/>
          <w:szCs w:val="16"/>
          <w:color w:val="auto"/>
        </w:rPr>
        <w:t xml:space="preserve">Shopify’s management team will hold a conference call to discuss its third-quarter results today, November 3, 2026, at 8:30 a.m. ET. The conference call will be webcast in the Investor Relations section of Shopify’s website at </w:t>
      </w:r>
      <w:r>
        <w:rPr>
          <w:rFonts w:ascii="Arial" w:cs="Arial" w:eastAsia="Arial" w:hAnsi="Arial"/>
          <w:sz w:val="16"/>
          <w:szCs w:val="16"/>
          <w:u w:val="single" w:color="auto"/>
          <w:color w:val="14896B"/>
        </w:rPr>
        <w:t>www.shopify.com/investors/events</w:t>
      </w:r>
      <w:r>
        <w:rPr>
          <w:rFonts w:ascii="Arial" w:cs="Arial" w:eastAsia="Arial" w:hAnsi="Arial"/>
          <w:sz w:val="16"/>
          <w:szCs w:val="16"/>
          <w:color w:val="auto"/>
        </w:rPr>
        <w:t>. An archived replay of the webcast will be available following the conclusion of the call.</w:t>
      </w:r>
    </w:p>
    <w:p>
      <w:pPr>
        <w:spacing w:after="0" w:line="131" w:lineRule="exact"/>
        <w:rPr>
          <w:sz w:val="20"/>
          <w:szCs w:val="20"/>
          <w:color w:val="auto"/>
        </w:rPr>
      </w:pPr>
    </w:p>
    <w:p>
      <w:pPr>
        <w:jc w:val="both"/>
        <w:spacing w:after="0" w:line="380" w:lineRule="auto"/>
        <w:rPr>
          <w:sz w:val="20"/>
          <w:szCs w:val="20"/>
          <w:color w:val="auto"/>
        </w:rPr>
      </w:pPr>
      <w:r>
        <w:rPr>
          <w:rFonts w:ascii="Arial" w:cs="Arial" w:eastAsia="Arial" w:hAnsi="Arial"/>
          <w:sz w:val="16"/>
          <w:szCs w:val="16"/>
          <w:color w:val="auto"/>
        </w:rPr>
        <w:t xml:space="preserve">Shopify’s Form 10-Q for the quarter ended September 30, 2026, including the unaudited Condensed Consolidated Financial Statements and accompanying Notes, and Management's Discussion and Analysis, will be available on Shopify’s website at </w:t>
      </w:r>
      <w:r>
        <w:rPr>
          <w:rFonts w:ascii="Arial" w:cs="Arial" w:eastAsia="Arial" w:hAnsi="Arial"/>
          <w:sz w:val="16"/>
          <w:szCs w:val="16"/>
          <w:u w:val="single" w:color="auto"/>
          <w:color w:val="14896B"/>
        </w:rPr>
        <w:t>www.shopify.com</w:t>
      </w:r>
      <w:r>
        <w:rPr>
          <w:rFonts w:ascii="Arial" w:cs="Arial" w:eastAsia="Arial" w:hAnsi="Arial"/>
          <w:sz w:val="16"/>
          <w:szCs w:val="16"/>
          <w:color w:val="auto"/>
        </w:rPr>
        <w:t xml:space="preserve"> and will be filed on EDGAR at </w:t>
      </w:r>
      <w:r>
        <w:rPr>
          <w:rFonts w:ascii="Arial" w:cs="Arial" w:eastAsia="Arial" w:hAnsi="Arial"/>
          <w:sz w:val="16"/>
          <w:szCs w:val="16"/>
          <w:u w:val="single" w:color="auto"/>
          <w:color w:val="14896B"/>
        </w:rPr>
        <w:t>www.sec.gov</w:t>
      </w:r>
      <w:r>
        <w:rPr>
          <w:rFonts w:ascii="Arial" w:cs="Arial" w:eastAsia="Arial" w:hAnsi="Arial"/>
          <w:sz w:val="16"/>
          <w:szCs w:val="16"/>
          <w:color w:val="auto"/>
        </w:rPr>
        <w:t xml:space="preserve"> and on SEDAR+ at </w:t>
      </w:r>
      <w:r>
        <w:rPr>
          <w:rFonts w:ascii="Arial" w:cs="Arial" w:eastAsia="Arial" w:hAnsi="Arial"/>
          <w:sz w:val="16"/>
          <w:szCs w:val="16"/>
          <w:u w:val="single" w:color="auto"/>
          <w:color w:val="14896B"/>
        </w:rPr>
        <w:t>www.sedarplus.ca</w:t>
      </w:r>
      <w:r>
        <w:rPr>
          <w:rFonts w:ascii="Arial" w:cs="Arial" w:eastAsia="Arial" w:hAnsi="Arial"/>
          <w:sz w:val="16"/>
          <w:szCs w:val="16"/>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Shopify</w:t>
      </w:r>
    </w:p>
    <w:p>
      <w:pPr>
        <w:spacing w:after="0" w:line="185" w:lineRule="exact"/>
        <w:rPr>
          <w:sz w:val="20"/>
          <w:szCs w:val="20"/>
          <w:color w:val="auto"/>
        </w:rPr>
      </w:pPr>
    </w:p>
    <w:p>
      <w:pPr>
        <w:jc w:val="both"/>
        <w:spacing w:after="0" w:line="380" w:lineRule="auto"/>
        <w:rPr>
          <w:sz w:val="20"/>
          <w:szCs w:val="20"/>
          <w:color w:val="auto"/>
        </w:rPr>
      </w:pPr>
      <w:r>
        <w:rPr>
          <w:rFonts w:ascii="Arial" w:cs="Arial" w:eastAsia="Arial" w:hAnsi="Arial"/>
          <w:sz w:val="16"/>
          <w:szCs w:val="16"/>
          <w:color w:val="auto"/>
        </w:rPr>
        <w:t>Shopify provides essential internet infrastructure for commerce. Shopify’s all-in-one platform makes it easier to start, run, and grow a business, powering sales online, in-store, and everywhere in between. Millions of businesses in 175+ countries use Shopify—from entrepreneurs to brands like Aldo, BarkBox, Carrier, Meta, SKIMS, Supreme, and Vuori.</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visit </w:t>
      </w:r>
      <w:r>
        <w:rPr>
          <w:rFonts w:ascii="Arial" w:cs="Arial" w:eastAsia="Arial" w:hAnsi="Arial"/>
          <w:sz w:val="16"/>
          <w:szCs w:val="16"/>
          <w:b w:val="1"/>
          <w:bCs w:val="1"/>
          <w:u w:val="single" w:color="auto"/>
          <w:color w:val="14896B"/>
        </w:rPr>
        <w:t>www.shopify.com</w:t>
      </w:r>
      <w:r>
        <w:rPr>
          <w:rFonts w:ascii="Arial" w:cs="Arial" w:eastAsia="Arial" w:hAnsi="Arial"/>
          <w:sz w:val="16"/>
          <w:szCs w:val="16"/>
          <w:b w:val="1"/>
          <w:bCs w:val="1"/>
          <w:color w:val="auto"/>
        </w:rPr>
        <w:t>.</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40" w:type="dxa"/>
            <w:vAlign w:val="bottom"/>
          </w:tcPr>
          <w:p>
            <w:pPr>
              <w:spacing w:after="0"/>
              <w:rPr>
                <w:sz w:val="20"/>
                <w:szCs w:val="20"/>
                <w:color w:val="auto"/>
              </w:rPr>
            </w:pPr>
            <w:r>
              <w:rPr>
                <w:rFonts w:ascii="Arial" w:cs="Arial" w:eastAsia="Arial" w:hAnsi="Arial"/>
                <w:sz w:val="16"/>
                <w:szCs w:val="16"/>
                <w:b w:val="1"/>
                <w:bCs w:val="1"/>
                <w:color w:val="auto"/>
              </w:rPr>
              <w:t>CONTACT INVESTORS:</w:t>
            </w:r>
          </w:p>
        </w:tc>
        <w:tc>
          <w:tcPr>
            <w:tcW w:w="2820" w:type="dxa"/>
            <w:vAlign w:val="bottom"/>
            <w:gridSpan w:val="2"/>
          </w:tcPr>
          <w:p>
            <w:pPr>
              <w:spacing w:after="0"/>
              <w:rPr>
                <w:sz w:val="20"/>
                <w:szCs w:val="20"/>
                <w:color w:val="auto"/>
              </w:rPr>
            </w:pPr>
            <w:r>
              <w:rPr>
                <w:rFonts w:ascii="Arial" w:cs="Arial" w:eastAsia="Arial" w:hAnsi="Arial"/>
                <w:sz w:val="16"/>
                <w:szCs w:val="16"/>
                <w:color w:val="auto"/>
              </w:rPr>
              <w:t>Shane Kleinstein</w:t>
            </w:r>
          </w:p>
        </w:tc>
        <w:tc>
          <w:tcPr>
            <w:tcW w:w="2880" w:type="dxa"/>
            <w:vAlign w:val="bottom"/>
          </w:tcPr>
          <w:p>
            <w:pPr>
              <w:ind w:left="880"/>
              <w:spacing w:after="0"/>
              <w:rPr>
                <w:sz w:val="20"/>
                <w:szCs w:val="20"/>
                <w:color w:val="auto"/>
              </w:rPr>
            </w:pPr>
            <w:r>
              <w:rPr>
                <w:rFonts w:ascii="Arial" w:cs="Arial" w:eastAsia="Arial" w:hAnsi="Arial"/>
                <w:sz w:val="16"/>
                <w:szCs w:val="16"/>
                <w:b w:val="1"/>
                <w:bCs w:val="1"/>
                <w:color w:val="auto"/>
              </w:rPr>
              <w:t>CONTACT MEDIA:</w:t>
            </w:r>
          </w:p>
        </w:tc>
        <w:tc>
          <w:tcPr>
            <w:tcW w:w="2160" w:type="dxa"/>
            <w:vAlign w:val="bottom"/>
            <w:gridSpan w:val="2"/>
          </w:tcPr>
          <w:p>
            <w:pPr>
              <w:spacing w:after="0"/>
              <w:rPr>
                <w:sz w:val="20"/>
                <w:szCs w:val="20"/>
                <w:color w:val="auto"/>
              </w:rPr>
            </w:pPr>
            <w:r>
              <w:rPr>
                <w:rFonts w:ascii="Arial" w:cs="Arial" w:eastAsia="Arial" w:hAnsi="Arial"/>
                <w:sz w:val="16"/>
                <w:szCs w:val="16"/>
                <w:color w:val="auto"/>
              </w:rPr>
              <w:t>Jackie Warren</w:t>
            </w:r>
          </w:p>
        </w:tc>
      </w:tr>
      <w:tr>
        <w:trPr>
          <w:trHeight w:val="221"/>
        </w:trPr>
        <w:tc>
          <w:tcPr>
            <w:tcW w:w="244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6"/>
                <w:szCs w:val="16"/>
                <w:color w:val="auto"/>
              </w:rPr>
              <w:t>Director, Investor Relations</w:t>
            </w:r>
          </w:p>
        </w:tc>
        <w:tc>
          <w:tcPr>
            <w:tcW w:w="288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6"/>
                <w:szCs w:val="16"/>
                <w:color w:val="auto"/>
                <w:w w:val="99"/>
              </w:rPr>
              <w:t>Senior Lead, Communications</w:t>
            </w:r>
          </w:p>
        </w:tc>
      </w:tr>
      <w:tr>
        <w:trPr>
          <w:trHeight w:val="191"/>
        </w:trPr>
        <w:tc>
          <w:tcPr>
            <w:tcW w:w="244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Arial" w:cs="Arial" w:eastAsia="Arial" w:hAnsi="Arial"/>
                <w:sz w:val="16"/>
                <w:szCs w:val="16"/>
                <w:b w:val="1"/>
                <w:bCs w:val="1"/>
                <w:color w:val="14896B"/>
              </w:rPr>
              <w:t>IR@shopify.com</w:t>
            </w:r>
          </w:p>
        </w:tc>
        <w:tc>
          <w:tcPr>
            <w:tcW w:w="15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Arial" w:cs="Arial" w:eastAsia="Arial" w:hAnsi="Arial"/>
                <w:sz w:val="16"/>
                <w:szCs w:val="16"/>
                <w:b w:val="1"/>
                <w:bCs w:val="1"/>
                <w:color w:val="14896B"/>
              </w:rPr>
              <w:t>press@shopify.com</w:t>
            </w:r>
          </w:p>
        </w:tc>
      </w:tr>
      <w:tr>
        <w:trPr>
          <w:trHeight w:val="20"/>
        </w:trPr>
        <w:tc>
          <w:tcPr>
            <w:tcW w:w="2440" w:type="dxa"/>
            <w:vAlign w:val="bottom"/>
          </w:tcPr>
          <w:p>
            <w:pPr>
              <w:spacing w:after="0" w:line="20" w:lineRule="exact"/>
              <w:rPr>
                <w:sz w:val="1"/>
                <w:szCs w:val="1"/>
                <w:color w:val="auto"/>
              </w:rPr>
            </w:pPr>
          </w:p>
        </w:tc>
        <w:tc>
          <w:tcPr>
            <w:tcW w:w="1280" w:type="dxa"/>
            <w:vAlign w:val="bottom"/>
            <w:shd w:val="clear" w:color="auto" w:fill="14896B"/>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20" w:type="dxa"/>
            <w:vAlign w:val="bottom"/>
            <w:shd w:val="clear" w:color="auto" w:fill="14896B"/>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6"/>
          <w:szCs w:val="16"/>
          <w:color w:val="6D6D6D"/>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68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Shopify Inc. Condensed Consolidated Statements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(In US $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60" w:type="dxa"/>
            <w:vAlign w:val="bottom"/>
          </w:tcPr>
          <w:p>
            <w:pPr>
              <w:spacing w:after="0"/>
              <w:rPr>
                <w:sz w:val="18"/>
                <w:szCs w:val="18"/>
                <w:color w:val="auto"/>
              </w:rPr>
            </w:pPr>
          </w:p>
        </w:tc>
        <w:tc>
          <w:tcPr>
            <w:tcW w:w="4780" w:type="dxa"/>
            <w:vAlign w:val="bottom"/>
            <w:tcBorders>
              <w:bottom w:val="single" w:sz="8" w:color="auto"/>
            </w:tcBorders>
            <w:gridSpan w:val="2"/>
          </w:tcPr>
          <w:p>
            <w:pPr>
              <w:jc w:val="right"/>
              <w:ind w:right="1519"/>
              <w:spacing w:after="0"/>
              <w:rPr>
                <w:sz w:val="20"/>
                <w:szCs w:val="20"/>
                <w:color w:val="auto"/>
              </w:rPr>
            </w:pPr>
            <w:r>
              <w:rPr>
                <w:rFonts w:ascii="Arial" w:cs="Arial" w:eastAsia="Arial" w:hAnsi="Arial"/>
                <w:sz w:val="16"/>
                <w:szCs w:val="16"/>
                <w:b w:val="1"/>
                <w:bCs w:val="1"/>
                <w:color w:val="auto"/>
              </w:rPr>
              <w:t>Three months ended</w:t>
            </w:r>
          </w:p>
        </w:tc>
      </w:tr>
      <w:tr>
        <w:trPr>
          <w:trHeight w:val="223"/>
        </w:trPr>
        <w:tc>
          <w:tcPr>
            <w:tcW w:w="64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September 30, 2026</w:t>
            </w: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2025</w:t>
            </w:r>
          </w:p>
        </w:tc>
      </w:tr>
      <w:tr>
        <w:trPr>
          <w:trHeight w:val="223"/>
        </w:trPr>
        <w:tc>
          <w:tcPr>
            <w:tcW w:w="6460" w:type="dxa"/>
            <w:vAlign w:val="bottom"/>
          </w:tcPr>
          <w:p>
            <w:pPr>
              <w:ind w:left="120"/>
              <w:spacing w:after="0"/>
              <w:rPr>
                <w:sz w:val="20"/>
                <w:szCs w:val="20"/>
                <w:color w:val="auto"/>
              </w:rPr>
            </w:pPr>
            <w:r>
              <w:rPr>
                <w:rFonts w:ascii="Arial" w:cs="Arial" w:eastAsia="Arial" w:hAnsi="Arial"/>
                <w:sz w:val="16"/>
                <w:szCs w:val="16"/>
                <w:b w:val="1"/>
                <w:bCs w:val="1"/>
                <w:color w:val="auto"/>
              </w:rPr>
              <w:t>Revenues</w:t>
            </w:r>
          </w:p>
        </w:tc>
        <w:tc>
          <w:tcPr>
            <w:tcW w:w="26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6460" w:type="dxa"/>
            <w:vAlign w:val="bottom"/>
            <w:shd w:val="clear" w:color="auto" w:fill="F7F7F7"/>
          </w:tcPr>
          <w:p>
            <w:pPr>
              <w:ind w:left="360"/>
              <w:spacing w:after="0"/>
              <w:rPr>
                <w:sz w:val="20"/>
                <w:szCs w:val="20"/>
                <w:color w:val="auto"/>
              </w:rPr>
            </w:pPr>
            <w:r>
              <w:rPr>
                <w:rFonts w:ascii="Arial" w:cs="Arial" w:eastAsia="Arial" w:hAnsi="Arial"/>
                <w:sz w:val="16"/>
                <w:szCs w:val="16"/>
                <w:color w:val="auto"/>
              </w:rPr>
              <w:t>Subscription solutions</w:t>
            </w:r>
          </w:p>
        </w:tc>
        <w:tc>
          <w:tcPr>
            <w:tcW w:w="2660" w:type="dxa"/>
            <w:vAlign w:val="bottom"/>
            <w:shd w:val="clear" w:color="auto" w:fill="F7F7F7"/>
          </w:tcPr>
          <w:p>
            <w:pPr>
              <w:jc w:val="right"/>
              <w:ind w:right="539"/>
              <w:spacing w:after="0"/>
              <w:rPr>
                <w:sz w:val="20"/>
                <w:szCs w:val="20"/>
                <w:color w:val="auto"/>
              </w:rPr>
            </w:pPr>
            <w:r>
              <w:rPr>
                <w:rFonts w:ascii="Arial" w:cs="Arial" w:eastAsia="Arial" w:hAnsi="Arial"/>
                <w:sz w:val="16"/>
                <w:szCs w:val="16"/>
                <w:color w:val="auto"/>
              </w:rPr>
              <w:t>836</w:t>
            </w:r>
          </w:p>
        </w:tc>
        <w:tc>
          <w:tcPr>
            <w:tcW w:w="212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699</w:t>
            </w:r>
          </w:p>
        </w:tc>
      </w:tr>
      <w:tr>
        <w:trPr>
          <w:trHeight w:val="228"/>
        </w:trPr>
        <w:tc>
          <w:tcPr>
            <w:tcW w:w="6460" w:type="dxa"/>
            <w:vAlign w:val="bottom"/>
            <w:tcBorders>
              <w:bottom w:val="single" w:sz="8" w:color="F7F7F7"/>
            </w:tcBorders>
          </w:tcPr>
          <w:p>
            <w:pPr>
              <w:ind w:left="360"/>
              <w:spacing w:after="0"/>
              <w:rPr>
                <w:sz w:val="20"/>
                <w:szCs w:val="20"/>
                <w:color w:val="auto"/>
              </w:rPr>
            </w:pPr>
            <w:r>
              <w:rPr>
                <w:rFonts w:ascii="Arial" w:cs="Arial" w:eastAsia="Arial" w:hAnsi="Arial"/>
                <w:sz w:val="16"/>
                <w:szCs w:val="16"/>
                <w:color w:val="auto"/>
              </w:rPr>
              <w:t>Merchant solutions</w:t>
            </w:r>
          </w:p>
        </w:tc>
        <w:tc>
          <w:tcPr>
            <w:tcW w:w="2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2,906</w:t>
            </w:r>
          </w:p>
        </w:tc>
        <w:tc>
          <w:tcPr>
            <w:tcW w:w="2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2,145</w:t>
            </w:r>
          </w:p>
        </w:tc>
      </w:tr>
      <w:tr>
        <w:trPr>
          <w:trHeight w:val="224"/>
        </w:trPr>
        <w:tc>
          <w:tcPr>
            <w:tcW w:w="6460" w:type="dxa"/>
            <w:vAlign w:val="bottom"/>
            <w:tcBorders>
              <w:bottom w:val="single" w:sz="8" w:color="auto"/>
            </w:tcBorders>
            <w:shd w:val="clear" w:color="auto" w:fill="F7F7F7"/>
          </w:tcPr>
          <w:p>
            <w:pPr>
              <w:spacing w:after="0"/>
              <w:rPr>
                <w:sz w:val="19"/>
                <w:szCs w:val="19"/>
                <w:color w:val="auto"/>
              </w:rPr>
            </w:pPr>
          </w:p>
        </w:tc>
        <w:tc>
          <w:tcPr>
            <w:tcW w:w="2660" w:type="dxa"/>
            <w:vAlign w:val="bottom"/>
            <w:tcBorders>
              <w:bottom w:val="single" w:sz="8" w:color="auto"/>
            </w:tcBorders>
            <w:shd w:val="clear" w:color="auto" w:fill="F7F7F7"/>
          </w:tcPr>
          <w:p>
            <w:pPr>
              <w:jc w:val="right"/>
              <w:ind w:right="539"/>
              <w:spacing w:after="0"/>
              <w:rPr>
                <w:sz w:val="20"/>
                <w:szCs w:val="20"/>
                <w:color w:val="auto"/>
              </w:rPr>
            </w:pPr>
            <w:r>
              <w:rPr>
                <w:rFonts w:ascii="Arial" w:cs="Arial" w:eastAsia="Arial" w:hAnsi="Arial"/>
                <w:sz w:val="16"/>
                <w:szCs w:val="16"/>
                <w:b w:val="1"/>
                <w:bCs w:val="1"/>
                <w:color w:val="auto"/>
              </w:rPr>
              <w:t>3,742</w:t>
            </w:r>
          </w:p>
        </w:tc>
        <w:tc>
          <w:tcPr>
            <w:tcW w:w="2120" w:type="dxa"/>
            <w:vAlign w:val="bottom"/>
            <w:tcBorders>
              <w:bottom w:val="single" w:sz="8" w:color="auto"/>
            </w:tcBorders>
            <w:shd w:val="clear" w:color="auto" w:fill="F7F7F7"/>
          </w:tcPr>
          <w:p>
            <w:pPr>
              <w:jc w:val="right"/>
              <w:ind w:right="159"/>
              <w:spacing w:after="0"/>
              <w:rPr>
                <w:sz w:val="20"/>
                <w:szCs w:val="20"/>
                <w:color w:val="auto"/>
              </w:rPr>
            </w:pPr>
            <w:r>
              <w:rPr>
                <w:rFonts w:ascii="Arial" w:cs="Arial" w:eastAsia="Arial" w:hAnsi="Arial"/>
                <w:sz w:val="16"/>
                <w:szCs w:val="16"/>
                <w:b w:val="1"/>
                <w:bCs w:val="1"/>
                <w:color w:val="auto"/>
              </w:rPr>
              <w:t>2,844</w:t>
            </w:r>
          </w:p>
        </w:tc>
      </w:tr>
      <w:tr>
        <w:trPr>
          <w:trHeight w:val="223"/>
        </w:trPr>
        <w:tc>
          <w:tcPr>
            <w:tcW w:w="6460" w:type="dxa"/>
            <w:vAlign w:val="bottom"/>
          </w:tcPr>
          <w:p>
            <w:pPr>
              <w:ind w:left="120"/>
              <w:spacing w:after="0"/>
              <w:rPr>
                <w:sz w:val="20"/>
                <w:szCs w:val="20"/>
                <w:color w:val="auto"/>
              </w:rPr>
            </w:pPr>
            <w:r>
              <w:rPr>
                <w:rFonts w:ascii="Arial" w:cs="Arial" w:eastAsia="Arial" w:hAnsi="Arial"/>
                <w:sz w:val="16"/>
                <w:szCs w:val="16"/>
                <w:b w:val="1"/>
                <w:bCs w:val="1"/>
                <w:color w:val="auto"/>
              </w:rPr>
              <w:t>Cost of revenues</w:t>
            </w:r>
          </w:p>
        </w:tc>
        <w:tc>
          <w:tcPr>
            <w:tcW w:w="26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9"/>
        </w:trPr>
        <w:tc>
          <w:tcPr>
            <w:tcW w:w="6460" w:type="dxa"/>
            <w:vAlign w:val="bottom"/>
            <w:shd w:val="clear" w:color="auto" w:fill="F7F7F7"/>
          </w:tcPr>
          <w:p>
            <w:pPr>
              <w:ind w:left="360"/>
              <w:spacing w:after="0"/>
              <w:rPr>
                <w:sz w:val="20"/>
                <w:szCs w:val="20"/>
                <w:color w:val="auto"/>
              </w:rPr>
            </w:pPr>
            <w:r>
              <w:rPr>
                <w:rFonts w:ascii="Arial" w:cs="Arial" w:eastAsia="Arial" w:hAnsi="Arial"/>
                <w:sz w:val="16"/>
                <w:szCs w:val="16"/>
                <w:color w:val="auto"/>
              </w:rPr>
              <w:t>Subscription solutions</w:t>
            </w:r>
          </w:p>
        </w:tc>
        <w:tc>
          <w:tcPr>
            <w:tcW w:w="2660" w:type="dxa"/>
            <w:vAlign w:val="bottom"/>
            <w:shd w:val="clear" w:color="auto" w:fill="F7F7F7"/>
          </w:tcPr>
          <w:p>
            <w:pPr>
              <w:jc w:val="right"/>
              <w:ind w:right="539"/>
              <w:spacing w:after="0"/>
              <w:rPr>
                <w:sz w:val="20"/>
                <w:szCs w:val="20"/>
                <w:color w:val="auto"/>
              </w:rPr>
            </w:pPr>
            <w:r>
              <w:rPr>
                <w:rFonts w:ascii="Arial" w:cs="Arial" w:eastAsia="Arial" w:hAnsi="Arial"/>
                <w:sz w:val="16"/>
                <w:szCs w:val="16"/>
                <w:color w:val="auto"/>
              </w:rPr>
              <w:t>175</w:t>
            </w:r>
          </w:p>
        </w:tc>
        <w:tc>
          <w:tcPr>
            <w:tcW w:w="212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128</w:t>
            </w:r>
          </w:p>
        </w:tc>
      </w:tr>
      <w:tr>
        <w:trPr>
          <w:trHeight w:val="228"/>
        </w:trPr>
        <w:tc>
          <w:tcPr>
            <w:tcW w:w="6460" w:type="dxa"/>
            <w:vAlign w:val="bottom"/>
            <w:tcBorders>
              <w:bottom w:val="single" w:sz="8" w:color="F7F7F7"/>
            </w:tcBorders>
          </w:tcPr>
          <w:p>
            <w:pPr>
              <w:ind w:left="360"/>
              <w:spacing w:after="0"/>
              <w:rPr>
                <w:sz w:val="20"/>
                <w:szCs w:val="20"/>
                <w:color w:val="auto"/>
              </w:rPr>
            </w:pPr>
            <w:r>
              <w:rPr>
                <w:rFonts w:ascii="Arial" w:cs="Arial" w:eastAsia="Arial" w:hAnsi="Arial"/>
                <w:sz w:val="16"/>
                <w:szCs w:val="16"/>
                <w:color w:val="auto"/>
              </w:rPr>
              <w:t>Merchant solutions</w:t>
            </w:r>
          </w:p>
        </w:tc>
        <w:tc>
          <w:tcPr>
            <w:tcW w:w="2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1,786</w:t>
            </w:r>
          </w:p>
        </w:tc>
        <w:tc>
          <w:tcPr>
            <w:tcW w:w="2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1,325</w:t>
            </w:r>
          </w:p>
        </w:tc>
      </w:tr>
      <w:tr>
        <w:trPr>
          <w:trHeight w:val="223"/>
        </w:trPr>
        <w:tc>
          <w:tcPr>
            <w:tcW w:w="6460" w:type="dxa"/>
            <w:vAlign w:val="bottom"/>
            <w:tcBorders>
              <w:bottom w:val="single" w:sz="8" w:color="auto"/>
            </w:tcBorders>
            <w:shd w:val="clear" w:color="auto" w:fill="F7F7F7"/>
          </w:tcPr>
          <w:p>
            <w:pPr>
              <w:spacing w:after="0"/>
              <w:rPr>
                <w:sz w:val="19"/>
                <w:szCs w:val="19"/>
                <w:color w:val="auto"/>
              </w:rPr>
            </w:pPr>
          </w:p>
        </w:tc>
        <w:tc>
          <w:tcPr>
            <w:tcW w:w="2660" w:type="dxa"/>
            <w:vAlign w:val="bottom"/>
            <w:tcBorders>
              <w:bottom w:val="single" w:sz="8" w:color="auto"/>
            </w:tcBorders>
            <w:shd w:val="clear" w:color="auto" w:fill="F7F7F7"/>
          </w:tcPr>
          <w:p>
            <w:pPr>
              <w:jc w:val="right"/>
              <w:ind w:right="539"/>
              <w:spacing w:after="0"/>
              <w:rPr>
                <w:sz w:val="20"/>
                <w:szCs w:val="20"/>
                <w:color w:val="auto"/>
              </w:rPr>
            </w:pPr>
            <w:r>
              <w:rPr>
                <w:rFonts w:ascii="Arial" w:cs="Arial" w:eastAsia="Arial" w:hAnsi="Arial"/>
                <w:sz w:val="16"/>
                <w:szCs w:val="16"/>
                <w:color w:val="auto"/>
              </w:rPr>
              <w:t>1,961</w:t>
            </w:r>
          </w:p>
        </w:tc>
        <w:tc>
          <w:tcPr>
            <w:tcW w:w="2120" w:type="dxa"/>
            <w:vAlign w:val="bottom"/>
            <w:tcBorders>
              <w:bottom w:val="single" w:sz="8" w:color="auto"/>
            </w:tcBorders>
            <w:shd w:val="clear" w:color="auto" w:fill="F7F7F7"/>
          </w:tcPr>
          <w:p>
            <w:pPr>
              <w:jc w:val="right"/>
              <w:ind w:right="159"/>
              <w:spacing w:after="0"/>
              <w:rPr>
                <w:sz w:val="20"/>
                <w:szCs w:val="20"/>
                <w:color w:val="auto"/>
              </w:rPr>
            </w:pPr>
            <w:r>
              <w:rPr>
                <w:rFonts w:ascii="Arial" w:cs="Arial" w:eastAsia="Arial" w:hAnsi="Arial"/>
                <w:sz w:val="16"/>
                <w:szCs w:val="16"/>
                <w:color w:val="auto"/>
              </w:rPr>
              <w:t>1,453</w:t>
            </w:r>
          </w:p>
        </w:tc>
      </w:tr>
      <w:tr>
        <w:trPr>
          <w:trHeight w:val="224"/>
        </w:trPr>
        <w:tc>
          <w:tcPr>
            <w:tcW w:w="64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Gross profit</w:t>
            </w:r>
          </w:p>
        </w:tc>
        <w:tc>
          <w:tcPr>
            <w:tcW w:w="2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1,781</w:t>
            </w:r>
          </w:p>
        </w:tc>
        <w:tc>
          <w:tcPr>
            <w:tcW w:w="2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1,391</w:t>
            </w:r>
          </w:p>
        </w:tc>
      </w:tr>
      <w:tr>
        <w:trPr>
          <w:trHeight w:val="223"/>
        </w:trPr>
        <w:tc>
          <w:tcPr>
            <w:tcW w:w="646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Operating expenses</w:t>
            </w:r>
          </w:p>
        </w:tc>
        <w:tc>
          <w:tcPr>
            <w:tcW w:w="2660" w:type="dxa"/>
            <w:vAlign w:val="bottom"/>
            <w:shd w:val="clear" w:color="auto" w:fill="F7F7F7"/>
          </w:tcPr>
          <w:p>
            <w:pPr>
              <w:spacing w:after="0"/>
              <w:rPr>
                <w:sz w:val="19"/>
                <w:szCs w:val="19"/>
                <w:color w:val="auto"/>
              </w:rPr>
            </w:pPr>
          </w:p>
        </w:tc>
        <w:tc>
          <w:tcPr>
            <w:tcW w:w="2120" w:type="dxa"/>
            <w:vAlign w:val="bottom"/>
            <w:shd w:val="clear" w:color="auto" w:fill="F7F7F7"/>
          </w:tcPr>
          <w:p>
            <w:pPr>
              <w:spacing w:after="0"/>
              <w:rPr>
                <w:sz w:val="19"/>
                <w:szCs w:val="19"/>
                <w:color w:val="auto"/>
              </w:rPr>
            </w:pPr>
          </w:p>
        </w:tc>
      </w:tr>
      <w:tr>
        <w:trPr>
          <w:trHeight w:val="228"/>
        </w:trPr>
        <w:tc>
          <w:tcPr>
            <w:tcW w:w="6460" w:type="dxa"/>
            <w:vAlign w:val="bottom"/>
          </w:tcPr>
          <w:p>
            <w:pPr>
              <w:ind w:left="360"/>
              <w:spacing w:after="0"/>
              <w:rPr>
                <w:sz w:val="20"/>
                <w:szCs w:val="20"/>
                <w:color w:val="auto"/>
              </w:rPr>
            </w:pPr>
            <w:r>
              <w:rPr>
                <w:rFonts w:ascii="Arial" w:cs="Arial" w:eastAsia="Arial" w:hAnsi="Arial"/>
                <w:sz w:val="16"/>
                <w:szCs w:val="16"/>
                <w:color w:val="auto"/>
              </w:rPr>
              <w:t>Sales and marketing</w:t>
            </w:r>
          </w:p>
        </w:tc>
        <w:tc>
          <w:tcPr>
            <w:tcW w:w="2660" w:type="dxa"/>
            <w:vAlign w:val="bottom"/>
          </w:tcPr>
          <w:p>
            <w:pPr>
              <w:jc w:val="right"/>
              <w:ind w:right="539"/>
              <w:spacing w:after="0"/>
              <w:rPr>
                <w:sz w:val="20"/>
                <w:szCs w:val="20"/>
                <w:color w:val="auto"/>
              </w:rPr>
            </w:pPr>
            <w:r>
              <w:rPr>
                <w:rFonts w:ascii="Arial" w:cs="Arial" w:eastAsia="Arial" w:hAnsi="Arial"/>
                <w:sz w:val="16"/>
                <w:szCs w:val="16"/>
                <w:color w:val="auto"/>
              </w:rPr>
              <w:t>466</w:t>
            </w:r>
          </w:p>
        </w:tc>
        <w:tc>
          <w:tcPr>
            <w:tcW w:w="2120" w:type="dxa"/>
            <w:vAlign w:val="bottom"/>
          </w:tcPr>
          <w:p>
            <w:pPr>
              <w:jc w:val="right"/>
              <w:ind w:right="159"/>
              <w:spacing w:after="0"/>
              <w:rPr>
                <w:sz w:val="20"/>
                <w:szCs w:val="20"/>
                <w:color w:val="auto"/>
              </w:rPr>
            </w:pPr>
            <w:r>
              <w:rPr>
                <w:rFonts w:ascii="Arial" w:cs="Arial" w:eastAsia="Arial" w:hAnsi="Arial"/>
                <w:sz w:val="16"/>
                <w:szCs w:val="16"/>
                <w:color w:val="auto"/>
              </w:rPr>
              <w:t>410</w:t>
            </w:r>
          </w:p>
        </w:tc>
      </w:tr>
      <w:tr>
        <w:trPr>
          <w:trHeight w:val="230"/>
        </w:trPr>
        <w:tc>
          <w:tcPr>
            <w:tcW w:w="6460" w:type="dxa"/>
            <w:vAlign w:val="bottom"/>
            <w:shd w:val="clear" w:color="auto" w:fill="F7F7F7"/>
          </w:tcPr>
          <w:p>
            <w:pPr>
              <w:ind w:left="360"/>
              <w:spacing w:after="0"/>
              <w:rPr>
                <w:sz w:val="20"/>
                <w:szCs w:val="20"/>
                <w:color w:val="auto"/>
              </w:rPr>
            </w:pPr>
            <w:r>
              <w:rPr>
                <w:rFonts w:ascii="Arial" w:cs="Arial" w:eastAsia="Arial" w:hAnsi="Arial"/>
                <w:sz w:val="16"/>
                <w:szCs w:val="16"/>
                <w:color w:val="auto"/>
              </w:rPr>
              <w:t>Research and development</w:t>
            </w:r>
          </w:p>
        </w:tc>
        <w:tc>
          <w:tcPr>
            <w:tcW w:w="2660" w:type="dxa"/>
            <w:vAlign w:val="bottom"/>
            <w:shd w:val="clear" w:color="auto" w:fill="F7F7F7"/>
          </w:tcPr>
          <w:p>
            <w:pPr>
              <w:jc w:val="right"/>
              <w:ind w:right="539"/>
              <w:spacing w:after="0"/>
              <w:rPr>
                <w:sz w:val="20"/>
                <w:szCs w:val="20"/>
                <w:color w:val="auto"/>
              </w:rPr>
            </w:pPr>
            <w:r>
              <w:rPr>
                <w:rFonts w:ascii="Arial" w:cs="Arial" w:eastAsia="Arial" w:hAnsi="Arial"/>
                <w:sz w:val="16"/>
                <w:szCs w:val="16"/>
                <w:color w:val="auto"/>
              </w:rPr>
              <w:t>497</w:t>
            </w:r>
          </w:p>
        </w:tc>
        <w:tc>
          <w:tcPr>
            <w:tcW w:w="212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375</w:t>
            </w:r>
          </w:p>
        </w:tc>
      </w:tr>
      <w:tr>
        <w:trPr>
          <w:trHeight w:val="228"/>
        </w:trPr>
        <w:tc>
          <w:tcPr>
            <w:tcW w:w="646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660" w:type="dxa"/>
            <w:vAlign w:val="bottom"/>
          </w:tcPr>
          <w:p>
            <w:pPr>
              <w:jc w:val="right"/>
              <w:ind w:right="539"/>
              <w:spacing w:after="0"/>
              <w:rPr>
                <w:sz w:val="20"/>
                <w:szCs w:val="20"/>
                <w:color w:val="auto"/>
              </w:rPr>
            </w:pPr>
            <w:r>
              <w:rPr>
                <w:rFonts w:ascii="Arial" w:cs="Arial" w:eastAsia="Arial" w:hAnsi="Arial"/>
                <w:sz w:val="16"/>
                <w:szCs w:val="16"/>
                <w:color w:val="auto"/>
              </w:rPr>
              <w:t>130</w:t>
            </w:r>
          </w:p>
        </w:tc>
        <w:tc>
          <w:tcPr>
            <w:tcW w:w="2120" w:type="dxa"/>
            <w:vAlign w:val="bottom"/>
          </w:tcPr>
          <w:p>
            <w:pPr>
              <w:jc w:val="right"/>
              <w:ind w:right="159"/>
              <w:spacing w:after="0"/>
              <w:rPr>
                <w:sz w:val="20"/>
                <w:szCs w:val="20"/>
                <w:color w:val="auto"/>
              </w:rPr>
            </w:pPr>
            <w:r>
              <w:rPr>
                <w:rFonts w:ascii="Arial" w:cs="Arial" w:eastAsia="Arial" w:hAnsi="Arial"/>
                <w:sz w:val="16"/>
                <w:szCs w:val="16"/>
                <w:color w:val="auto"/>
              </w:rPr>
              <w:t>115</w:t>
            </w:r>
          </w:p>
        </w:tc>
      </w:tr>
      <w:tr>
        <w:trPr>
          <w:trHeight w:val="231"/>
        </w:trPr>
        <w:tc>
          <w:tcPr>
            <w:tcW w:w="6460" w:type="dxa"/>
            <w:vAlign w:val="bottom"/>
            <w:shd w:val="clear" w:color="auto" w:fill="F7F7F7"/>
          </w:tcPr>
          <w:p>
            <w:pPr>
              <w:ind w:left="360"/>
              <w:spacing w:after="0"/>
              <w:rPr>
                <w:sz w:val="20"/>
                <w:szCs w:val="20"/>
                <w:color w:val="auto"/>
              </w:rPr>
            </w:pPr>
            <w:r>
              <w:rPr>
                <w:rFonts w:ascii="Arial" w:cs="Arial" w:eastAsia="Arial" w:hAnsi="Arial"/>
                <w:sz w:val="16"/>
                <w:szCs w:val="16"/>
                <w:color w:val="auto"/>
              </w:rPr>
              <w:t>Transaction and loan losses</w:t>
            </w:r>
          </w:p>
        </w:tc>
        <w:tc>
          <w:tcPr>
            <w:tcW w:w="2660" w:type="dxa"/>
            <w:vAlign w:val="bottom"/>
            <w:tcBorders>
              <w:bottom w:val="single" w:sz="8" w:color="auto"/>
            </w:tcBorders>
            <w:shd w:val="clear" w:color="auto" w:fill="F7F7F7"/>
          </w:tcPr>
          <w:p>
            <w:pPr>
              <w:jc w:val="right"/>
              <w:ind w:right="539"/>
              <w:spacing w:after="0"/>
              <w:rPr>
                <w:sz w:val="20"/>
                <w:szCs w:val="20"/>
                <w:color w:val="auto"/>
              </w:rPr>
            </w:pPr>
            <w:r>
              <w:rPr>
                <w:rFonts w:ascii="Arial" w:cs="Arial" w:eastAsia="Arial" w:hAnsi="Arial"/>
                <w:sz w:val="16"/>
                <w:szCs w:val="16"/>
                <w:color w:val="auto"/>
              </w:rPr>
              <w:t>120</w:t>
            </w:r>
          </w:p>
        </w:tc>
        <w:tc>
          <w:tcPr>
            <w:tcW w:w="2120" w:type="dxa"/>
            <w:vAlign w:val="bottom"/>
            <w:tcBorders>
              <w:bottom w:val="single" w:sz="8" w:color="auto"/>
            </w:tcBorders>
            <w:shd w:val="clear" w:color="auto" w:fill="F7F7F7"/>
          </w:tcPr>
          <w:p>
            <w:pPr>
              <w:jc w:val="right"/>
              <w:ind w:right="159"/>
              <w:spacing w:after="0"/>
              <w:rPr>
                <w:sz w:val="20"/>
                <w:szCs w:val="20"/>
                <w:color w:val="auto"/>
              </w:rPr>
            </w:pPr>
            <w:r>
              <w:rPr>
                <w:rFonts w:ascii="Arial" w:cs="Arial" w:eastAsia="Arial" w:hAnsi="Arial"/>
                <w:sz w:val="16"/>
                <w:szCs w:val="16"/>
                <w:color w:val="auto"/>
              </w:rPr>
              <w:t>148</w:t>
            </w:r>
          </w:p>
        </w:tc>
      </w:tr>
      <w:tr>
        <w:trPr>
          <w:trHeight w:val="222"/>
        </w:trPr>
        <w:tc>
          <w:tcPr>
            <w:tcW w:w="6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Total operating expenses</w:t>
            </w:r>
          </w:p>
        </w:tc>
        <w:tc>
          <w:tcPr>
            <w:tcW w:w="2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1,213</w:t>
            </w:r>
          </w:p>
        </w:tc>
        <w:tc>
          <w:tcPr>
            <w:tcW w:w="2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1,048</w:t>
            </w:r>
          </w:p>
        </w:tc>
      </w:tr>
      <w:tr>
        <w:trPr>
          <w:trHeight w:val="224"/>
        </w:trPr>
        <w:tc>
          <w:tcPr>
            <w:tcW w:w="646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Operating income</w:t>
            </w:r>
          </w:p>
        </w:tc>
        <w:tc>
          <w:tcPr>
            <w:tcW w:w="2660" w:type="dxa"/>
            <w:vAlign w:val="bottom"/>
            <w:shd w:val="clear" w:color="auto" w:fill="F7F7F7"/>
          </w:tcPr>
          <w:p>
            <w:pPr>
              <w:jc w:val="right"/>
              <w:ind w:right="539"/>
              <w:spacing w:after="0"/>
              <w:rPr>
                <w:sz w:val="20"/>
                <w:szCs w:val="20"/>
                <w:color w:val="auto"/>
              </w:rPr>
            </w:pPr>
            <w:r>
              <w:rPr>
                <w:rFonts w:ascii="Arial" w:cs="Arial" w:eastAsia="Arial" w:hAnsi="Arial"/>
                <w:sz w:val="16"/>
                <w:szCs w:val="16"/>
                <w:b w:val="1"/>
                <w:bCs w:val="1"/>
                <w:color w:val="auto"/>
              </w:rPr>
              <w:t>568</w:t>
            </w:r>
          </w:p>
        </w:tc>
        <w:tc>
          <w:tcPr>
            <w:tcW w:w="2120" w:type="dxa"/>
            <w:vAlign w:val="bottom"/>
            <w:shd w:val="clear" w:color="auto" w:fill="F7F7F7"/>
          </w:tcPr>
          <w:p>
            <w:pPr>
              <w:jc w:val="right"/>
              <w:ind w:right="159"/>
              <w:spacing w:after="0"/>
              <w:rPr>
                <w:sz w:val="20"/>
                <w:szCs w:val="20"/>
                <w:color w:val="auto"/>
              </w:rPr>
            </w:pPr>
            <w:r>
              <w:rPr>
                <w:rFonts w:ascii="Arial" w:cs="Arial" w:eastAsia="Arial" w:hAnsi="Arial"/>
                <w:sz w:val="16"/>
                <w:szCs w:val="16"/>
                <w:b w:val="1"/>
                <w:bCs w:val="1"/>
                <w:color w:val="auto"/>
              </w:rPr>
              <w:t>343</w:t>
            </w:r>
          </w:p>
        </w:tc>
      </w:tr>
      <w:tr>
        <w:trPr>
          <w:trHeight w:val="230"/>
        </w:trPr>
        <w:tc>
          <w:tcPr>
            <w:tcW w:w="6460" w:type="dxa"/>
            <w:vAlign w:val="bottom"/>
            <w:tcBorders>
              <w:bottom w:val="single" w:sz="8" w:color="auto"/>
            </w:tcBorders>
          </w:tcPr>
          <w:p>
            <w:pPr>
              <w:ind w:left="360"/>
              <w:spacing w:after="0" w:line="230" w:lineRule="exact"/>
              <w:rPr>
                <w:sz w:val="20"/>
                <w:szCs w:val="20"/>
                <w:color w:val="auto"/>
              </w:rPr>
            </w:pPr>
            <w:r>
              <w:rPr>
                <w:rFonts w:ascii="Arial" w:cs="Arial" w:eastAsia="Arial" w:hAnsi="Arial"/>
                <w:sz w:val="16"/>
                <w:szCs w:val="16"/>
                <w:color w:val="auto"/>
              </w:rPr>
              <w:t>Net other expense, including taxes</w:t>
            </w:r>
            <w:r>
              <w:rPr>
                <w:rFonts w:ascii="Arial" w:cs="Arial" w:eastAsia="Arial" w:hAnsi="Arial"/>
                <w:sz w:val="21"/>
                <w:szCs w:val="21"/>
                <w:color w:val="auto"/>
                <w:vertAlign w:val="superscript"/>
              </w:rPr>
              <w:t>(2)</w:t>
            </w:r>
          </w:p>
        </w:tc>
        <w:tc>
          <w:tcPr>
            <w:tcW w:w="2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(106)</w:t>
            </w:r>
          </w:p>
        </w:tc>
        <w:tc>
          <w:tcPr>
            <w:tcW w:w="2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(79)</w:t>
            </w:r>
          </w:p>
        </w:tc>
      </w:tr>
      <w:tr>
        <w:trPr>
          <w:trHeight w:val="223"/>
        </w:trPr>
        <w:tc>
          <w:tcPr>
            <w:tcW w:w="646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Net Income</w:t>
            </w:r>
          </w:p>
        </w:tc>
        <w:tc>
          <w:tcPr>
            <w:tcW w:w="2660" w:type="dxa"/>
            <w:vAlign w:val="bottom"/>
            <w:shd w:val="clear" w:color="auto" w:fill="F7F7F7"/>
          </w:tcPr>
          <w:p>
            <w:pPr>
              <w:jc w:val="right"/>
              <w:ind w:right="539"/>
              <w:spacing w:after="0"/>
              <w:rPr>
                <w:sz w:val="20"/>
                <w:szCs w:val="20"/>
                <w:color w:val="auto"/>
              </w:rPr>
            </w:pPr>
            <w:r>
              <w:rPr>
                <w:rFonts w:ascii="Arial" w:cs="Arial" w:eastAsia="Arial" w:hAnsi="Arial"/>
                <w:sz w:val="16"/>
                <w:szCs w:val="16"/>
                <w:b w:val="1"/>
                <w:bCs w:val="1"/>
                <w:color w:val="auto"/>
              </w:rPr>
              <w:t>462</w:t>
            </w:r>
          </w:p>
        </w:tc>
        <w:tc>
          <w:tcPr>
            <w:tcW w:w="2120" w:type="dxa"/>
            <w:vAlign w:val="bottom"/>
            <w:shd w:val="clear" w:color="auto" w:fill="F7F7F7"/>
          </w:tcPr>
          <w:p>
            <w:pPr>
              <w:jc w:val="right"/>
              <w:ind w:right="159"/>
              <w:spacing w:after="0"/>
              <w:rPr>
                <w:sz w:val="20"/>
                <w:szCs w:val="20"/>
                <w:color w:val="auto"/>
              </w:rPr>
            </w:pPr>
            <w:r>
              <w:rPr>
                <w:rFonts w:ascii="Arial" w:cs="Arial" w:eastAsia="Arial" w:hAnsi="Arial"/>
                <w:sz w:val="16"/>
                <w:szCs w:val="16"/>
                <w:b w:val="1"/>
                <w:bCs w:val="1"/>
                <w:color w:val="auto"/>
              </w:rPr>
              <w:t>264</w:t>
            </w:r>
          </w:p>
        </w:tc>
      </w:tr>
      <w:tr>
        <w:trPr>
          <w:trHeight w:val="229"/>
        </w:trPr>
        <w:tc>
          <w:tcPr>
            <w:tcW w:w="64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less: equity investments, marked to market, net of taxes</w:t>
            </w:r>
          </w:p>
        </w:tc>
        <w:tc>
          <w:tcPr>
            <w:tcW w:w="2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(122)</w:t>
            </w:r>
          </w:p>
        </w:tc>
        <w:tc>
          <w:tcPr>
            <w:tcW w:w="2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(103)</w:t>
            </w:r>
          </w:p>
        </w:tc>
      </w:tr>
      <w:tr>
        <w:trPr>
          <w:trHeight w:val="224"/>
        </w:trPr>
        <w:tc>
          <w:tcPr>
            <w:tcW w:w="6460" w:type="dxa"/>
            <w:vAlign w:val="bottom"/>
            <w:shd w:val="clear" w:color="auto" w:fill="F7F7F7"/>
          </w:tcPr>
          <w:p>
            <w:pPr>
              <w:ind w:left="120"/>
              <w:spacing w:after="0" w:line="224" w:lineRule="exact"/>
              <w:rPr>
                <w:sz w:val="20"/>
                <w:szCs w:val="20"/>
                <w:color w:val="auto"/>
              </w:rPr>
            </w:pPr>
            <w:r>
              <w:rPr>
                <w:rFonts w:ascii="Arial" w:cs="Arial" w:eastAsia="Arial" w:hAnsi="Arial"/>
                <w:sz w:val="16"/>
                <w:szCs w:val="16"/>
                <w:b w:val="1"/>
                <w:bCs w:val="1"/>
                <w:color w:val="auto"/>
              </w:rPr>
              <w:t>Net income excluding the impact of equity investments</w:t>
            </w:r>
            <w:r>
              <w:rPr>
                <w:rFonts w:ascii="Arial" w:cs="Arial" w:eastAsia="Arial" w:hAnsi="Arial"/>
                <w:sz w:val="21"/>
                <w:szCs w:val="21"/>
                <w:b w:val="1"/>
                <w:bCs w:val="1"/>
                <w:color w:val="auto"/>
                <w:vertAlign w:val="superscript"/>
              </w:rPr>
              <w:t>(3)</w:t>
            </w:r>
          </w:p>
        </w:tc>
        <w:tc>
          <w:tcPr>
            <w:tcW w:w="2660" w:type="dxa"/>
            <w:vAlign w:val="bottom"/>
            <w:shd w:val="clear" w:color="auto" w:fill="F7F7F7"/>
          </w:tcPr>
          <w:p>
            <w:pPr>
              <w:jc w:val="right"/>
              <w:ind w:right="539"/>
              <w:spacing w:after="0"/>
              <w:rPr>
                <w:sz w:val="20"/>
                <w:szCs w:val="20"/>
                <w:color w:val="auto"/>
              </w:rPr>
            </w:pPr>
            <w:r>
              <w:rPr>
                <w:rFonts w:ascii="Arial" w:cs="Arial" w:eastAsia="Arial" w:hAnsi="Arial"/>
                <w:sz w:val="16"/>
                <w:szCs w:val="16"/>
                <w:b w:val="1"/>
                <w:bCs w:val="1"/>
                <w:color w:val="auto"/>
              </w:rPr>
              <w:t>584</w:t>
            </w:r>
          </w:p>
        </w:tc>
        <w:tc>
          <w:tcPr>
            <w:tcW w:w="2120" w:type="dxa"/>
            <w:vAlign w:val="bottom"/>
            <w:shd w:val="clear" w:color="auto" w:fill="F7F7F7"/>
          </w:tcPr>
          <w:p>
            <w:pPr>
              <w:jc w:val="right"/>
              <w:ind w:right="159"/>
              <w:spacing w:after="0"/>
              <w:rPr>
                <w:sz w:val="20"/>
                <w:szCs w:val="20"/>
                <w:color w:val="auto"/>
              </w:rPr>
            </w:pPr>
            <w:r>
              <w:rPr>
                <w:rFonts w:ascii="Arial" w:cs="Arial" w:eastAsia="Arial" w:hAnsi="Arial"/>
                <w:sz w:val="16"/>
                <w:szCs w:val="16"/>
                <w:b w:val="1"/>
                <w:bCs w:val="1"/>
                <w:color w:val="auto"/>
              </w:rPr>
              <w:t>367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right="360" w:firstLine="6"/>
        <w:spacing w:after="0"/>
        <w:tabs>
          <w:tab w:leader="none" w:pos="125" w:val="left"/>
        </w:tabs>
        <w:numPr>
          <w:ilvl w:val="0"/>
          <w:numId w:val="4"/>
        </w:numPr>
        <w:rPr>
          <w:rFonts w:ascii="Arial" w:cs="Arial" w:eastAsia="Arial" w:hAnsi="Arial"/>
          <w:sz w:val="12"/>
          <w:szCs w:val="12"/>
          <w:color w:val="6D6D6D"/>
          <w:vertAlign w:val="superscript"/>
        </w:rPr>
      </w:pPr>
      <w:r>
        <w:rPr>
          <w:rFonts w:ascii="Arial" w:cs="Arial" w:eastAsia="Arial" w:hAnsi="Arial"/>
          <w:sz w:val="9"/>
          <w:szCs w:val="9"/>
          <w:i w:val="1"/>
          <w:iCs w:val="1"/>
          <w:color w:val="6D6D6D"/>
        </w:rPr>
        <w:t xml:space="preserve">Net other expense, including taxes </w:t>
      </w:r>
      <w:r>
        <w:rPr>
          <w:rFonts w:ascii="Arial" w:cs="Arial" w:eastAsia="Arial" w:hAnsi="Arial"/>
          <w:sz w:val="9"/>
          <w:szCs w:val="9"/>
          <w:color w:val="6D6D6D"/>
        </w:rPr>
        <w:t>includes interest income, gains and losses on equity and other investments, loss on embedded derivative related to convertible note, foreign exchange gains and losses, and our provision for</w:t>
      </w:r>
      <w:r>
        <w:rPr>
          <w:rFonts w:ascii="Arial" w:cs="Arial" w:eastAsia="Arial" w:hAnsi="Arial"/>
          <w:sz w:val="9"/>
          <w:szCs w:val="9"/>
          <w:i w:val="1"/>
          <w:iCs w:val="1"/>
          <w:color w:val="6D6D6D"/>
        </w:rPr>
        <w:t xml:space="preserve"> </w:t>
      </w:r>
      <w:r>
        <w:rPr>
          <w:rFonts w:ascii="Arial" w:cs="Arial" w:eastAsia="Arial" w:hAnsi="Arial"/>
          <w:sz w:val="9"/>
          <w:szCs w:val="9"/>
          <w:color w:val="6D6D6D"/>
        </w:rPr>
        <w:t>income taxes.</w:t>
      </w:r>
    </w:p>
    <w:p>
      <w:pPr>
        <w:spacing w:after="0" w:line="186" w:lineRule="exact"/>
        <w:rPr>
          <w:rFonts w:ascii="Arial" w:cs="Arial" w:eastAsia="Arial" w:hAnsi="Arial"/>
          <w:sz w:val="12"/>
          <w:szCs w:val="12"/>
          <w:color w:val="6D6D6D"/>
          <w:vertAlign w:val="superscript"/>
        </w:rPr>
      </w:pPr>
    </w:p>
    <w:p>
      <w:pPr>
        <w:ind w:left="20" w:right="60" w:firstLine="6"/>
        <w:spacing w:after="0" w:line="257" w:lineRule="auto"/>
        <w:tabs>
          <w:tab w:leader="none" w:pos="125" w:val="left"/>
        </w:tabs>
        <w:numPr>
          <w:ilvl w:val="0"/>
          <w:numId w:val="4"/>
        </w:numPr>
        <w:rPr>
          <w:rFonts w:ascii="Arial" w:cs="Arial" w:eastAsia="Arial" w:hAnsi="Arial"/>
          <w:sz w:val="7"/>
          <w:szCs w:val="7"/>
          <w:color w:val="6D6D6D"/>
        </w:rPr>
      </w:pPr>
      <w:r>
        <w:rPr>
          <w:rFonts w:ascii="Arial" w:cs="Arial" w:eastAsia="Arial" w:hAnsi="Arial"/>
          <w:sz w:val="11"/>
          <w:szCs w:val="11"/>
          <w:i w:val="1"/>
          <w:iCs w:val="1"/>
          <w:color w:val="6D6D6D"/>
        </w:rPr>
        <w:t xml:space="preserve">Net income excluding the impact of equity investments </w:t>
      </w:r>
      <w:r>
        <w:rPr>
          <w:rFonts w:ascii="Arial" w:cs="Arial" w:eastAsia="Arial" w:hAnsi="Arial"/>
          <w:sz w:val="11"/>
          <w:szCs w:val="11"/>
          <w:color w:val="6D6D6D"/>
        </w:rPr>
        <w:t>is a non-GAAP financial measure which is reconciled at the end of this press release. This measure excludes the impact of any gains or losses on our equity investments in third</w:t>
      </w:r>
      <w:r>
        <w:rPr>
          <w:rFonts w:ascii="Arial" w:cs="Arial" w:eastAsia="Arial" w:hAnsi="Arial"/>
          <w:sz w:val="11"/>
          <w:szCs w:val="11"/>
          <w:i w:val="1"/>
          <w:iCs w:val="1"/>
          <w:color w:val="6D6D6D"/>
        </w:rPr>
        <w:t xml:space="preserve"> </w:t>
      </w:r>
      <w:r>
        <w:rPr>
          <w:rFonts w:ascii="Arial" w:cs="Arial" w:eastAsia="Arial" w:hAnsi="Arial"/>
          <w:sz w:val="11"/>
          <w:szCs w:val="11"/>
          <w:color w:val="6D6D6D"/>
        </w:rPr>
        <w:t>parties and embedded derivative related to convertible note. Shopify believes this measure provides useful information to investors given that valuations of third parties in public and private markets are outside of our control, and therefore, fluctuations in those valuations are not relevant to the fundamentals of our business and have little analytical or predictive value regarding our ability to drive operational results. This measure does not have a standardized meaning under US GAAP and may not be comparable to similar measures presented by other companies.</w:t>
      </w:r>
    </w:p>
    <w:p>
      <w:pPr>
        <w:spacing w:after="0" w:line="93" w:lineRule="exact"/>
        <w:rPr>
          <w:sz w:val="20"/>
          <w:szCs w:val="20"/>
          <w:color w:val="auto"/>
        </w:rPr>
      </w:pPr>
    </w:p>
    <w:p>
      <w:pPr>
        <w:ind w:left="20" w:right="160"/>
        <w:spacing w:after="0" w:line="259" w:lineRule="auto"/>
        <w:rPr>
          <w:sz w:val="20"/>
          <w:szCs w:val="20"/>
          <w:color w:val="auto"/>
        </w:rPr>
      </w:pPr>
      <w:r>
        <w:rPr>
          <w:rFonts w:ascii="Arial" w:cs="Arial" w:eastAsia="Arial" w:hAnsi="Arial"/>
          <w:sz w:val="11"/>
          <w:szCs w:val="11"/>
          <w:color w:val="6D6D6D"/>
        </w:rPr>
        <w:t xml:space="preserve">Note: More detailed Condensed Consolidated Statements of Operations and Comprehensive Income are available in the Quarterly Report on Form 10-Q filed concurrently with this press release with US and Canadian regulators and available on </w:t>
      </w:r>
      <w:r>
        <w:rPr>
          <w:rFonts w:ascii="Arial" w:cs="Arial" w:eastAsia="Arial" w:hAnsi="Arial"/>
          <w:sz w:val="11"/>
          <w:szCs w:val="11"/>
          <w:u w:val="single" w:color="auto"/>
          <w:color w:val="14896B"/>
        </w:rPr>
        <w:t>www.sec.gov</w:t>
      </w:r>
      <w:r>
        <w:rPr>
          <w:rFonts w:ascii="Arial" w:cs="Arial" w:eastAsia="Arial" w:hAnsi="Arial"/>
          <w:sz w:val="11"/>
          <w:szCs w:val="11"/>
          <w:color w:val="6D6D6D"/>
        </w:rPr>
        <w:t xml:space="preserve"> and </w:t>
      </w:r>
      <w:r>
        <w:rPr>
          <w:rFonts w:ascii="Arial" w:cs="Arial" w:eastAsia="Arial" w:hAnsi="Arial"/>
          <w:sz w:val="11"/>
          <w:szCs w:val="11"/>
          <w:u w:val="single" w:color="auto"/>
          <w:color w:val="14896B"/>
        </w:rPr>
        <w:t>www.sedarplus.ca</w:t>
      </w:r>
      <w:r>
        <w:rPr>
          <w:rFonts w:ascii="Arial" w:cs="Arial" w:eastAsia="Arial" w:hAnsi="Arial"/>
          <w:sz w:val="11"/>
          <w:szCs w:val="11"/>
          <w:u w:val="single" w:color="auto"/>
          <w:color w:val="6D6D6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color w:val="6D6D6D"/>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68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Shopify Inc. Condensed Consolidated Balance Sheets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(In US $ millions)</w:t>
      </w:r>
    </w:p>
    <w:p>
      <w:pPr>
        <w:spacing w:after="0" w:line="36" w:lineRule="exact"/>
        <w:rPr>
          <w:sz w:val="20"/>
          <w:szCs w:val="20"/>
          <w:color w:val="auto"/>
        </w:rPr>
      </w:pPr>
    </w:p>
    <w:p>
      <w:pPr>
        <w:jc w:val="right"/>
        <w:ind w:right="60"/>
        <w:spacing w:after="0"/>
        <w:tabs>
          <w:tab w:leader="none" w:pos="1440" w:val="left"/>
        </w:tabs>
        <w:rPr>
          <w:sz w:val="20"/>
          <w:szCs w:val="20"/>
          <w:color w:val="auto"/>
        </w:rPr>
      </w:pPr>
      <w:r>
        <w:rPr>
          <w:rFonts w:ascii="Arial" w:cs="Arial" w:eastAsia="Arial" w:hAnsi="Arial"/>
          <w:sz w:val="16"/>
          <w:szCs w:val="16"/>
          <w:b w:val="1"/>
          <w:bCs w:val="1"/>
          <w:color w:val="auto"/>
        </w:rPr>
        <w:t>September 30, 2026</w:t>
      </w:r>
      <w:r>
        <w:rPr>
          <w:sz w:val="20"/>
          <w:szCs w:val="20"/>
          <w:color w:val="auto"/>
        </w:rPr>
        <w:tab/>
      </w:r>
      <w:r>
        <w:rPr>
          <w:rFonts w:ascii="Arial" w:cs="Arial" w:eastAsia="Arial" w:hAnsi="Arial"/>
          <w:sz w:val="16"/>
          <w:szCs w:val="16"/>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20955</wp:posOffset>
            </wp:positionV>
            <wp:extent cx="7080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Current assets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Cash and cash equivalents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Marketable securities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Trade and other receivables, net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Loans and merchant cash advances, net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current assets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Long-term assets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Long-term assets</w:t>
      </w:r>
      <w:r>
        <w:rPr>
          <w:rFonts w:ascii="Arial" w:cs="Arial" w:eastAsia="Arial" w:hAnsi="Arial"/>
          <w:sz w:val="21"/>
          <w:szCs w:val="21"/>
          <w:color w:val="auto"/>
          <w:vertAlign w:val="superscript"/>
        </w:rPr>
        <w:t>(4)</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Deferred tax assets</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Long-term investments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Equity and other investments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Equity method investment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Goodwill</w:t>
      </w:r>
    </w:p>
    <w:p>
      <w:pPr>
        <w:spacing w:after="0" w:line="30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1,868</w:t>
            </w:r>
          </w:p>
        </w:tc>
        <w:tc>
          <w:tcPr>
            <w:tcW w:w="1500" w:type="dxa"/>
            <w:vAlign w:val="bottom"/>
          </w:tcPr>
          <w:p>
            <w:pPr>
              <w:jc w:val="right"/>
              <w:spacing w:after="0"/>
              <w:rPr>
                <w:sz w:val="20"/>
                <w:szCs w:val="20"/>
                <w:color w:val="auto"/>
              </w:rPr>
            </w:pPr>
            <w:r>
              <w:rPr>
                <w:rFonts w:ascii="Arial" w:cs="Arial" w:eastAsia="Arial" w:hAnsi="Arial"/>
                <w:sz w:val="16"/>
                <w:szCs w:val="16"/>
                <w:color w:val="auto"/>
              </w:rPr>
              <w:t>1,545</w:t>
            </w:r>
          </w:p>
        </w:tc>
      </w:tr>
      <w:tr>
        <w:trPr>
          <w:trHeight w:val="229"/>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2,859</w:t>
            </w:r>
          </w:p>
        </w:tc>
        <w:tc>
          <w:tcPr>
            <w:tcW w:w="1500" w:type="dxa"/>
            <w:vAlign w:val="bottom"/>
          </w:tcPr>
          <w:p>
            <w:pPr>
              <w:jc w:val="right"/>
              <w:spacing w:after="0"/>
              <w:rPr>
                <w:sz w:val="20"/>
                <w:szCs w:val="20"/>
                <w:color w:val="auto"/>
              </w:rPr>
            </w:pPr>
            <w:r>
              <w:rPr>
                <w:rFonts w:ascii="Arial" w:cs="Arial" w:eastAsia="Arial" w:hAnsi="Arial"/>
                <w:sz w:val="16"/>
                <w:szCs w:val="16"/>
                <w:color w:val="auto"/>
              </w:rPr>
              <w:t>4,233</w:t>
            </w:r>
          </w:p>
        </w:tc>
      </w:tr>
      <w:tr>
        <w:trPr>
          <w:trHeight w:val="230"/>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483</w:t>
            </w:r>
          </w:p>
        </w:tc>
        <w:tc>
          <w:tcPr>
            <w:tcW w:w="15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29"/>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2,350</w:t>
            </w:r>
          </w:p>
        </w:tc>
        <w:tc>
          <w:tcPr>
            <w:tcW w:w="1500" w:type="dxa"/>
            <w:vAlign w:val="bottom"/>
          </w:tcPr>
          <w:p>
            <w:pPr>
              <w:jc w:val="right"/>
              <w:spacing w:after="0"/>
              <w:rPr>
                <w:sz w:val="20"/>
                <w:szCs w:val="20"/>
                <w:color w:val="auto"/>
              </w:rPr>
            </w:pPr>
            <w:r>
              <w:rPr>
                <w:rFonts w:ascii="Arial" w:cs="Arial" w:eastAsia="Arial" w:hAnsi="Arial"/>
                <w:sz w:val="16"/>
                <w:szCs w:val="16"/>
                <w:color w:val="auto"/>
              </w:rPr>
              <w:t>1,784</w:t>
            </w:r>
          </w:p>
        </w:tc>
      </w:tr>
      <w:tr>
        <w:trPr>
          <w:trHeight w:val="230"/>
        </w:trPr>
        <w:tc>
          <w:tcPr>
            <w:tcW w:w="31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226</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r>
      <w:tr>
        <w:trPr>
          <w:trHeight w:val="223"/>
        </w:trPr>
        <w:tc>
          <w:tcPr>
            <w:tcW w:w="31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7,786</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8,296</w:t>
            </w:r>
          </w:p>
        </w:tc>
      </w:tr>
      <w:tr>
        <w:trPr>
          <w:trHeight w:val="438"/>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327</w:t>
            </w:r>
          </w:p>
        </w:tc>
        <w:tc>
          <w:tcPr>
            <w:tcW w:w="150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29"/>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83</w:t>
            </w:r>
          </w:p>
        </w:tc>
        <w:tc>
          <w:tcPr>
            <w:tcW w:w="15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29"/>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524</w:t>
            </w:r>
          </w:p>
        </w:tc>
        <w:tc>
          <w:tcPr>
            <w:tcW w:w="1500" w:type="dxa"/>
            <w:vAlign w:val="bottom"/>
          </w:tcPr>
          <w:p>
            <w:pPr>
              <w:jc w:val="right"/>
              <w:spacing w:after="0"/>
              <w:rPr>
                <w:sz w:val="20"/>
                <w:szCs w:val="20"/>
                <w:color w:val="auto"/>
              </w:rPr>
            </w:pPr>
            <w:r>
              <w:rPr>
                <w:rFonts w:ascii="Arial" w:cs="Arial" w:eastAsia="Arial" w:hAnsi="Arial"/>
                <w:sz w:val="16"/>
                <w:szCs w:val="16"/>
                <w:color w:val="auto"/>
              </w:rPr>
              <w:t>975</w:t>
            </w:r>
          </w:p>
        </w:tc>
      </w:tr>
      <w:tr>
        <w:trPr>
          <w:trHeight w:val="230"/>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4,911</w:t>
            </w:r>
          </w:p>
        </w:tc>
        <w:tc>
          <w:tcPr>
            <w:tcW w:w="1500" w:type="dxa"/>
            <w:vAlign w:val="bottom"/>
          </w:tcPr>
          <w:p>
            <w:pPr>
              <w:jc w:val="right"/>
              <w:spacing w:after="0"/>
              <w:rPr>
                <w:sz w:val="20"/>
                <w:szCs w:val="20"/>
                <w:color w:val="auto"/>
              </w:rPr>
            </w:pPr>
            <w:r>
              <w:rPr>
                <w:rFonts w:ascii="Arial" w:cs="Arial" w:eastAsia="Arial" w:hAnsi="Arial"/>
                <w:sz w:val="16"/>
                <w:szCs w:val="16"/>
                <w:color w:val="auto"/>
              </w:rPr>
              <w:t>4,582</w:t>
            </w:r>
          </w:p>
        </w:tc>
      </w:tr>
      <w:tr>
        <w:trPr>
          <w:trHeight w:val="229"/>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538</w:t>
            </w:r>
          </w:p>
        </w:tc>
        <w:tc>
          <w:tcPr>
            <w:tcW w:w="150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231"/>
        </w:trPr>
        <w:tc>
          <w:tcPr>
            <w:tcW w:w="31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495</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r>
      <w:tr>
        <w:trPr>
          <w:trHeight w:val="223"/>
        </w:trPr>
        <w:tc>
          <w:tcPr>
            <w:tcW w:w="31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6,878</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6,893</w:t>
            </w:r>
          </w:p>
        </w:tc>
      </w:tr>
      <w:tr>
        <w:trPr>
          <w:trHeight w:val="230"/>
        </w:trPr>
        <w:tc>
          <w:tcPr>
            <w:tcW w:w="3100" w:type="dxa"/>
            <w:vAlign w:val="bottom"/>
          </w:tcPr>
          <w:p>
            <w:pPr>
              <w:jc w:val="right"/>
              <w:ind w:right="839"/>
              <w:spacing w:after="0"/>
              <w:rPr>
                <w:sz w:val="20"/>
                <w:szCs w:val="20"/>
                <w:color w:val="auto"/>
              </w:rPr>
            </w:pPr>
            <w:r>
              <w:rPr>
                <w:rFonts w:ascii="Arial" w:cs="Arial" w:eastAsia="Arial" w:hAnsi="Arial"/>
                <w:sz w:val="16"/>
                <w:szCs w:val="16"/>
                <w:b w:val="1"/>
                <w:bCs w:val="1"/>
                <w:color w:val="auto"/>
              </w:rPr>
              <w:t>14,664</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15,189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-2360295</wp:posOffset>
            </wp:positionV>
            <wp:extent cx="708088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0885" cy="14541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-2068830</wp:posOffset>
            </wp:positionV>
            <wp:extent cx="708088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0885" cy="14541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-1778000</wp:posOffset>
            </wp:positionV>
            <wp:extent cx="708088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0885" cy="1460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-1486535</wp:posOffset>
            </wp:positionV>
            <wp:extent cx="708088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0885" cy="15430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-1186180</wp:posOffset>
            </wp:positionV>
            <wp:extent cx="708088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0885" cy="14541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-894715</wp:posOffset>
            </wp:positionV>
            <wp:extent cx="708088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0885" cy="14541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-603250</wp:posOffset>
            </wp:positionV>
            <wp:extent cx="708088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0885" cy="14541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-311785</wp:posOffset>
            </wp:positionV>
            <wp:extent cx="708088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0885" cy="15430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-3175</wp:posOffset>
            </wp:positionV>
            <wp:extent cx="708088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0885" cy="162560"/>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5880" w:space="720"/>
            <w:col w:w="4640"/>
          </w:cols>
          <w:pgMar w:left="320" w:top="1440" w:right="339" w:bottom="1440" w:gutter="0" w:footer="0" w:header="0"/>
          <w:type w:val="continuous"/>
        </w:sectPr>
      </w:pPr>
    </w:p>
    <w:p>
      <w:pPr>
        <w:ind w:left="60"/>
        <w:spacing w:after="0"/>
        <w:rPr>
          <w:sz w:val="20"/>
          <w:szCs w:val="20"/>
          <w:color w:val="auto"/>
        </w:rPr>
      </w:pPr>
      <w:r>
        <w:rPr>
          <w:rFonts w:ascii="Arial" w:cs="Arial" w:eastAsia="Arial" w:hAnsi="Arial"/>
          <w:sz w:val="18"/>
          <w:szCs w:val="18"/>
          <w:b w:val="1"/>
          <w:bCs w:val="1"/>
          <w:color w:val="auto"/>
        </w:rPr>
        <w:t>Liabilities and shareholders’ equity</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3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6560" w:type="dxa"/>
            <w:vAlign w:val="bottom"/>
            <w:shd w:val="clear" w:color="auto" w:fill="F7F7F7"/>
          </w:tcPr>
          <w:p>
            <w:pPr>
              <w:ind w:left="180"/>
              <w:spacing w:after="0"/>
              <w:rPr>
                <w:sz w:val="20"/>
                <w:szCs w:val="20"/>
                <w:color w:val="auto"/>
              </w:rPr>
            </w:pPr>
            <w:r>
              <w:rPr>
                <w:rFonts w:ascii="Arial" w:cs="Arial" w:eastAsia="Arial" w:hAnsi="Arial"/>
                <w:sz w:val="16"/>
                <w:szCs w:val="16"/>
                <w:color w:val="auto"/>
              </w:rPr>
              <w:t>Accounts payable</w:t>
            </w:r>
          </w:p>
        </w:tc>
        <w:tc>
          <w:tcPr>
            <w:tcW w:w="3100" w:type="dxa"/>
            <w:vAlign w:val="bottom"/>
            <w:shd w:val="clear" w:color="auto" w:fill="F7F7F7"/>
          </w:tcPr>
          <w:p>
            <w:pPr>
              <w:jc w:val="right"/>
              <w:ind w:right="839"/>
              <w:spacing w:after="0"/>
              <w:rPr>
                <w:sz w:val="20"/>
                <w:szCs w:val="20"/>
                <w:color w:val="auto"/>
              </w:rPr>
            </w:pPr>
            <w:r>
              <w:rPr>
                <w:rFonts w:ascii="Arial" w:cs="Arial" w:eastAsia="Arial" w:hAnsi="Arial"/>
                <w:sz w:val="16"/>
                <w:szCs w:val="16"/>
                <w:color w:val="auto"/>
              </w:rPr>
              <w:t>630</w:t>
            </w:r>
          </w:p>
        </w:tc>
        <w:tc>
          <w:tcPr>
            <w:tcW w:w="15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570</w:t>
            </w:r>
          </w:p>
        </w:tc>
      </w:tr>
      <w:tr>
        <w:trPr>
          <w:trHeight w:val="228"/>
        </w:trPr>
        <w:tc>
          <w:tcPr>
            <w:tcW w:w="6560" w:type="dxa"/>
            <w:vAlign w:val="bottom"/>
          </w:tcPr>
          <w:p>
            <w:pPr>
              <w:ind w:left="180"/>
              <w:spacing w:after="0"/>
              <w:rPr>
                <w:sz w:val="20"/>
                <w:szCs w:val="20"/>
                <w:color w:val="auto"/>
              </w:rPr>
            </w:pPr>
            <w:r>
              <w:rPr>
                <w:rFonts w:ascii="Arial" w:cs="Arial" w:eastAsia="Arial" w:hAnsi="Arial"/>
                <w:sz w:val="16"/>
                <w:szCs w:val="16"/>
                <w:color w:val="auto"/>
              </w:rPr>
              <w:t>Deferred tax liabilities</w:t>
            </w:r>
          </w:p>
        </w:tc>
        <w:tc>
          <w:tcPr>
            <w:tcW w:w="3100" w:type="dxa"/>
            <w:vAlign w:val="bottom"/>
          </w:tcPr>
          <w:p>
            <w:pPr>
              <w:jc w:val="right"/>
              <w:ind w:right="839"/>
              <w:spacing w:after="0"/>
              <w:rPr>
                <w:sz w:val="20"/>
                <w:szCs w:val="20"/>
                <w:color w:val="auto"/>
              </w:rPr>
            </w:pPr>
            <w:r>
              <w:rPr>
                <w:rFonts w:ascii="Arial" w:cs="Arial" w:eastAsia="Arial" w:hAnsi="Arial"/>
                <w:sz w:val="16"/>
                <w:szCs w:val="16"/>
                <w:color w:val="auto"/>
              </w:rPr>
              <w:t>63</w:t>
            </w:r>
          </w:p>
        </w:tc>
        <w:tc>
          <w:tcPr>
            <w:tcW w:w="15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31"/>
        </w:trPr>
        <w:tc>
          <w:tcPr>
            <w:tcW w:w="6560" w:type="dxa"/>
            <w:vAlign w:val="bottom"/>
            <w:shd w:val="clear" w:color="auto" w:fill="F7F7F7"/>
          </w:tcPr>
          <w:p>
            <w:pPr>
              <w:ind w:left="180"/>
              <w:spacing w:after="0" w:line="231" w:lineRule="exact"/>
              <w:rPr>
                <w:sz w:val="20"/>
                <w:szCs w:val="20"/>
                <w:color w:val="auto"/>
              </w:rPr>
            </w:pPr>
            <w:r>
              <w:rPr>
                <w:rFonts w:ascii="Arial" w:cs="Arial" w:eastAsia="Arial" w:hAnsi="Arial"/>
                <w:sz w:val="16"/>
                <w:szCs w:val="16"/>
                <w:color w:val="auto"/>
              </w:rPr>
              <w:t>Other liabilities</w:t>
            </w:r>
            <w:r>
              <w:rPr>
                <w:rFonts w:ascii="Arial" w:cs="Arial" w:eastAsia="Arial" w:hAnsi="Arial"/>
                <w:sz w:val="21"/>
                <w:szCs w:val="21"/>
                <w:color w:val="auto"/>
                <w:vertAlign w:val="superscript"/>
              </w:rPr>
              <w:t>(5)</w:t>
            </w:r>
          </w:p>
        </w:tc>
        <w:tc>
          <w:tcPr>
            <w:tcW w:w="3100" w:type="dxa"/>
            <w:vAlign w:val="bottom"/>
            <w:tcBorders>
              <w:bottom w:val="single" w:sz="8" w:color="auto"/>
            </w:tcBorders>
            <w:shd w:val="clear" w:color="auto" w:fill="F7F7F7"/>
          </w:tcPr>
          <w:p>
            <w:pPr>
              <w:jc w:val="right"/>
              <w:ind w:right="839"/>
              <w:spacing w:after="0"/>
              <w:rPr>
                <w:sz w:val="20"/>
                <w:szCs w:val="20"/>
                <w:color w:val="auto"/>
              </w:rPr>
            </w:pPr>
            <w:r>
              <w:rPr>
                <w:rFonts w:ascii="Arial" w:cs="Arial" w:eastAsia="Arial" w:hAnsi="Arial"/>
                <w:sz w:val="16"/>
                <w:szCs w:val="16"/>
                <w:color w:val="auto"/>
              </w:rPr>
              <w:t>1,222</w:t>
            </w:r>
          </w:p>
        </w:tc>
        <w:tc>
          <w:tcPr>
            <w:tcW w:w="15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1,091</w:t>
            </w:r>
          </w:p>
        </w:tc>
      </w:tr>
      <w:tr>
        <w:trPr>
          <w:trHeight w:val="222"/>
        </w:trPr>
        <w:tc>
          <w:tcPr>
            <w:tcW w:w="6560" w:type="dxa"/>
            <w:vAlign w:val="bottom"/>
            <w:tcBorders>
              <w:bottom w:val="single" w:sz="8" w:color="F7F7F7"/>
            </w:tcBorders>
          </w:tcPr>
          <w:p>
            <w:pPr>
              <w:spacing w:after="0"/>
              <w:rPr>
                <w:sz w:val="19"/>
                <w:szCs w:val="19"/>
                <w:color w:val="auto"/>
              </w:rPr>
            </w:pPr>
          </w:p>
        </w:tc>
        <w:tc>
          <w:tcPr>
            <w:tcW w:w="31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1,915</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w:t>
            </w:r>
          </w:p>
        </w:tc>
      </w:tr>
      <w:tr>
        <w:trPr>
          <w:trHeight w:val="224"/>
        </w:trPr>
        <w:tc>
          <w:tcPr>
            <w:tcW w:w="65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3100" w:type="dxa"/>
            <w:vAlign w:val="bottom"/>
            <w:tcBorders>
              <w:bottom w:val="single" w:sz="8" w:color="auto"/>
            </w:tcBorders>
            <w:shd w:val="clear" w:color="auto" w:fill="F7F7F7"/>
          </w:tcPr>
          <w:p>
            <w:pPr>
              <w:jc w:val="right"/>
              <w:ind w:right="839"/>
              <w:spacing w:after="0"/>
              <w:rPr>
                <w:sz w:val="20"/>
                <w:szCs w:val="20"/>
                <w:color w:val="auto"/>
              </w:rPr>
            </w:pPr>
            <w:r>
              <w:rPr>
                <w:rFonts w:ascii="Arial" w:cs="Arial" w:eastAsia="Arial" w:hAnsi="Arial"/>
                <w:sz w:val="16"/>
                <w:szCs w:val="16"/>
                <w:color w:val="auto"/>
              </w:rPr>
              <w:t>12,749</w:t>
            </w:r>
          </w:p>
        </w:tc>
        <w:tc>
          <w:tcPr>
            <w:tcW w:w="15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13,473</w:t>
            </w: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31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14,664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0" w:hanging="114"/>
        <w:spacing w:after="0"/>
        <w:tabs>
          <w:tab w:leader="none" w:pos="180" w:val="left"/>
        </w:tabs>
        <w:numPr>
          <w:ilvl w:val="0"/>
          <w:numId w:val="5"/>
        </w:numPr>
        <w:rPr>
          <w:rFonts w:ascii="Arial" w:cs="Arial" w:eastAsia="Arial" w:hAnsi="Arial"/>
          <w:sz w:val="7"/>
          <w:szCs w:val="7"/>
          <w:color w:val="6D6D6D"/>
        </w:rPr>
      </w:pPr>
      <w:r>
        <w:rPr>
          <w:rFonts w:ascii="Arial" w:cs="Arial" w:eastAsia="Arial" w:hAnsi="Arial"/>
          <w:sz w:val="11"/>
          <w:szCs w:val="11"/>
          <w:i w:val="1"/>
          <w:iCs w:val="1"/>
          <w:color w:val="6D6D6D"/>
        </w:rPr>
        <w:t xml:space="preserve">Long-term assets </w:t>
      </w:r>
      <w:r>
        <w:rPr>
          <w:rFonts w:ascii="Arial" w:cs="Arial" w:eastAsia="Arial" w:hAnsi="Arial"/>
          <w:sz w:val="11"/>
          <w:szCs w:val="11"/>
          <w:color w:val="6D6D6D"/>
        </w:rPr>
        <w:t>includes Property and equipment, net, Operating lease right-of-use assets, net, Intangible assets, net, and Other long-term assets.</w:t>
      </w:r>
    </w:p>
    <w:p>
      <w:pPr>
        <w:spacing w:after="0" w:line="184" w:lineRule="exact"/>
        <w:rPr>
          <w:rFonts w:ascii="Arial" w:cs="Arial" w:eastAsia="Arial" w:hAnsi="Arial"/>
          <w:sz w:val="7"/>
          <w:szCs w:val="7"/>
          <w:color w:val="6D6D6D"/>
        </w:rPr>
      </w:pPr>
    </w:p>
    <w:p>
      <w:pPr>
        <w:ind w:left="180" w:hanging="114"/>
        <w:spacing w:after="0"/>
        <w:tabs>
          <w:tab w:leader="none" w:pos="180" w:val="left"/>
        </w:tabs>
        <w:numPr>
          <w:ilvl w:val="0"/>
          <w:numId w:val="5"/>
        </w:numPr>
        <w:rPr>
          <w:rFonts w:ascii="Arial" w:cs="Arial" w:eastAsia="Arial" w:hAnsi="Arial"/>
          <w:sz w:val="7"/>
          <w:szCs w:val="7"/>
          <w:color w:val="6D6D6D"/>
        </w:rPr>
      </w:pPr>
      <w:r>
        <w:rPr>
          <w:rFonts w:ascii="Arial" w:cs="Arial" w:eastAsia="Arial" w:hAnsi="Arial"/>
          <w:sz w:val="11"/>
          <w:szCs w:val="11"/>
          <w:i w:val="1"/>
          <w:iCs w:val="1"/>
          <w:color w:val="6D6D6D"/>
        </w:rPr>
        <w:t xml:space="preserve">Other liabilities </w:t>
      </w:r>
      <w:r>
        <w:rPr>
          <w:rFonts w:ascii="Arial" w:cs="Arial" w:eastAsia="Arial" w:hAnsi="Arial"/>
          <w:sz w:val="11"/>
          <w:szCs w:val="11"/>
          <w:color w:val="6D6D6D"/>
        </w:rPr>
        <w:t>includes Accrued liabilities, Current and Long-term Deferred revenue, and Operating lease liabilities.</w:t>
      </w:r>
    </w:p>
    <w:p>
      <w:pPr>
        <w:spacing w:after="0" w:line="184" w:lineRule="exact"/>
        <w:rPr>
          <w:sz w:val="20"/>
          <w:szCs w:val="20"/>
          <w:color w:val="auto"/>
        </w:rPr>
      </w:pPr>
    </w:p>
    <w:p>
      <w:pPr>
        <w:ind w:left="60" w:right="120"/>
        <w:spacing w:after="0" w:line="285" w:lineRule="auto"/>
        <w:rPr>
          <w:sz w:val="20"/>
          <w:szCs w:val="20"/>
          <w:color w:val="auto"/>
        </w:rPr>
      </w:pPr>
      <w:r>
        <w:rPr>
          <w:rFonts w:ascii="Arial" w:cs="Arial" w:eastAsia="Arial" w:hAnsi="Arial"/>
          <w:sz w:val="11"/>
          <w:szCs w:val="11"/>
          <w:color w:val="6D6D6D"/>
        </w:rPr>
        <w:t xml:space="preserve">Note: More detailed Condensed Consolidated Balance Sheet and Notes to the Condensed Consolidated Financial Statements are available in the Quarterly Report on Form 10-Q filed concurrently with this press release with US and Canadian regulators and available on </w:t>
      </w:r>
      <w:r>
        <w:rPr>
          <w:rFonts w:ascii="Arial" w:cs="Arial" w:eastAsia="Arial" w:hAnsi="Arial"/>
          <w:sz w:val="11"/>
          <w:szCs w:val="11"/>
          <w:u w:val="single" w:color="auto"/>
          <w:color w:val="14896B"/>
        </w:rPr>
        <w:t>www.sec.gov</w:t>
      </w:r>
      <w:r>
        <w:rPr>
          <w:rFonts w:ascii="Arial" w:cs="Arial" w:eastAsia="Arial" w:hAnsi="Arial"/>
          <w:sz w:val="11"/>
          <w:szCs w:val="11"/>
          <w:color w:val="6D6D6D"/>
        </w:rPr>
        <w:t xml:space="preserve"> and </w:t>
      </w:r>
      <w:r>
        <w:rPr>
          <w:rFonts w:ascii="Arial" w:cs="Arial" w:eastAsia="Arial" w:hAnsi="Arial"/>
          <w:sz w:val="11"/>
          <w:szCs w:val="11"/>
          <w:u w:val="single" w:color="auto"/>
          <w:color w:val="14896B"/>
        </w:rPr>
        <w:t>www.sedarplus.ca</w:t>
      </w:r>
      <w:r>
        <w:rPr>
          <w:rFonts w:ascii="Arial" w:cs="Arial" w:eastAsia="Arial" w:hAnsi="Arial"/>
          <w:sz w:val="11"/>
          <w:szCs w:val="11"/>
          <w:color w:val="6D6D6D"/>
        </w:rPr>
        <w:t>.</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160"/>
        <w:spacing w:after="0"/>
        <w:rPr>
          <w:sz w:val="20"/>
          <w:szCs w:val="20"/>
          <w:color w:val="auto"/>
        </w:rPr>
      </w:pPr>
      <w:r>
        <w:rPr>
          <w:rFonts w:ascii="Arial" w:cs="Arial" w:eastAsia="Arial" w:hAnsi="Arial"/>
          <w:sz w:val="14"/>
          <w:szCs w:val="14"/>
          <w:color w:val="6D6D6D"/>
        </w:rPr>
        <w:t>4</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6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68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Shopify Inc. Condensed Consolidated Statements of Cash Flows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(In US $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60" w:type="dxa"/>
            <w:vAlign w:val="bottom"/>
          </w:tcPr>
          <w:p>
            <w:pPr>
              <w:spacing w:after="0"/>
              <w:rPr>
                <w:sz w:val="18"/>
                <w:szCs w:val="18"/>
                <w:color w:val="auto"/>
              </w:rPr>
            </w:pPr>
          </w:p>
        </w:tc>
        <w:tc>
          <w:tcPr>
            <w:tcW w:w="4780" w:type="dxa"/>
            <w:vAlign w:val="bottom"/>
            <w:tcBorders>
              <w:bottom w:val="single" w:sz="8" w:color="auto"/>
            </w:tcBorders>
            <w:gridSpan w:val="2"/>
          </w:tcPr>
          <w:p>
            <w:pPr>
              <w:jc w:val="right"/>
              <w:ind w:right="1519"/>
              <w:spacing w:after="0"/>
              <w:rPr>
                <w:sz w:val="20"/>
                <w:szCs w:val="20"/>
                <w:color w:val="auto"/>
              </w:rPr>
            </w:pPr>
            <w:r>
              <w:rPr>
                <w:rFonts w:ascii="Arial" w:cs="Arial" w:eastAsia="Arial" w:hAnsi="Arial"/>
                <w:sz w:val="16"/>
                <w:szCs w:val="16"/>
                <w:b w:val="1"/>
                <w:bCs w:val="1"/>
                <w:color w:val="auto"/>
              </w:rPr>
              <w:t>Three months ended</w:t>
            </w:r>
          </w:p>
        </w:tc>
      </w:tr>
      <w:tr>
        <w:trPr>
          <w:trHeight w:val="223"/>
        </w:trPr>
        <w:tc>
          <w:tcPr>
            <w:tcW w:w="64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September 30, 2026</w:t>
            </w: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2025</w:t>
            </w:r>
          </w:p>
        </w:tc>
      </w:tr>
      <w:tr>
        <w:trPr>
          <w:trHeight w:val="236"/>
        </w:trPr>
        <w:tc>
          <w:tcPr>
            <w:tcW w:w="6460" w:type="dxa"/>
            <w:vAlign w:val="bottom"/>
            <w:shd w:val="clear" w:color="auto" w:fill="F7F7F7"/>
          </w:tcPr>
          <w:p>
            <w:pPr>
              <w:ind w:left="120"/>
              <w:spacing w:after="0"/>
              <w:rPr>
                <w:sz w:val="20"/>
                <w:szCs w:val="20"/>
                <w:color w:val="auto"/>
              </w:rPr>
            </w:pPr>
            <w:r>
              <w:rPr>
                <w:rFonts w:ascii="Arial" w:cs="Arial" w:eastAsia="Arial" w:hAnsi="Arial"/>
                <w:sz w:val="18"/>
                <w:szCs w:val="18"/>
                <w:b w:val="1"/>
                <w:bCs w:val="1"/>
                <w:color w:val="auto"/>
              </w:rPr>
              <w:t>Cash flows from operating activities</w:t>
            </w:r>
          </w:p>
        </w:tc>
        <w:tc>
          <w:tcPr>
            <w:tcW w:w="2660" w:type="dxa"/>
            <w:vAlign w:val="bottom"/>
            <w:shd w:val="clear" w:color="auto" w:fill="F7F7F7"/>
          </w:tcPr>
          <w:p>
            <w:pPr>
              <w:spacing w:after="0"/>
              <w:rPr>
                <w:sz w:val="20"/>
                <w:szCs w:val="20"/>
                <w:color w:val="auto"/>
              </w:rPr>
            </w:pPr>
          </w:p>
        </w:tc>
        <w:tc>
          <w:tcPr>
            <w:tcW w:w="2120" w:type="dxa"/>
            <w:vAlign w:val="bottom"/>
            <w:shd w:val="clear" w:color="auto" w:fill="F7F7F7"/>
          </w:tcPr>
          <w:p>
            <w:pPr>
              <w:spacing w:after="0"/>
              <w:rPr>
                <w:sz w:val="20"/>
                <w:szCs w:val="20"/>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6"/>
                <w:szCs w:val="16"/>
                <w:color w:val="auto"/>
              </w:rPr>
              <w:t>Net income for the period</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462</w:t>
            </w: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264</w:t>
            </w:r>
          </w:p>
        </w:tc>
      </w:tr>
      <w:tr>
        <w:trPr>
          <w:trHeight w:val="176"/>
        </w:trPr>
        <w:tc>
          <w:tcPr>
            <w:tcW w:w="6460" w:type="dxa"/>
            <w:vAlign w:val="bottom"/>
            <w:shd w:val="clear" w:color="auto" w:fill="F7F7F7"/>
          </w:tcPr>
          <w:p>
            <w:pPr>
              <w:ind w:left="240"/>
              <w:spacing w:after="0" w:line="177" w:lineRule="exact"/>
              <w:rPr>
                <w:sz w:val="20"/>
                <w:szCs w:val="20"/>
                <w:color w:val="auto"/>
              </w:rPr>
            </w:pPr>
            <w:r>
              <w:rPr>
                <w:rFonts w:ascii="Arial" w:cs="Arial" w:eastAsia="Arial" w:hAnsi="Arial"/>
                <w:sz w:val="16"/>
                <w:szCs w:val="16"/>
                <w:color w:val="auto"/>
              </w:rPr>
              <w:t>Adjustments to reconcile net income to</w:t>
            </w:r>
          </w:p>
        </w:tc>
        <w:tc>
          <w:tcPr>
            <w:tcW w:w="2660" w:type="dxa"/>
            <w:vAlign w:val="bottom"/>
            <w:shd w:val="clear" w:color="auto" w:fill="F7F7F7"/>
          </w:tcPr>
          <w:p>
            <w:pPr>
              <w:spacing w:after="0"/>
              <w:rPr>
                <w:sz w:val="15"/>
                <w:szCs w:val="15"/>
                <w:color w:val="auto"/>
              </w:rPr>
            </w:pPr>
          </w:p>
        </w:tc>
        <w:tc>
          <w:tcPr>
            <w:tcW w:w="2120" w:type="dxa"/>
            <w:vAlign w:val="bottom"/>
            <w:shd w:val="clear" w:color="auto" w:fill="F7F7F7"/>
          </w:tcPr>
          <w:p>
            <w:pPr>
              <w:spacing w:after="0"/>
              <w:rPr>
                <w:sz w:val="15"/>
                <w:szCs w:val="15"/>
                <w:color w:val="auto"/>
              </w:rPr>
            </w:pPr>
          </w:p>
        </w:tc>
      </w:tr>
      <w:tr>
        <w:trPr>
          <w:trHeight w:val="216"/>
        </w:trPr>
        <w:tc>
          <w:tcPr>
            <w:tcW w:w="64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net cash provided by operating activities:</w:t>
            </w:r>
          </w:p>
        </w:tc>
        <w:tc>
          <w:tcPr>
            <w:tcW w:w="2660" w:type="dxa"/>
            <w:vAlign w:val="bottom"/>
            <w:shd w:val="clear" w:color="auto" w:fill="F7F7F7"/>
          </w:tcPr>
          <w:p>
            <w:pPr>
              <w:spacing w:after="0"/>
              <w:rPr>
                <w:sz w:val="18"/>
                <w:szCs w:val="18"/>
                <w:color w:val="auto"/>
              </w:rPr>
            </w:pPr>
          </w:p>
        </w:tc>
        <w:tc>
          <w:tcPr>
            <w:tcW w:w="2120" w:type="dxa"/>
            <w:vAlign w:val="bottom"/>
            <w:shd w:val="clear" w:color="auto" w:fill="F7F7F7"/>
          </w:tcPr>
          <w:p>
            <w:pPr>
              <w:spacing w:after="0"/>
              <w:rPr>
                <w:sz w:val="18"/>
                <w:szCs w:val="18"/>
                <w:color w:val="auto"/>
              </w:rPr>
            </w:pPr>
          </w:p>
        </w:tc>
      </w:tr>
      <w:tr>
        <w:trPr>
          <w:trHeight w:val="228"/>
        </w:trPr>
        <w:tc>
          <w:tcPr>
            <w:tcW w:w="6460" w:type="dxa"/>
            <w:vAlign w:val="bottom"/>
          </w:tcPr>
          <w:p>
            <w:pPr>
              <w:ind w:left="560"/>
              <w:spacing w:after="0"/>
              <w:rPr>
                <w:sz w:val="20"/>
                <w:szCs w:val="20"/>
                <w:color w:val="auto"/>
              </w:rPr>
            </w:pPr>
            <w:r>
              <w:rPr>
                <w:rFonts w:ascii="Arial" w:cs="Arial" w:eastAsia="Arial" w:hAnsi="Arial"/>
                <w:sz w:val="16"/>
                <w:szCs w:val="16"/>
                <w:color w:val="auto"/>
              </w:rPr>
              <w:t>Amortization and depreciation</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7</w:t>
            </w: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8</w:t>
            </w:r>
          </w:p>
        </w:tc>
      </w:tr>
      <w:tr>
        <w:trPr>
          <w:trHeight w:val="231"/>
        </w:trPr>
        <w:tc>
          <w:tcPr>
            <w:tcW w:w="6460" w:type="dxa"/>
            <w:vAlign w:val="bottom"/>
            <w:shd w:val="clear" w:color="auto" w:fill="F7F7F7"/>
          </w:tcPr>
          <w:p>
            <w:pPr>
              <w:ind w:left="560"/>
              <w:spacing w:after="0"/>
              <w:rPr>
                <w:sz w:val="20"/>
                <w:szCs w:val="20"/>
                <w:color w:val="auto"/>
              </w:rPr>
            </w:pPr>
            <w:r>
              <w:rPr>
                <w:rFonts w:ascii="Arial" w:cs="Arial" w:eastAsia="Arial" w:hAnsi="Arial"/>
                <w:sz w:val="16"/>
                <w:szCs w:val="16"/>
                <w:color w:val="auto"/>
              </w:rPr>
              <w:t>Stock-based compensation</w:t>
            </w:r>
          </w:p>
        </w:tc>
        <w:tc>
          <w:tcPr>
            <w:tcW w:w="26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140</w:t>
            </w:r>
          </w:p>
        </w:tc>
        <w:tc>
          <w:tcPr>
            <w:tcW w:w="21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107</w:t>
            </w:r>
          </w:p>
        </w:tc>
      </w:tr>
      <w:tr>
        <w:trPr>
          <w:trHeight w:val="229"/>
        </w:trPr>
        <w:tc>
          <w:tcPr>
            <w:tcW w:w="6460" w:type="dxa"/>
            <w:vAlign w:val="bottom"/>
          </w:tcPr>
          <w:p>
            <w:pPr>
              <w:ind w:left="560"/>
              <w:spacing w:after="0"/>
              <w:rPr>
                <w:sz w:val="20"/>
                <w:szCs w:val="20"/>
                <w:color w:val="auto"/>
              </w:rPr>
            </w:pPr>
            <w:r>
              <w:rPr>
                <w:rFonts w:ascii="Arial" w:cs="Arial" w:eastAsia="Arial" w:hAnsi="Arial"/>
                <w:sz w:val="16"/>
                <w:szCs w:val="16"/>
                <w:color w:val="auto"/>
              </w:rPr>
              <w:t>Impairment of right-of-use assets and leasehold improvements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3</w:t>
            </w:r>
          </w:p>
        </w:tc>
      </w:tr>
      <w:tr>
        <w:trPr>
          <w:trHeight w:val="230"/>
        </w:trPr>
        <w:tc>
          <w:tcPr>
            <w:tcW w:w="6460" w:type="dxa"/>
            <w:vAlign w:val="bottom"/>
            <w:shd w:val="clear" w:color="auto" w:fill="F7F7F7"/>
          </w:tcPr>
          <w:p>
            <w:pPr>
              <w:ind w:left="580"/>
              <w:spacing w:after="0"/>
              <w:rPr>
                <w:sz w:val="20"/>
                <w:szCs w:val="20"/>
                <w:color w:val="auto"/>
              </w:rPr>
            </w:pPr>
            <w:r>
              <w:rPr>
                <w:rFonts w:ascii="Arial" w:cs="Arial" w:eastAsia="Arial" w:hAnsi="Arial"/>
                <w:sz w:val="16"/>
                <w:szCs w:val="16"/>
                <w:color w:val="auto"/>
              </w:rPr>
              <w:t>Provision for transaction and loan losses</w:t>
            </w:r>
          </w:p>
        </w:tc>
        <w:tc>
          <w:tcPr>
            <w:tcW w:w="26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67</w:t>
            </w:r>
          </w:p>
        </w:tc>
        <w:tc>
          <w:tcPr>
            <w:tcW w:w="21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102</w:t>
            </w:r>
          </w:p>
        </w:tc>
      </w:tr>
      <w:tr>
        <w:trPr>
          <w:trHeight w:val="228"/>
        </w:trPr>
        <w:tc>
          <w:tcPr>
            <w:tcW w:w="6460" w:type="dxa"/>
            <w:vAlign w:val="bottom"/>
          </w:tcPr>
          <w:p>
            <w:pPr>
              <w:ind w:left="560"/>
              <w:spacing w:after="0"/>
              <w:rPr>
                <w:sz w:val="20"/>
                <w:szCs w:val="20"/>
                <w:color w:val="auto"/>
              </w:rPr>
            </w:pPr>
            <w:r>
              <w:rPr>
                <w:rFonts w:ascii="Arial" w:cs="Arial" w:eastAsia="Arial" w:hAnsi="Arial"/>
                <w:sz w:val="16"/>
                <w:szCs w:val="16"/>
                <w:color w:val="auto"/>
              </w:rPr>
              <w:t>Deferred income tax recovery</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(68)</w:t>
            </w: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(5)</w:t>
            </w:r>
          </w:p>
        </w:tc>
      </w:tr>
      <w:tr>
        <w:trPr>
          <w:trHeight w:val="231"/>
        </w:trPr>
        <w:tc>
          <w:tcPr>
            <w:tcW w:w="6460" w:type="dxa"/>
            <w:vAlign w:val="bottom"/>
            <w:shd w:val="clear" w:color="auto" w:fill="F7F7F7"/>
          </w:tcPr>
          <w:p>
            <w:pPr>
              <w:ind w:left="560"/>
              <w:spacing w:after="0"/>
              <w:rPr>
                <w:sz w:val="20"/>
                <w:szCs w:val="20"/>
                <w:color w:val="auto"/>
              </w:rPr>
            </w:pPr>
            <w:r>
              <w:rPr>
                <w:rFonts w:ascii="Arial" w:cs="Arial" w:eastAsia="Arial" w:hAnsi="Arial"/>
                <w:sz w:val="16"/>
                <w:szCs w:val="16"/>
                <w:color w:val="auto"/>
              </w:rPr>
              <w:t>Revenue related to non-cash consideration</w:t>
            </w:r>
          </w:p>
        </w:tc>
        <w:tc>
          <w:tcPr>
            <w:tcW w:w="26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(13)</w:t>
            </w:r>
          </w:p>
        </w:tc>
        <w:tc>
          <w:tcPr>
            <w:tcW w:w="21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(12)</w:t>
            </w:r>
          </w:p>
        </w:tc>
      </w:tr>
      <w:tr>
        <w:trPr>
          <w:trHeight w:val="228"/>
        </w:trPr>
        <w:tc>
          <w:tcPr>
            <w:tcW w:w="6460" w:type="dxa"/>
            <w:vAlign w:val="bottom"/>
          </w:tcPr>
          <w:p>
            <w:pPr>
              <w:ind w:left="580"/>
              <w:spacing w:after="0"/>
              <w:rPr>
                <w:sz w:val="20"/>
                <w:szCs w:val="20"/>
                <w:color w:val="auto"/>
              </w:rPr>
            </w:pPr>
            <w:r>
              <w:rPr>
                <w:rFonts w:ascii="Arial" w:cs="Arial" w:eastAsia="Arial" w:hAnsi="Arial"/>
                <w:sz w:val="16"/>
                <w:szCs w:val="16"/>
                <w:color w:val="auto"/>
              </w:rPr>
              <w:t>Unrealized loss on embedded derivative</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29</w:t>
            </w:r>
          </w:p>
        </w:tc>
      </w:tr>
      <w:tr>
        <w:trPr>
          <w:trHeight w:val="231"/>
        </w:trPr>
        <w:tc>
          <w:tcPr>
            <w:tcW w:w="6460" w:type="dxa"/>
            <w:vAlign w:val="bottom"/>
            <w:shd w:val="clear" w:color="auto" w:fill="F7F7F7"/>
          </w:tcPr>
          <w:p>
            <w:pPr>
              <w:ind w:left="580"/>
              <w:spacing w:after="0"/>
              <w:rPr>
                <w:sz w:val="20"/>
                <w:szCs w:val="20"/>
                <w:color w:val="auto"/>
              </w:rPr>
            </w:pPr>
            <w:r>
              <w:rPr>
                <w:rFonts w:ascii="Arial" w:cs="Arial" w:eastAsia="Arial" w:hAnsi="Arial"/>
                <w:sz w:val="16"/>
                <w:szCs w:val="16"/>
                <w:color w:val="auto"/>
              </w:rPr>
              <w:t>Net loss on equity and other investments</w:t>
            </w:r>
          </w:p>
        </w:tc>
        <w:tc>
          <w:tcPr>
            <w:tcW w:w="26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117</w:t>
            </w:r>
          </w:p>
        </w:tc>
        <w:tc>
          <w:tcPr>
            <w:tcW w:w="21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62</w:t>
            </w:r>
          </w:p>
        </w:tc>
      </w:tr>
      <w:tr>
        <w:trPr>
          <w:trHeight w:val="228"/>
        </w:trPr>
        <w:tc>
          <w:tcPr>
            <w:tcW w:w="6460" w:type="dxa"/>
            <w:vAlign w:val="bottom"/>
          </w:tcPr>
          <w:p>
            <w:pPr>
              <w:ind w:left="560"/>
              <w:spacing w:after="0"/>
              <w:rPr>
                <w:sz w:val="20"/>
                <w:szCs w:val="20"/>
                <w:color w:val="auto"/>
              </w:rPr>
            </w:pPr>
            <w:r>
              <w:rPr>
                <w:rFonts w:ascii="Arial" w:cs="Arial" w:eastAsia="Arial" w:hAnsi="Arial"/>
                <w:sz w:val="16"/>
                <w:szCs w:val="16"/>
                <w:color w:val="auto"/>
              </w:rPr>
              <w:t>Net loss on equity method investment</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21</w:t>
            </w: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21</w:t>
            </w:r>
          </w:p>
        </w:tc>
      </w:tr>
      <w:tr>
        <w:trPr>
          <w:trHeight w:val="230"/>
        </w:trPr>
        <w:tc>
          <w:tcPr>
            <w:tcW w:w="6460" w:type="dxa"/>
            <w:vAlign w:val="bottom"/>
            <w:shd w:val="clear" w:color="auto" w:fill="F7F7F7"/>
          </w:tcPr>
          <w:p>
            <w:pPr>
              <w:ind w:left="560"/>
              <w:spacing w:after="0"/>
              <w:rPr>
                <w:sz w:val="20"/>
                <w:szCs w:val="20"/>
                <w:color w:val="auto"/>
              </w:rPr>
            </w:pPr>
            <w:r>
              <w:rPr>
                <w:rFonts w:ascii="Arial" w:cs="Arial" w:eastAsia="Arial" w:hAnsi="Arial"/>
                <w:sz w:val="16"/>
                <w:szCs w:val="16"/>
                <w:color w:val="auto"/>
              </w:rPr>
              <w:t>Unrealized foreign exchange loss</w:t>
            </w:r>
          </w:p>
        </w:tc>
        <w:tc>
          <w:tcPr>
            <w:tcW w:w="26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1</w:t>
            </w:r>
          </w:p>
        </w:tc>
        <w:tc>
          <w:tcPr>
            <w:tcW w:w="21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4</w:t>
            </w:r>
          </w:p>
        </w:tc>
      </w:tr>
      <w:tr>
        <w:trPr>
          <w:trHeight w:val="228"/>
        </w:trPr>
        <w:tc>
          <w:tcPr>
            <w:tcW w:w="6460" w:type="dxa"/>
            <w:vAlign w:val="bottom"/>
            <w:tcBorders>
              <w:bottom w:val="single" w:sz="8" w:color="F7F7F7"/>
            </w:tcBorders>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2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84</w:t>
            </w:r>
          </w:p>
        </w:tc>
        <w:tc>
          <w:tcPr>
            <w:tcW w:w="2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w:t>
            </w:r>
          </w:p>
        </w:tc>
      </w:tr>
      <w:tr>
        <w:trPr>
          <w:trHeight w:val="224"/>
        </w:trPr>
        <w:tc>
          <w:tcPr>
            <w:tcW w:w="6460" w:type="dxa"/>
            <w:vAlign w:val="bottom"/>
            <w:tcBorders>
              <w:bottom w:val="single" w:sz="8" w:color="auto"/>
            </w:tcBorders>
            <w:shd w:val="clear" w:color="auto" w:fill="F7F7F7"/>
          </w:tcPr>
          <w:p>
            <w:pPr>
              <w:ind w:left="240"/>
              <w:spacing w:after="0"/>
              <w:rPr>
                <w:sz w:val="20"/>
                <w:szCs w:val="20"/>
                <w:color w:val="auto"/>
              </w:rPr>
            </w:pPr>
            <w:r>
              <w:rPr>
                <w:rFonts w:ascii="Arial" w:cs="Arial" w:eastAsia="Arial" w:hAnsi="Arial"/>
                <w:sz w:val="16"/>
                <w:szCs w:val="16"/>
                <w:b w:val="1"/>
                <w:bCs w:val="1"/>
                <w:color w:val="auto"/>
              </w:rPr>
              <w:t>Net cash provided by operating activities</w:t>
            </w:r>
          </w:p>
        </w:tc>
        <w:tc>
          <w:tcPr>
            <w:tcW w:w="2660" w:type="dxa"/>
            <w:vAlign w:val="bottom"/>
            <w:tcBorders>
              <w:bottom w:val="single" w:sz="8" w:color="auto"/>
            </w:tcBorders>
            <w:shd w:val="clear" w:color="auto" w:fill="F7F7F7"/>
          </w:tcPr>
          <w:p>
            <w:pPr>
              <w:jc w:val="right"/>
              <w:ind w:right="419"/>
              <w:spacing w:after="0"/>
              <w:rPr>
                <w:sz w:val="20"/>
                <w:szCs w:val="20"/>
                <w:color w:val="auto"/>
              </w:rPr>
            </w:pPr>
            <w:r>
              <w:rPr>
                <w:rFonts w:ascii="Arial" w:cs="Arial" w:eastAsia="Arial" w:hAnsi="Arial"/>
                <w:sz w:val="16"/>
                <w:szCs w:val="16"/>
                <w:b w:val="1"/>
                <w:bCs w:val="1"/>
                <w:color w:val="auto"/>
              </w:rPr>
              <w:t>818</w:t>
            </w:r>
          </w:p>
        </w:tc>
        <w:tc>
          <w:tcPr>
            <w:tcW w:w="21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513</w:t>
            </w:r>
          </w:p>
        </w:tc>
      </w:tr>
      <w:tr>
        <w:trPr>
          <w:trHeight w:val="237"/>
        </w:trPr>
        <w:tc>
          <w:tcPr>
            <w:tcW w:w="6460" w:type="dxa"/>
            <w:vAlign w:val="bottom"/>
          </w:tcPr>
          <w:p>
            <w:pPr>
              <w:ind w:left="120"/>
              <w:spacing w:after="0"/>
              <w:rPr>
                <w:sz w:val="20"/>
                <w:szCs w:val="20"/>
                <w:color w:val="auto"/>
              </w:rPr>
            </w:pPr>
            <w:r>
              <w:rPr>
                <w:rFonts w:ascii="Arial" w:cs="Arial" w:eastAsia="Arial" w:hAnsi="Arial"/>
                <w:sz w:val="18"/>
                <w:szCs w:val="18"/>
                <w:b w:val="1"/>
                <w:bCs w:val="1"/>
                <w:color w:val="auto"/>
              </w:rPr>
              <w:t>Cash flows from investing activities</w:t>
            </w:r>
          </w:p>
        </w:tc>
        <w:tc>
          <w:tcPr>
            <w:tcW w:w="26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30"/>
        </w:trPr>
        <w:tc>
          <w:tcPr>
            <w:tcW w:w="64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Purchases of property and equipment</w:t>
            </w:r>
          </w:p>
        </w:tc>
        <w:tc>
          <w:tcPr>
            <w:tcW w:w="26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(2)</w:t>
            </w:r>
          </w:p>
        </w:tc>
        <w:tc>
          <w:tcPr>
            <w:tcW w:w="21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(6)</w:t>
            </w:r>
          </w:p>
        </w:tc>
      </w:tr>
      <w:tr>
        <w:trPr>
          <w:trHeight w:val="229"/>
        </w:trPr>
        <w:tc>
          <w:tcPr>
            <w:tcW w:w="6460" w:type="dxa"/>
            <w:vAlign w:val="bottom"/>
          </w:tcPr>
          <w:p>
            <w:pPr>
              <w:ind w:left="240"/>
              <w:spacing w:after="0"/>
              <w:rPr>
                <w:sz w:val="20"/>
                <w:szCs w:val="20"/>
                <w:color w:val="auto"/>
              </w:rPr>
            </w:pPr>
            <w:r>
              <w:rPr>
                <w:rFonts w:ascii="Arial" w:cs="Arial" w:eastAsia="Arial" w:hAnsi="Arial"/>
                <w:sz w:val="16"/>
                <w:szCs w:val="16"/>
                <w:color w:val="auto"/>
              </w:rPr>
              <w:t>Purchases of marketable securities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(866)</w:t>
            </w: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(1,460)</w:t>
            </w:r>
          </w:p>
        </w:tc>
      </w:tr>
      <w:tr>
        <w:trPr>
          <w:trHeight w:val="230"/>
        </w:trPr>
        <w:tc>
          <w:tcPr>
            <w:tcW w:w="64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Maturities of marketable securities</w:t>
            </w:r>
          </w:p>
        </w:tc>
        <w:tc>
          <w:tcPr>
            <w:tcW w:w="26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1,302</w:t>
            </w:r>
          </w:p>
        </w:tc>
        <w:tc>
          <w:tcPr>
            <w:tcW w:w="21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1,956</w:t>
            </w:r>
          </w:p>
        </w:tc>
      </w:tr>
      <w:tr>
        <w:trPr>
          <w:trHeight w:val="229"/>
        </w:trPr>
        <w:tc>
          <w:tcPr>
            <w:tcW w:w="6460" w:type="dxa"/>
            <w:vAlign w:val="bottom"/>
          </w:tcPr>
          <w:p>
            <w:pPr>
              <w:ind w:left="240"/>
              <w:spacing w:after="0" w:line="230" w:lineRule="exact"/>
              <w:rPr>
                <w:sz w:val="20"/>
                <w:szCs w:val="20"/>
                <w:color w:val="auto"/>
              </w:rPr>
            </w:pPr>
            <w:r>
              <w:rPr>
                <w:rFonts w:ascii="Arial" w:cs="Arial" w:eastAsia="Arial" w:hAnsi="Arial"/>
                <w:sz w:val="16"/>
                <w:szCs w:val="16"/>
                <w:color w:val="auto"/>
              </w:rPr>
              <w:t>Purchases and originations of loans and merchant cash advances</w:t>
            </w:r>
            <w:r>
              <w:rPr>
                <w:rFonts w:ascii="Arial" w:cs="Arial" w:eastAsia="Arial" w:hAnsi="Arial"/>
                <w:sz w:val="21"/>
                <w:szCs w:val="21"/>
                <w:color w:val="auto"/>
                <w:vertAlign w:val="superscript"/>
              </w:rPr>
              <w:t>(6)</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(1,700)</w:t>
            </w: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(996)</w:t>
            </w:r>
          </w:p>
        </w:tc>
      </w:tr>
      <w:tr>
        <w:trPr>
          <w:trHeight w:val="230"/>
        </w:trPr>
        <w:tc>
          <w:tcPr>
            <w:tcW w:w="6460" w:type="dxa"/>
            <w:vAlign w:val="bottom"/>
            <w:shd w:val="clear" w:color="auto" w:fill="F7F7F7"/>
          </w:tcPr>
          <w:p>
            <w:pPr>
              <w:ind w:left="240"/>
              <w:spacing w:after="0" w:line="230" w:lineRule="exact"/>
              <w:rPr>
                <w:sz w:val="20"/>
                <w:szCs w:val="20"/>
                <w:color w:val="auto"/>
              </w:rPr>
            </w:pPr>
            <w:r>
              <w:rPr>
                <w:rFonts w:ascii="Arial" w:cs="Arial" w:eastAsia="Arial" w:hAnsi="Arial"/>
                <w:sz w:val="16"/>
                <w:szCs w:val="16"/>
                <w:color w:val="auto"/>
              </w:rPr>
              <w:t>Repayments and sales of loans and merchant cash advances</w:t>
            </w:r>
            <w:r>
              <w:rPr>
                <w:rFonts w:ascii="Arial" w:cs="Arial" w:eastAsia="Arial" w:hAnsi="Arial"/>
                <w:sz w:val="21"/>
                <w:szCs w:val="21"/>
                <w:color w:val="auto"/>
                <w:vertAlign w:val="superscript"/>
              </w:rPr>
              <w:t>(6)</w:t>
            </w:r>
          </w:p>
        </w:tc>
        <w:tc>
          <w:tcPr>
            <w:tcW w:w="26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1,471</w:t>
            </w:r>
          </w:p>
        </w:tc>
        <w:tc>
          <w:tcPr>
            <w:tcW w:w="21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849</w:t>
            </w:r>
          </w:p>
        </w:tc>
      </w:tr>
      <w:tr>
        <w:trPr>
          <w:trHeight w:val="228"/>
        </w:trPr>
        <w:tc>
          <w:tcPr>
            <w:tcW w:w="6460" w:type="dxa"/>
            <w:vAlign w:val="bottom"/>
          </w:tcPr>
          <w:p>
            <w:pPr>
              <w:ind w:left="240"/>
              <w:spacing w:after="0"/>
              <w:rPr>
                <w:sz w:val="20"/>
                <w:szCs w:val="20"/>
                <w:color w:val="auto"/>
              </w:rPr>
            </w:pPr>
            <w:r>
              <w:rPr>
                <w:rFonts w:ascii="Arial" w:cs="Arial" w:eastAsia="Arial" w:hAnsi="Arial"/>
                <w:sz w:val="16"/>
                <w:szCs w:val="16"/>
                <w:color w:val="auto"/>
              </w:rPr>
              <w:t>Purchases of equity and other investments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(161)</w:t>
            </w: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(8)</w:t>
            </w:r>
          </w:p>
        </w:tc>
      </w:tr>
      <w:tr>
        <w:trPr>
          <w:trHeight w:val="231"/>
        </w:trPr>
        <w:tc>
          <w:tcPr>
            <w:tcW w:w="64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Acquisition of business, net of cash acquired</w:t>
            </w:r>
          </w:p>
        </w:tc>
        <w:tc>
          <w:tcPr>
            <w:tcW w:w="26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(5)</w:t>
            </w:r>
          </w:p>
        </w:tc>
        <w:tc>
          <w:tcPr>
            <w:tcW w:w="21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w:t>
            </w:r>
          </w:p>
        </w:tc>
      </w:tr>
      <w:tr>
        <w:trPr>
          <w:trHeight w:val="228"/>
        </w:trPr>
        <w:tc>
          <w:tcPr>
            <w:tcW w:w="6460" w:type="dxa"/>
            <w:vAlign w:val="bottom"/>
            <w:tcBorders>
              <w:bottom w:val="single" w:sz="8" w:color="F7F7F7"/>
            </w:tcBorders>
          </w:tcPr>
          <w:p>
            <w:pPr>
              <w:ind w:left="240"/>
              <w:spacing w:after="0"/>
              <w:rPr>
                <w:sz w:val="20"/>
                <w:szCs w:val="20"/>
                <w:color w:val="auto"/>
              </w:rPr>
            </w:pPr>
            <w:r>
              <w:rPr>
                <w:rFonts w:ascii="Arial" w:cs="Arial" w:eastAsia="Arial" w:hAnsi="Arial"/>
                <w:sz w:val="16"/>
                <w:szCs w:val="16"/>
                <w:color w:val="auto"/>
              </w:rPr>
              <w:t>Acquisition of intangible assets</w:t>
            </w:r>
          </w:p>
        </w:tc>
        <w:tc>
          <w:tcPr>
            <w:tcW w:w="2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(99)</w:t>
            </w:r>
          </w:p>
        </w:tc>
        <w:tc>
          <w:tcPr>
            <w:tcW w:w="2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6460" w:type="dxa"/>
            <w:vAlign w:val="bottom"/>
            <w:tcBorders>
              <w:bottom w:val="single" w:sz="8" w:color="auto"/>
            </w:tcBorders>
            <w:shd w:val="clear" w:color="auto" w:fill="F7F7F7"/>
          </w:tcPr>
          <w:p>
            <w:pPr>
              <w:ind w:left="24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2660" w:type="dxa"/>
            <w:vAlign w:val="bottom"/>
            <w:tcBorders>
              <w:bottom w:val="single" w:sz="8" w:color="auto"/>
            </w:tcBorders>
            <w:shd w:val="clear" w:color="auto" w:fill="F7F7F7"/>
          </w:tcPr>
          <w:p>
            <w:pPr>
              <w:jc w:val="right"/>
              <w:ind w:right="419"/>
              <w:spacing w:after="0"/>
              <w:rPr>
                <w:sz w:val="20"/>
                <w:szCs w:val="20"/>
                <w:color w:val="auto"/>
              </w:rPr>
            </w:pPr>
            <w:r>
              <w:rPr>
                <w:rFonts w:ascii="Arial" w:cs="Arial" w:eastAsia="Arial" w:hAnsi="Arial"/>
                <w:sz w:val="16"/>
                <w:szCs w:val="16"/>
                <w:b w:val="1"/>
                <w:bCs w:val="1"/>
                <w:color w:val="auto"/>
              </w:rPr>
              <w:t>(60)</w:t>
            </w:r>
          </w:p>
        </w:tc>
        <w:tc>
          <w:tcPr>
            <w:tcW w:w="21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335</w:t>
            </w:r>
          </w:p>
        </w:tc>
      </w:tr>
      <w:tr>
        <w:trPr>
          <w:trHeight w:val="237"/>
        </w:trPr>
        <w:tc>
          <w:tcPr>
            <w:tcW w:w="6460" w:type="dxa"/>
            <w:vAlign w:val="bottom"/>
          </w:tcPr>
          <w:p>
            <w:pPr>
              <w:ind w:left="120"/>
              <w:spacing w:after="0"/>
              <w:rPr>
                <w:sz w:val="20"/>
                <w:szCs w:val="20"/>
                <w:color w:val="auto"/>
              </w:rPr>
            </w:pPr>
            <w:r>
              <w:rPr>
                <w:rFonts w:ascii="Arial" w:cs="Arial" w:eastAsia="Arial" w:hAnsi="Arial"/>
                <w:sz w:val="18"/>
                <w:szCs w:val="18"/>
                <w:b w:val="1"/>
                <w:bCs w:val="1"/>
                <w:color w:val="auto"/>
              </w:rPr>
              <w:t>Cash flows from financing activities</w:t>
            </w:r>
          </w:p>
        </w:tc>
        <w:tc>
          <w:tcPr>
            <w:tcW w:w="26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30"/>
        </w:trPr>
        <w:tc>
          <w:tcPr>
            <w:tcW w:w="64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Proceeds from the exercise of stock options</w:t>
            </w:r>
          </w:p>
        </w:tc>
        <w:tc>
          <w:tcPr>
            <w:tcW w:w="2660" w:type="dxa"/>
            <w:vAlign w:val="bottom"/>
            <w:shd w:val="clear" w:color="auto" w:fill="F7F7F7"/>
          </w:tcPr>
          <w:p>
            <w:pPr>
              <w:jc w:val="right"/>
              <w:ind w:right="419"/>
              <w:spacing w:after="0"/>
              <w:rPr>
                <w:sz w:val="20"/>
                <w:szCs w:val="20"/>
                <w:color w:val="auto"/>
              </w:rPr>
            </w:pPr>
            <w:r>
              <w:rPr>
                <w:rFonts w:ascii="Arial" w:cs="Arial" w:eastAsia="Arial" w:hAnsi="Arial"/>
                <w:sz w:val="16"/>
                <w:szCs w:val="16"/>
                <w:color w:val="auto"/>
              </w:rPr>
              <w:t>15</w:t>
            </w:r>
          </w:p>
        </w:tc>
        <w:tc>
          <w:tcPr>
            <w:tcW w:w="21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24</w:t>
            </w:r>
          </w:p>
        </w:tc>
      </w:tr>
      <w:tr>
        <w:trPr>
          <w:trHeight w:val="228"/>
        </w:trPr>
        <w:tc>
          <w:tcPr>
            <w:tcW w:w="6460" w:type="dxa"/>
            <w:vAlign w:val="bottom"/>
            <w:tcBorders>
              <w:bottom w:val="single" w:sz="8" w:color="F7F7F7"/>
            </w:tcBorders>
          </w:tcPr>
          <w:p>
            <w:pPr>
              <w:ind w:left="240"/>
              <w:spacing w:after="0"/>
              <w:rPr>
                <w:sz w:val="20"/>
                <w:szCs w:val="20"/>
                <w:color w:val="auto"/>
              </w:rPr>
            </w:pPr>
            <w:r>
              <w:rPr>
                <w:rFonts w:ascii="Arial" w:cs="Arial" w:eastAsia="Arial" w:hAnsi="Arial"/>
                <w:sz w:val="16"/>
                <w:szCs w:val="16"/>
                <w:color w:val="auto"/>
              </w:rPr>
              <w:t>Repurchases of common stock</w:t>
            </w:r>
          </w:p>
        </w:tc>
        <w:tc>
          <w:tcPr>
            <w:tcW w:w="2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(562)</w:t>
            </w:r>
          </w:p>
        </w:tc>
        <w:tc>
          <w:tcPr>
            <w:tcW w:w="2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6460" w:type="dxa"/>
            <w:vAlign w:val="bottom"/>
            <w:tcBorders>
              <w:bottom w:val="single" w:sz="8" w:color="auto"/>
            </w:tcBorders>
            <w:shd w:val="clear" w:color="auto" w:fill="F7F7F7"/>
          </w:tcPr>
          <w:p>
            <w:pPr>
              <w:ind w:left="24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660" w:type="dxa"/>
            <w:vAlign w:val="bottom"/>
            <w:tcBorders>
              <w:bottom w:val="single" w:sz="8" w:color="auto"/>
            </w:tcBorders>
            <w:shd w:val="clear" w:color="auto" w:fill="F7F7F7"/>
          </w:tcPr>
          <w:p>
            <w:pPr>
              <w:jc w:val="right"/>
              <w:ind w:right="419"/>
              <w:spacing w:after="0"/>
              <w:rPr>
                <w:sz w:val="20"/>
                <w:szCs w:val="20"/>
                <w:color w:val="auto"/>
              </w:rPr>
            </w:pPr>
            <w:r>
              <w:rPr>
                <w:rFonts w:ascii="Arial" w:cs="Arial" w:eastAsia="Arial" w:hAnsi="Arial"/>
                <w:sz w:val="16"/>
                <w:szCs w:val="16"/>
                <w:b w:val="1"/>
                <w:bCs w:val="1"/>
                <w:color w:val="auto"/>
              </w:rPr>
              <w:t>(547)</w:t>
            </w:r>
          </w:p>
        </w:tc>
        <w:tc>
          <w:tcPr>
            <w:tcW w:w="212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24</w:t>
            </w:r>
          </w:p>
        </w:tc>
      </w:tr>
    </w:tbl>
    <w:p>
      <w:pPr>
        <w:spacing w:after="0" w:line="7"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120"/>
        <w:spacing w:after="0"/>
        <w:rPr>
          <w:sz w:val="20"/>
          <w:szCs w:val="20"/>
          <w:color w:val="auto"/>
        </w:rPr>
      </w:pPr>
      <w:r>
        <w:rPr>
          <w:rFonts w:ascii="Arial" w:cs="Arial" w:eastAsia="Arial" w:hAnsi="Arial"/>
          <w:sz w:val="16"/>
          <w:szCs w:val="16"/>
          <w:color w:val="auto"/>
        </w:rPr>
        <w:t>Effect of foreign exchange on cash,</w:t>
      </w:r>
    </w:p>
    <w:p>
      <w:pPr>
        <w:ind w:left="120"/>
        <w:spacing w:after="0"/>
        <w:rPr>
          <w:sz w:val="20"/>
          <w:szCs w:val="20"/>
          <w:color w:val="auto"/>
        </w:rPr>
      </w:pPr>
      <w:r>
        <w:rPr>
          <w:rFonts w:ascii="Arial" w:cs="Arial" w:eastAsia="Arial" w:hAnsi="Arial"/>
          <w:sz w:val="16"/>
          <w:szCs w:val="16"/>
          <w:color w:val="auto"/>
        </w:rPr>
        <w:t>cash equivalents and restricted cash</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Net increase in cash, cash</w:t>
      </w:r>
    </w:p>
    <w:p>
      <w:pPr>
        <w:ind w:left="120"/>
        <w:spacing w:after="0"/>
        <w:rPr>
          <w:sz w:val="20"/>
          <w:szCs w:val="20"/>
          <w:color w:val="auto"/>
        </w:rPr>
      </w:pPr>
      <w:r>
        <w:rPr>
          <w:rFonts w:ascii="Arial" w:cs="Arial" w:eastAsia="Arial" w:hAnsi="Arial"/>
          <w:sz w:val="16"/>
          <w:szCs w:val="16"/>
          <w:b w:val="1"/>
          <w:bCs w:val="1"/>
          <w:color w:val="auto"/>
        </w:rPr>
        <w:t>equivalents and restricted cash</w:t>
      </w:r>
    </w:p>
    <w:p>
      <w:pPr>
        <w:spacing w:after="0" w:line="30" w:lineRule="exact"/>
        <w:rPr>
          <w:sz w:val="20"/>
          <w:szCs w:val="20"/>
          <w:color w:val="auto"/>
        </w:rPr>
      </w:pPr>
    </w:p>
    <w:p>
      <w:pPr>
        <w:ind w:left="120" w:right="980"/>
        <w:spacing w:after="0" w:line="349" w:lineRule="auto"/>
        <w:rPr>
          <w:sz w:val="20"/>
          <w:szCs w:val="20"/>
          <w:color w:val="auto"/>
        </w:rPr>
      </w:pPr>
      <w:r>
        <w:rPr>
          <w:rFonts w:ascii="Arial" w:cs="Arial" w:eastAsia="Arial" w:hAnsi="Arial"/>
          <w:sz w:val="16"/>
          <w:szCs w:val="16"/>
          <w:color w:val="auto"/>
        </w:rPr>
        <w:t xml:space="preserve">Cash, cash equivalents and restricted cash – beginning of period </w:t>
      </w:r>
      <w:r>
        <w:rPr>
          <w:rFonts w:ascii="Arial" w:cs="Arial" w:eastAsia="Arial" w:hAnsi="Arial"/>
          <w:sz w:val="16"/>
          <w:szCs w:val="16"/>
          <w:b w:val="1"/>
          <w:bCs w:val="1"/>
          <w:color w:val="auto"/>
        </w:rPr>
        <w:t>Cash, cash equivalents and restricted cash – end of period</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jc w:val="right"/>
              <w:ind w:right="959"/>
              <w:spacing w:after="0"/>
              <w:rPr>
                <w:sz w:val="20"/>
                <w:szCs w:val="20"/>
                <w:color w:val="auto"/>
              </w:rPr>
            </w:pPr>
            <w:r>
              <w:rPr>
                <w:rFonts w:ascii="Arial" w:cs="Arial" w:eastAsia="Arial" w:hAnsi="Arial"/>
                <w:sz w:val="16"/>
                <w:szCs w:val="16"/>
                <w:color w:val="auto"/>
              </w:rPr>
              <w:t>1</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99"/>
        </w:trPr>
        <w:tc>
          <w:tcPr>
            <w:tcW w:w="3200" w:type="dxa"/>
            <w:vAlign w:val="bottom"/>
          </w:tcPr>
          <w:p>
            <w:pPr>
              <w:jc w:val="right"/>
              <w:ind w:right="959"/>
              <w:spacing w:after="0"/>
              <w:rPr>
                <w:sz w:val="20"/>
                <w:szCs w:val="20"/>
                <w:color w:val="auto"/>
              </w:rPr>
            </w:pPr>
            <w:r>
              <w:rPr>
                <w:rFonts w:ascii="Arial" w:cs="Arial" w:eastAsia="Arial" w:hAnsi="Arial"/>
                <w:sz w:val="16"/>
                <w:szCs w:val="16"/>
                <w:b w:val="1"/>
                <w:bCs w:val="1"/>
                <w:color w:val="auto"/>
              </w:rPr>
              <w:t>212</w:t>
            </w:r>
          </w:p>
        </w:tc>
        <w:tc>
          <w:tcPr>
            <w:tcW w:w="1580" w:type="dxa"/>
            <w:vAlign w:val="bottom"/>
          </w:tcPr>
          <w:p>
            <w:pPr>
              <w:jc w:val="right"/>
              <w:ind w:right="59"/>
              <w:spacing w:after="0"/>
              <w:rPr>
                <w:sz w:val="20"/>
                <w:szCs w:val="20"/>
                <w:color w:val="auto"/>
              </w:rPr>
            </w:pPr>
            <w:r>
              <w:rPr>
                <w:rFonts w:ascii="Arial" w:cs="Arial" w:eastAsia="Arial" w:hAnsi="Arial"/>
                <w:sz w:val="16"/>
                <w:szCs w:val="16"/>
                <w:b w:val="1"/>
                <w:bCs w:val="1"/>
                <w:color w:val="auto"/>
              </w:rPr>
              <w:t>872</w:t>
            </w:r>
          </w:p>
        </w:tc>
      </w:tr>
      <w:tr>
        <w:trPr>
          <w:trHeight w:val="304"/>
        </w:trPr>
        <w:tc>
          <w:tcPr>
            <w:tcW w:w="320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1,656</w:t>
            </w: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1,542</w:t>
            </w:r>
          </w:p>
        </w:tc>
      </w:tr>
      <w:tr>
        <w:trPr>
          <w:trHeight w:val="230"/>
        </w:trPr>
        <w:tc>
          <w:tcPr>
            <w:tcW w:w="3200" w:type="dxa"/>
            <w:vAlign w:val="bottom"/>
          </w:tcPr>
          <w:p>
            <w:pPr>
              <w:jc w:val="right"/>
              <w:ind w:right="959"/>
              <w:spacing w:after="0"/>
              <w:rPr>
                <w:sz w:val="20"/>
                <w:szCs w:val="20"/>
                <w:color w:val="auto"/>
              </w:rPr>
            </w:pPr>
            <w:r>
              <w:rPr>
                <w:rFonts w:ascii="Arial" w:cs="Arial" w:eastAsia="Arial" w:hAnsi="Arial"/>
                <w:sz w:val="16"/>
                <w:szCs w:val="16"/>
                <w:b w:val="1"/>
                <w:bCs w:val="1"/>
                <w:color w:val="auto"/>
              </w:rPr>
              <w:t>1,868</w:t>
            </w:r>
          </w:p>
        </w:tc>
        <w:tc>
          <w:tcPr>
            <w:tcW w:w="1580" w:type="dxa"/>
            <w:vAlign w:val="bottom"/>
          </w:tcPr>
          <w:p>
            <w:pPr>
              <w:jc w:val="right"/>
              <w:ind w:right="59"/>
              <w:spacing w:after="0"/>
              <w:rPr>
                <w:sz w:val="20"/>
                <w:szCs w:val="20"/>
                <w:color w:val="auto"/>
              </w:rPr>
            </w:pPr>
            <w:r>
              <w:rPr>
                <w:rFonts w:ascii="Arial" w:cs="Arial" w:eastAsia="Arial" w:hAnsi="Arial"/>
                <w:sz w:val="16"/>
                <w:szCs w:val="16"/>
                <w:b w:val="1"/>
                <w:bCs w:val="1"/>
                <w:color w:val="auto"/>
              </w:rPr>
              <w:t>2,414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-4096385</wp:posOffset>
            </wp:positionH>
            <wp:positionV relativeFrom="paragraph">
              <wp:posOffset>-551815</wp:posOffset>
            </wp:positionV>
            <wp:extent cx="7132320" cy="248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-157480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5740" w:space="720"/>
            <w:col w:w="4780"/>
          </w:cols>
          <w:pgMar w:left="320" w:top="1440" w:right="339" w:bottom="1440" w:gutter="0" w:footer="0" w:header="0"/>
          <w:type w:val="continuous"/>
        </w:sectPr>
      </w:pPr>
    </w:p>
    <w:p>
      <w:pPr>
        <w:ind w:right="260" w:firstLine="8"/>
        <w:spacing w:after="0"/>
        <w:tabs>
          <w:tab w:leader="none" w:pos="115" w:val="left"/>
        </w:tabs>
        <w:numPr>
          <w:ilvl w:val="0"/>
          <w:numId w:val="6"/>
        </w:numPr>
        <w:rPr>
          <w:rFonts w:ascii="Arial" w:cs="Arial" w:eastAsia="Arial" w:hAnsi="Arial"/>
          <w:sz w:val="13"/>
          <w:szCs w:val="13"/>
          <w:color w:val="6D6D6D"/>
          <w:vertAlign w:val="superscript"/>
        </w:rPr>
      </w:pPr>
      <w:r>
        <w:rPr>
          <w:rFonts w:ascii="Arial" w:cs="Arial" w:eastAsia="Arial" w:hAnsi="Arial"/>
          <w:sz w:val="10"/>
          <w:szCs w:val="10"/>
          <w:color w:val="6D6D6D"/>
        </w:rPr>
        <w:t>Starting in April 2026, the cash flows associated with merchant cash advances are presented within investing cash flows rather than operating cash flows on a basis consistent with loans, given the similar nature of the underlying lending activities. For the three months ended September 30, 2026, the changes described above resulted in a net cash use of $30 million presented in investing activities after consideration of repayments and purchases and originations.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6"/>
          <w:szCs w:val="16"/>
          <w:color w:val="6D6D6D"/>
        </w:rPr>
        <w:t>5</w:t>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6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6865"/>
                    </a:xfrm>
                    <a:prstGeom prst="rect">
                      <a:avLst/>
                    </a:prstGeom>
                    <a:noFill/>
                  </pic:spPr>
                </pic:pic>
              </a:graphicData>
            </a:graphic>
          </wp:anchor>
        </w:drawing>
      </w:r>
    </w:p>
    <w:p>
      <w:pPr>
        <w:ind w:left="80"/>
        <w:spacing w:after="0"/>
        <w:rPr>
          <w:sz w:val="20"/>
          <w:szCs w:val="20"/>
          <w:color w:val="auto"/>
        </w:rPr>
      </w:pPr>
      <w:r>
        <w:rPr>
          <w:rFonts w:ascii="Arial" w:cs="Arial" w:eastAsia="Arial" w:hAnsi="Arial"/>
          <w:sz w:val="20"/>
          <w:szCs w:val="20"/>
          <w:b w:val="1"/>
          <w:bCs w:val="1"/>
          <w:color w:val="auto"/>
        </w:rPr>
        <w:t>Reconciliation of Non-GAAP Financial Measures</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Free Cash Flow Reconciliation</w:t>
      </w:r>
    </w:p>
    <w:p>
      <w:pPr>
        <w:spacing w:after="0" w:line="33" w:lineRule="exact"/>
        <w:rPr>
          <w:sz w:val="20"/>
          <w:szCs w:val="20"/>
          <w:color w:val="auto"/>
        </w:rPr>
      </w:pPr>
    </w:p>
    <w:p>
      <w:pPr>
        <w:ind w:left="80"/>
        <w:spacing w:after="0"/>
        <w:rPr>
          <w:sz w:val="20"/>
          <w:szCs w:val="20"/>
          <w:color w:val="auto"/>
        </w:rPr>
      </w:pPr>
      <w:r>
        <w:rPr>
          <w:rFonts w:ascii="Arial" w:cs="Arial" w:eastAsia="Arial" w:hAnsi="Arial"/>
          <w:sz w:val="14"/>
          <w:szCs w:val="14"/>
          <w:color w:val="auto"/>
        </w:rPr>
        <w:t>(In US $ millions, except percentages)</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280" w:type="dxa"/>
            <w:vAlign w:val="bottom"/>
          </w:tcPr>
          <w:p>
            <w:pPr>
              <w:spacing w:after="0"/>
              <w:rPr>
                <w:sz w:val="20"/>
                <w:szCs w:val="20"/>
                <w:color w:val="auto"/>
              </w:rPr>
            </w:pPr>
            <w:r>
              <w:rPr>
                <w:rFonts w:ascii="Arial" w:cs="Arial" w:eastAsia="Arial" w:hAnsi="Arial"/>
                <w:sz w:val="16"/>
                <w:szCs w:val="16"/>
                <w:color w:val="auto"/>
              </w:rPr>
              <w:t>The following table illustrates how free cash flow is calculated in this press release:</w:t>
            </w:r>
          </w:p>
        </w:tc>
        <w:tc>
          <w:tcPr>
            <w:tcW w:w="3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6280" w:type="dxa"/>
            <w:vAlign w:val="bottom"/>
          </w:tcPr>
          <w:p>
            <w:pPr>
              <w:spacing w:after="0"/>
              <w:rPr>
                <w:sz w:val="24"/>
                <w:szCs w:val="24"/>
                <w:color w:val="auto"/>
              </w:rPr>
            </w:pP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September 30, 2026</w:t>
            </w: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2025</w:t>
            </w:r>
          </w:p>
        </w:tc>
        <w:tc>
          <w:tcPr>
            <w:tcW w:w="0" w:type="dxa"/>
            <w:vAlign w:val="bottom"/>
          </w:tcPr>
          <w:p>
            <w:pPr>
              <w:spacing w:after="0"/>
              <w:rPr>
                <w:sz w:val="1"/>
                <w:szCs w:val="1"/>
                <w:color w:val="auto"/>
              </w:rPr>
            </w:pPr>
          </w:p>
        </w:tc>
      </w:tr>
      <w:tr>
        <w:trPr>
          <w:trHeight w:val="169"/>
        </w:trPr>
        <w:tc>
          <w:tcPr>
            <w:tcW w:w="6280" w:type="dxa"/>
            <w:vAlign w:val="bottom"/>
            <w:shd w:val="clear" w:color="auto" w:fill="F7F7F7"/>
          </w:tcPr>
          <w:p>
            <w:pPr>
              <w:ind w:left="20"/>
              <w:spacing w:after="0" w:line="169" w:lineRule="exact"/>
              <w:rPr>
                <w:sz w:val="20"/>
                <w:szCs w:val="20"/>
                <w:color w:val="auto"/>
              </w:rPr>
            </w:pPr>
            <w:r>
              <w:rPr>
                <w:rFonts w:ascii="Arial" w:cs="Arial" w:eastAsia="Arial" w:hAnsi="Arial"/>
                <w:sz w:val="16"/>
                <w:szCs w:val="16"/>
                <w:color w:val="auto"/>
              </w:rPr>
              <w:t>Net cash provided by operating</w:t>
            </w:r>
          </w:p>
        </w:tc>
        <w:tc>
          <w:tcPr>
            <w:tcW w:w="3300" w:type="dxa"/>
            <w:vAlign w:val="bottom"/>
            <w:vMerge w:val="restart"/>
            <w:shd w:val="clear" w:color="auto" w:fill="F7F7F7"/>
          </w:tcPr>
          <w:p>
            <w:pPr>
              <w:jc w:val="right"/>
              <w:ind w:right="1039"/>
              <w:spacing w:after="0"/>
              <w:rPr>
                <w:sz w:val="20"/>
                <w:szCs w:val="20"/>
                <w:color w:val="auto"/>
              </w:rPr>
            </w:pPr>
            <w:r>
              <w:rPr>
                <w:rFonts w:ascii="Arial" w:cs="Arial" w:eastAsia="Arial" w:hAnsi="Arial"/>
                <w:sz w:val="16"/>
                <w:szCs w:val="16"/>
                <w:color w:val="auto"/>
              </w:rPr>
              <w:t>818</w:t>
            </w:r>
          </w:p>
        </w:tc>
        <w:tc>
          <w:tcPr>
            <w:tcW w:w="1660" w:type="dxa"/>
            <w:vAlign w:val="bottom"/>
            <w:vMerge w:val="restart"/>
            <w:shd w:val="clear" w:color="auto" w:fill="F7F7F7"/>
          </w:tcPr>
          <w:p>
            <w:pPr>
              <w:jc w:val="right"/>
              <w:ind w:right="1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133"/>
        </w:trPr>
        <w:tc>
          <w:tcPr>
            <w:tcW w:w="6280" w:type="dxa"/>
            <w:vAlign w:val="bottom"/>
            <w:vMerge w:val="restart"/>
            <w:shd w:val="clear" w:color="auto" w:fill="F7F7F7"/>
          </w:tcPr>
          <w:p>
            <w:pPr>
              <w:ind w:left="20"/>
              <w:spacing w:after="0"/>
              <w:rPr>
                <w:sz w:val="20"/>
                <w:szCs w:val="20"/>
                <w:color w:val="auto"/>
              </w:rPr>
            </w:pPr>
            <w:r>
              <w:rPr>
                <w:rFonts w:ascii="Arial" w:cs="Arial" w:eastAsia="Arial" w:hAnsi="Arial"/>
                <w:sz w:val="16"/>
                <w:szCs w:val="16"/>
                <w:color w:val="auto"/>
              </w:rPr>
              <w:t>activities</w:t>
            </w:r>
          </w:p>
        </w:tc>
        <w:tc>
          <w:tcPr>
            <w:tcW w:w="3300" w:type="dxa"/>
            <w:vAlign w:val="bottom"/>
            <w:vMerge w:val="continue"/>
            <w:shd w:val="clear" w:color="auto" w:fill="F7F7F7"/>
          </w:tcPr>
          <w:p>
            <w:pPr>
              <w:spacing w:after="0"/>
              <w:rPr>
                <w:sz w:val="11"/>
                <w:szCs w:val="11"/>
                <w:color w:val="auto"/>
              </w:rPr>
            </w:pPr>
          </w:p>
        </w:tc>
        <w:tc>
          <w:tcPr>
            <w:tcW w:w="1660" w:type="dxa"/>
            <w:vAlign w:val="bottom"/>
            <w:vMerge w:val="continue"/>
            <w:shd w:val="clear" w:color="auto" w:fill="F7F7F7"/>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6280" w:type="dxa"/>
            <w:vAlign w:val="bottom"/>
            <w:vMerge w:val="continue"/>
            <w:shd w:val="clear" w:color="auto" w:fill="F7F7F7"/>
          </w:tcPr>
          <w:p>
            <w:pPr>
              <w:spacing w:after="0"/>
              <w:rPr>
                <w:sz w:val="7"/>
                <w:szCs w:val="7"/>
                <w:color w:val="auto"/>
              </w:rPr>
            </w:pPr>
          </w:p>
        </w:tc>
        <w:tc>
          <w:tcPr>
            <w:tcW w:w="3300" w:type="dxa"/>
            <w:vAlign w:val="bottom"/>
            <w:shd w:val="clear" w:color="auto" w:fill="F7F7F7"/>
          </w:tcPr>
          <w:p>
            <w:pPr>
              <w:spacing w:after="0"/>
              <w:rPr>
                <w:sz w:val="7"/>
                <w:szCs w:val="7"/>
                <w:color w:val="auto"/>
              </w:rPr>
            </w:pPr>
          </w:p>
        </w:tc>
        <w:tc>
          <w:tcPr>
            <w:tcW w:w="1660" w:type="dxa"/>
            <w:vAlign w:val="bottom"/>
            <w:shd w:val="clear" w:color="auto" w:fill="F7F7F7"/>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360"/>
              <w:spacing w:after="0" w:line="230" w:lineRule="exact"/>
              <w:rPr>
                <w:sz w:val="20"/>
                <w:szCs w:val="20"/>
                <w:color w:val="auto"/>
              </w:rPr>
            </w:pPr>
            <w:r>
              <w:rPr>
                <w:rFonts w:ascii="Arial" w:cs="Arial" w:eastAsia="Arial" w:hAnsi="Arial"/>
                <w:sz w:val="16"/>
                <w:szCs w:val="16"/>
                <w:color w:val="auto"/>
              </w:rPr>
              <w:t>less: capital expenditures</w:t>
            </w:r>
            <w:r>
              <w:rPr>
                <w:rFonts w:ascii="Arial" w:cs="Arial" w:eastAsia="Arial" w:hAnsi="Arial"/>
                <w:sz w:val="21"/>
                <w:szCs w:val="21"/>
                <w:color w:val="auto"/>
                <w:vertAlign w:val="superscript"/>
              </w:rPr>
              <w:t>(7)</w:t>
            </w:r>
          </w:p>
        </w:tc>
        <w:tc>
          <w:tcPr>
            <w:tcW w:w="3300" w:type="dxa"/>
            <w:vAlign w:val="bottom"/>
          </w:tcPr>
          <w:p>
            <w:pPr>
              <w:jc w:val="right"/>
              <w:ind w:right="999"/>
              <w:spacing w:after="0"/>
              <w:rPr>
                <w:sz w:val="20"/>
                <w:szCs w:val="20"/>
                <w:color w:val="auto"/>
              </w:rPr>
            </w:pPr>
            <w:r>
              <w:rPr>
                <w:rFonts w:ascii="Arial" w:cs="Arial" w:eastAsia="Arial" w:hAnsi="Arial"/>
                <w:sz w:val="16"/>
                <w:szCs w:val="16"/>
                <w:color w:val="auto"/>
              </w:rPr>
              <w:t>(2)</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8"/>
        </w:trPr>
        <w:tc>
          <w:tcPr>
            <w:tcW w:w="6280" w:type="dxa"/>
            <w:vAlign w:val="bottom"/>
            <w:shd w:val="clear" w:color="auto" w:fill="F7F7F7"/>
          </w:tcPr>
          <w:p>
            <w:pPr>
              <w:ind w:left="20"/>
              <w:spacing w:after="0"/>
              <w:rPr>
                <w:sz w:val="20"/>
                <w:szCs w:val="20"/>
                <w:color w:val="auto"/>
              </w:rPr>
            </w:pPr>
            <w:r>
              <w:rPr>
                <w:rFonts w:ascii="Arial" w:cs="Arial" w:eastAsia="Arial" w:hAnsi="Arial"/>
                <w:sz w:val="16"/>
                <w:szCs w:val="16"/>
                <w:color w:val="auto"/>
              </w:rPr>
              <w:t>Free cash flow</w:t>
            </w:r>
          </w:p>
        </w:tc>
        <w:tc>
          <w:tcPr>
            <w:tcW w:w="3300" w:type="dxa"/>
            <w:vAlign w:val="bottom"/>
            <w:tcBorders>
              <w:bottom w:val="single" w:sz="8" w:color="auto"/>
            </w:tcBorders>
            <w:shd w:val="clear" w:color="auto" w:fill="F7F7F7"/>
          </w:tcPr>
          <w:p>
            <w:pPr>
              <w:jc w:val="right"/>
              <w:ind w:right="1039"/>
              <w:spacing w:after="0"/>
              <w:rPr>
                <w:sz w:val="20"/>
                <w:szCs w:val="20"/>
                <w:color w:val="auto"/>
              </w:rPr>
            </w:pPr>
            <w:r>
              <w:rPr>
                <w:rFonts w:ascii="Arial" w:cs="Arial" w:eastAsia="Arial" w:hAnsi="Arial"/>
                <w:sz w:val="16"/>
                <w:szCs w:val="16"/>
                <w:color w:val="auto"/>
              </w:rPr>
              <w:t>816</w:t>
            </w:r>
          </w:p>
        </w:tc>
        <w:tc>
          <w:tcPr>
            <w:tcW w:w="1660" w:type="dxa"/>
            <w:vAlign w:val="bottom"/>
            <w:tcBorders>
              <w:bottom w:val="single" w:sz="8" w:color="auto"/>
            </w:tcBorders>
            <w:shd w:val="clear" w:color="auto" w:fill="F7F7F7"/>
          </w:tcPr>
          <w:p>
            <w:pPr>
              <w:jc w:val="right"/>
              <w:ind w:right="119"/>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Revenue</w:t>
            </w:r>
          </w:p>
        </w:tc>
        <w:tc>
          <w:tcPr>
            <w:tcW w:w="330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rPr>
              <w:t>3,742</w:t>
            </w: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2,844</w:t>
            </w:r>
          </w:p>
        </w:tc>
        <w:tc>
          <w:tcPr>
            <w:tcW w:w="0" w:type="dxa"/>
            <w:vAlign w:val="bottom"/>
          </w:tcPr>
          <w:p>
            <w:pPr>
              <w:spacing w:after="0"/>
              <w:rPr>
                <w:sz w:val="1"/>
                <w:szCs w:val="1"/>
                <w:color w:val="auto"/>
              </w:rPr>
            </w:pPr>
          </w:p>
        </w:tc>
      </w:tr>
      <w:tr>
        <w:trPr>
          <w:trHeight w:val="224"/>
        </w:trPr>
        <w:tc>
          <w:tcPr>
            <w:tcW w:w="6280" w:type="dxa"/>
            <w:vAlign w:val="bottom"/>
            <w:shd w:val="clear" w:color="auto" w:fill="F7F7F7"/>
          </w:tcPr>
          <w:p>
            <w:pPr>
              <w:ind w:left="20"/>
              <w:spacing w:after="0"/>
              <w:rPr>
                <w:sz w:val="20"/>
                <w:szCs w:val="20"/>
                <w:color w:val="auto"/>
              </w:rPr>
            </w:pPr>
            <w:r>
              <w:rPr>
                <w:rFonts w:ascii="Arial" w:cs="Arial" w:eastAsia="Arial" w:hAnsi="Arial"/>
                <w:sz w:val="16"/>
                <w:szCs w:val="16"/>
                <w:color w:val="auto"/>
              </w:rPr>
              <w:t>Free cash flow margin</w:t>
            </w:r>
          </w:p>
        </w:tc>
        <w:tc>
          <w:tcPr>
            <w:tcW w:w="3300" w:type="dxa"/>
            <w:vAlign w:val="bottom"/>
            <w:shd w:val="clear" w:color="auto" w:fill="F7F7F7"/>
          </w:tcPr>
          <w:p>
            <w:pPr>
              <w:jc w:val="right"/>
              <w:ind w:right="859"/>
              <w:spacing w:after="0"/>
              <w:rPr>
                <w:sz w:val="20"/>
                <w:szCs w:val="20"/>
                <w:color w:val="auto"/>
              </w:rPr>
            </w:pPr>
            <w:r>
              <w:rPr>
                <w:rFonts w:ascii="Arial" w:cs="Arial" w:eastAsia="Arial" w:hAnsi="Arial"/>
                <w:sz w:val="16"/>
                <w:szCs w:val="16"/>
                <w:color w:val="auto"/>
              </w:rPr>
              <w:t>22%</w:t>
            </w:r>
          </w:p>
        </w:tc>
        <w:tc>
          <w:tcPr>
            <w:tcW w:w="166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80" w:right="5200"/>
        <w:spacing w:after="0" w:line="242" w:lineRule="auto"/>
        <w:rPr>
          <w:sz w:val="20"/>
          <w:szCs w:val="20"/>
          <w:color w:val="auto"/>
        </w:rPr>
      </w:pPr>
      <w:r>
        <w:rPr>
          <w:rFonts w:ascii="Arial" w:cs="Arial" w:eastAsia="Arial" w:hAnsi="Arial"/>
          <w:sz w:val="18"/>
          <w:szCs w:val="18"/>
          <w:b w:val="1"/>
          <w:bCs w:val="1"/>
          <w:color w:val="auto"/>
        </w:rPr>
        <w:t xml:space="preserve">Net Income Excluding the Impact of Equity Investments Reconciliation </w:t>
      </w:r>
      <w:r>
        <w:rPr>
          <w:rFonts w:ascii="Arial" w:cs="Arial" w:eastAsia="Arial" w:hAnsi="Arial"/>
          <w:sz w:val="14"/>
          <w:szCs w:val="14"/>
          <w:color w:val="auto"/>
        </w:rPr>
        <w:t>(In US $ millions)</w:t>
      </w:r>
    </w:p>
    <w:p>
      <w:pPr>
        <w:spacing w:after="0" w:line="15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9220" w:type="dxa"/>
            <w:vAlign w:val="bottom"/>
            <w:gridSpan w:val="2"/>
          </w:tcPr>
          <w:p>
            <w:pPr>
              <w:spacing w:after="0"/>
              <w:rPr>
                <w:sz w:val="20"/>
                <w:szCs w:val="20"/>
                <w:color w:val="auto"/>
              </w:rPr>
            </w:pPr>
            <w:r>
              <w:rPr>
                <w:rFonts w:ascii="Arial" w:cs="Arial" w:eastAsia="Arial" w:hAnsi="Arial"/>
                <w:sz w:val="16"/>
                <w:szCs w:val="16"/>
                <w:color w:val="auto"/>
              </w:rPr>
              <w:t>The following table illustrates how Net income excluding the impact of equity investments is calculated in this press release:</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460" w:type="dxa"/>
            <w:vAlign w:val="bottom"/>
          </w:tcPr>
          <w:p>
            <w:pPr>
              <w:spacing w:after="0"/>
              <w:rPr>
                <w:sz w:val="21"/>
                <w:szCs w:val="21"/>
                <w:color w:val="auto"/>
              </w:rPr>
            </w:pPr>
          </w:p>
        </w:tc>
        <w:tc>
          <w:tcPr>
            <w:tcW w:w="4780" w:type="dxa"/>
            <w:vAlign w:val="bottom"/>
            <w:tcBorders>
              <w:bottom w:val="single" w:sz="8" w:color="auto"/>
            </w:tcBorders>
            <w:gridSpan w:val="2"/>
          </w:tcPr>
          <w:p>
            <w:pPr>
              <w:jc w:val="right"/>
              <w:ind w:right="15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September 30, 2026</w:t>
            </w:r>
          </w:p>
        </w:tc>
        <w:tc>
          <w:tcPr>
            <w:tcW w:w="2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2025</w:t>
            </w:r>
          </w:p>
        </w:tc>
        <w:tc>
          <w:tcPr>
            <w:tcW w:w="0" w:type="dxa"/>
            <w:vAlign w:val="bottom"/>
          </w:tcPr>
          <w:p>
            <w:pPr>
              <w:spacing w:after="0"/>
              <w:rPr>
                <w:sz w:val="1"/>
                <w:szCs w:val="1"/>
                <w:color w:val="auto"/>
              </w:rPr>
            </w:pPr>
          </w:p>
        </w:tc>
      </w:tr>
      <w:tr>
        <w:trPr>
          <w:trHeight w:val="223"/>
        </w:trPr>
        <w:tc>
          <w:tcPr>
            <w:tcW w:w="6460" w:type="dxa"/>
            <w:vAlign w:val="bottom"/>
            <w:shd w:val="clear" w:color="auto" w:fill="F7F7F7"/>
          </w:tcPr>
          <w:p>
            <w:pPr>
              <w:ind w:left="20"/>
              <w:spacing w:after="0"/>
              <w:rPr>
                <w:sz w:val="20"/>
                <w:szCs w:val="20"/>
                <w:color w:val="auto"/>
              </w:rPr>
            </w:pPr>
            <w:r>
              <w:rPr>
                <w:rFonts w:ascii="Arial" w:cs="Arial" w:eastAsia="Arial" w:hAnsi="Arial"/>
                <w:sz w:val="16"/>
                <w:szCs w:val="16"/>
                <w:color w:val="auto"/>
              </w:rPr>
              <w:t>Net Income</w:t>
            </w:r>
          </w:p>
        </w:tc>
        <w:tc>
          <w:tcPr>
            <w:tcW w:w="2760" w:type="dxa"/>
            <w:vAlign w:val="bottom"/>
            <w:shd w:val="clear" w:color="auto" w:fill="F7F7F7"/>
          </w:tcPr>
          <w:p>
            <w:pPr>
              <w:jc w:val="right"/>
              <w:ind w:right="519"/>
              <w:spacing w:after="0"/>
              <w:rPr>
                <w:sz w:val="20"/>
                <w:szCs w:val="20"/>
                <w:color w:val="auto"/>
              </w:rPr>
            </w:pPr>
            <w:r>
              <w:rPr>
                <w:rFonts w:ascii="Arial" w:cs="Arial" w:eastAsia="Arial" w:hAnsi="Arial"/>
                <w:sz w:val="16"/>
                <w:szCs w:val="16"/>
                <w:color w:val="auto"/>
              </w:rPr>
              <w:t>462</w:t>
            </w:r>
          </w:p>
        </w:tc>
        <w:tc>
          <w:tcPr>
            <w:tcW w:w="202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75"/>
        </w:trPr>
        <w:tc>
          <w:tcPr>
            <w:tcW w:w="6460" w:type="dxa"/>
            <w:vAlign w:val="bottom"/>
          </w:tcPr>
          <w:p>
            <w:pPr>
              <w:ind w:left="360"/>
              <w:spacing w:after="0" w:line="175" w:lineRule="exact"/>
              <w:rPr>
                <w:sz w:val="20"/>
                <w:szCs w:val="20"/>
                <w:color w:val="auto"/>
              </w:rPr>
            </w:pPr>
            <w:r>
              <w:rPr>
                <w:rFonts w:ascii="Arial" w:cs="Arial" w:eastAsia="Arial" w:hAnsi="Arial"/>
                <w:sz w:val="16"/>
                <w:szCs w:val="16"/>
                <w:color w:val="auto"/>
              </w:rPr>
              <w:t>less: equity investments,</w:t>
            </w:r>
          </w:p>
        </w:tc>
        <w:tc>
          <w:tcPr>
            <w:tcW w:w="2760" w:type="dxa"/>
            <w:vAlign w:val="bottom"/>
            <w:vMerge w:val="restart"/>
          </w:tcPr>
          <w:p>
            <w:pPr>
              <w:jc w:val="right"/>
              <w:ind w:right="519"/>
              <w:spacing w:after="0"/>
              <w:rPr>
                <w:sz w:val="20"/>
                <w:szCs w:val="20"/>
                <w:color w:val="auto"/>
              </w:rPr>
            </w:pPr>
            <w:r>
              <w:rPr>
                <w:rFonts w:ascii="Arial" w:cs="Arial" w:eastAsia="Arial" w:hAnsi="Arial"/>
                <w:sz w:val="16"/>
                <w:szCs w:val="16"/>
                <w:color w:val="auto"/>
              </w:rPr>
              <w:t>(122)</w:t>
            </w:r>
          </w:p>
        </w:tc>
        <w:tc>
          <w:tcPr>
            <w:tcW w:w="2020" w:type="dxa"/>
            <w:vAlign w:val="bottom"/>
            <w:vMerge w:val="restart"/>
          </w:tcPr>
          <w:p>
            <w:pPr>
              <w:jc w:val="right"/>
              <w:ind w:right="5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33"/>
        </w:trPr>
        <w:tc>
          <w:tcPr>
            <w:tcW w:w="6460" w:type="dxa"/>
            <w:vAlign w:val="bottom"/>
            <w:vMerge w:val="restart"/>
          </w:tcPr>
          <w:p>
            <w:pPr>
              <w:ind w:left="360"/>
              <w:spacing w:after="0"/>
              <w:rPr>
                <w:sz w:val="20"/>
                <w:szCs w:val="20"/>
                <w:color w:val="auto"/>
              </w:rPr>
            </w:pPr>
            <w:r>
              <w:rPr>
                <w:rFonts w:ascii="Arial" w:cs="Arial" w:eastAsia="Arial" w:hAnsi="Arial"/>
                <w:sz w:val="16"/>
                <w:szCs w:val="16"/>
                <w:color w:val="auto"/>
              </w:rPr>
              <w:t>marked to market, net of taxes</w:t>
            </w:r>
          </w:p>
        </w:tc>
        <w:tc>
          <w:tcPr>
            <w:tcW w:w="2760" w:type="dxa"/>
            <w:vAlign w:val="bottom"/>
            <w:vMerge w:val="continue"/>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6460" w:type="dxa"/>
            <w:vAlign w:val="bottom"/>
            <w:tcBorders>
              <w:bottom w:val="single" w:sz="8" w:color="auto"/>
            </w:tcBorders>
            <w:vMerge w:val="continue"/>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6460" w:type="dxa"/>
            <w:vAlign w:val="bottom"/>
            <w:shd w:val="clear" w:color="auto" w:fill="F7F7F7"/>
          </w:tcPr>
          <w:p>
            <w:pPr>
              <w:ind w:left="20"/>
              <w:spacing w:after="0" w:line="170" w:lineRule="exact"/>
              <w:rPr>
                <w:sz w:val="20"/>
                <w:szCs w:val="20"/>
                <w:color w:val="auto"/>
              </w:rPr>
            </w:pPr>
            <w:r>
              <w:rPr>
                <w:rFonts w:ascii="Arial" w:cs="Arial" w:eastAsia="Arial" w:hAnsi="Arial"/>
                <w:sz w:val="16"/>
                <w:szCs w:val="16"/>
                <w:color w:val="auto"/>
              </w:rPr>
              <w:t>Net income</w:t>
            </w:r>
          </w:p>
        </w:tc>
        <w:tc>
          <w:tcPr>
            <w:tcW w:w="2760" w:type="dxa"/>
            <w:vAlign w:val="bottom"/>
            <w:vMerge w:val="restart"/>
            <w:shd w:val="clear" w:color="auto" w:fill="F7F7F7"/>
          </w:tcPr>
          <w:p>
            <w:pPr>
              <w:jc w:val="right"/>
              <w:ind w:right="519"/>
              <w:spacing w:after="0"/>
              <w:rPr>
                <w:sz w:val="20"/>
                <w:szCs w:val="20"/>
                <w:color w:val="auto"/>
              </w:rPr>
            </w:pPr>
            <w:r>
              <w:rPr>
                <w:rFonts w:ascii="Arial" w:cs="Arial" w:eastAsia="Arial" w:hAnsi="Arial"/>
                <w:sz w:val="16"/>
                <w:szCs w:val="16"/>
                <w:color w:val="auto"/>
              </w:rPr>
              <w:t>584</w:t>
            </w:r>
          </w:p>
        </w:tc>
        <w:tc>
          <w:tcPr>
            <w:tcW w:w="202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6"/>
        </w:trPr>
        <w:tc>
          <w:tcPr>
            <w:tcW w:w="6460" w:type="dxa"/>
            <w:vAlign w:val="bottom"/>
            <w:shd w:val="clear" w:color="auto" w:fill="F7F7F7"/>
          </w:tcPr>
          <w:p>
            <w:pPr>
              <w:ind w:left="20"/>
              <w:spacing w:after="0" w:line="216" w:lineRule="exact"/>
              <w:rPr>
                <w:sz w:val="20"/>
                <w:szCs w:val="20"/>
                <w:color w:val="auto"/>
              </w:rPr>
            </w:pPr>
            <w:r>
              <w:rPr>
                <w:rFonts w:ascii="Arial" w:cs="Arial" w:eastAsia="Arial" w:hAnsi="Arial"/>
                <w:sz w:val="16"/>
                <w:szCs w:val="16"/>
                <w:color w:val="auto"/>
              </w:rPr>
              <w:t>excluding the impact of equity investments</w:t>
            </w:r>
            <w:r>
              <w:rPr>
                <w:rFonts w:ascii="Arial" w:cs="Arial" w:eastAsia="Arial" w:hAnsi="Arial"/>
                <w:sz w:val="21"/>
                <w:szCs w:val="21"/>
                <w:color w:val="auto"/>
                <w:vertAlign w:val="superscript"/>
              </w:rPr>
              <w:t>(3)</w:t>
            </w:r>
          </w:p>
        </w:tc>
        <w:tc>
          <w:tcPr>
            <w:tcW w:w="2760" w:type="dxa"/>
            <w:vAlign w:val="bottom"/>
            <w:vMerge w:val="continue"/>
            <w:shd w:val="clear" w:color="auto" w:fill="F7F7F7"/>
          </w:tcPr>
          <w:p>
            <w:pPr>
              <w:spacing w:after="0"/>
              <w:rPr>
                <w:sz w:val="18"/>
                <w:szCs w:val="18"/>
                <w:color w:val="auto"/>
              </w:rPr>
            </w:pPr>
          </w:p>
        </w:tc>
        <w:tc>
          <w:tcPr>
            <w:tcW w:w="2020" w:type="dxa"/>
            <w:vAlign w:val="bottom"/>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hanging="113"/>
        <w:spacing w:after="0"/>
        <w:tabs>
          <w:tab w:leader="none" w:pos="120" w:val="left"/>
        </w:tabs>
        <w:numPr>
          <w:ilvl w:val="0"/>
          <w:numId w:val="7"/>
        </w:numPr>
        <w:rPr>
          <w:rFonts w:ascii="Arial" w:cs="Arial" w:eastAsia="Arial" w:hAnsi="Arial"/>
          <w:sz w:val="13"/>
          <w:szCs w:val="13"/>
          <w:color w:val="6D6D6D"/>
          <w:vertAlign w:val="superscript"/>
        </w:rPr>
      </w:pPr>
      <w:r>
        <w:rPr>
          <w:rFonts w:ascii="Arial" w:cs="Arial" w:eastAsia="Arial" w:hAnsi="Arial"/>
          <w:sz w:val="10"/>
          <w:szCs w:val="10"/>
          <w:i w:val="1"/>
          <w:iCs w:val="1"/>
          <w:color w:val="6D6D6D"/>
        </w:rPr>
        <w:t xml:space="preserve">Capital expenditures </w:t>
      </w:r>
      <w:r>
        <w:rPr>
          <w:rFonts w:ascii="Arial" w:cs="Arial" w:eastAsia="Arial" w:hAnsi="Arial"/>
          <w:sz w:val="10"/>
          <w:szCs w:val="10"/>
          <w:color w:val="6D6D6D"/>
        </w:rPr>
        <w:t>is equivalent to the amount included in “Purchases of property and equipment” on our Condensed Consolidated Statements of Cash Flows for the reported period.</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6D6D6D"/>
        </w:rPr>
        <w:t>6</w:t>
      </w:r>
    </w:p>
    <w:p>
      <w:pPr>
        <w:sectPr>
          <w:pgSz w:w="11900" w:h="16838" w:orient="portrait"/>
          <w:cols w:equalWidth="0" w:num="1">
            <w:col w:w="11320"/>
          </w:cols>
          <w:pgMar w:left="240" w:top="1440" w:right="339" w:bottom="1440" w:gutter="0" w:footer="0" w:header="0"/>
        </w:sectPr>
      </w:pPr>
    </w:p>
    <w:bookmarkStart w:id="9" w:name="page10"/>
    <w:bookmarkEnd w:id="9"/>
    <w:p>
      <w:pPr>
        <w:spacing w:after="0" w:line="3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6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68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Reconciliation of GAAP Net Income to Non-GAAP Net Income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(In US $ millions, except share and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40" w:type="dxa"/>
            <w:vAlign w:val="bottom"/>
            <w:gridSpan w:val="3"/>
          </w:tcPr>
          <w:p>
            <w:pPr>
              <w:spacing w:after="0"/>
              <w:rPr>
                <w:sz w:val="20"/>
                <w:szCs w:val="20"/>
                <w:color w:val="auto"/>
              </w:rPr>
            </w:pPr>
            <w:r>
              <w:rPr>
                <w:rFonts w:ascii="Arial" w:cs="Arial" w:eastAsia="Arial" w:hAnsi="Arial"/>
                <w:sz w:val="16"/>
                <w:szCs w:val="16"/>
                <w:color w:val="auto"/>
              </w:rPr>
              <w:t>The following table reconciles GAAP net income to Non-GAAP net income and includes net income per share amounts:</w:t>
            </w:r>
          </w:p>
        </w:tc>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99"/>
        </w:trPr>
        <w:tc>
          <w:tcPr>
            <w:tcW w:w="6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3"/>
          </w:tcPr>
          <w:p>
            <w:pPr>
              <w:jc w:val="right"/>
              <w:ind w:right="1519"/>
              <w:spacing w:after="0"/>
              <w:rPr>
                <w:sz w:val="20"/>
                <w:szCs w:val="20"/>
                <w:color w:val="auto"/>
              </w:rPr>
            </w:pPr>
            <w:r>
              <w:rPr>
                <w:rFonts w:ascii="Arial" w:cs="Arial" w:eastAsia="Arial" w:hAnsi="Arial"/>
                <w:sz w:val="16"/>
                <w:szCs w:val="16"/>
                <w:b w:val="1"/>
                <w:bCs w:val="1"/>
                <w:color w:val="auto"/>
              </w:rPr>
              <w:t>Three months ended</w:t>
            </w:r>
          </w:p>
        </w:tc>
      </w:tr>
      <w:tr>
        <w:trPr>
          <w:trHeight w:val="223"/>
        </w:trPr>
        <w:tc>
          <w:tcPr>
            <w:tcW w:w="64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September 30, 2026</w:t>
            </w:r>
          </w:p>
        </w:tc>
        <w:tc>
          <w:tcPr>
            <w:tcW w:w="4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2025</w:t>
            </w:r>
          </w:p>
        </w:tc>
      </w:tr>
      <w:tr>
        <w:trPr>
          <w:trHeight w:val="222"/>
        </w:trPr>
        <w:tc>
          <w:tcPr>
            <w:tcW w:w="6440" w:type="dxa"/>
            <w:vAlign w:val="bottom"/>
            <w:tcBorders>
              <w:bottom w:val="single" w:sz="8" w:color="F7F7F7"/>
            </w:tcBorders>
          </w:tcPr>
          <w:p>
            <w:pPr>
              <w:ind w:left="120"/>
              <w:spacing w:after="0"/>
              <w:rPr>
                <w:sz w:val="20"/>
                <w:szCs w:val="20"/>
                <w:color w:val="auto"/>
              </w:rPr>
            </w:pPr>
            <w:r>
              <w:rPr>
                <w:rFonts w:ascii="Arial" w:cs="Arial" w:eastAsia="Arial" w:hAnsi="Arial"/>
                <w:sz w:val="16"/>
                <w:szCs w:val="16"/>
                <w:b w:val="1"/>
                <w:bCs w:val="1"/>
                <w:color w:val="auto"/>
              </w:rPr>
              <w:t>GAAP net income</w:t>
            </w: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462</w:t>
            </w:r>
          </w:p>
        </w:tc>
        <w:tc>
          <w:tcPr>
            <w:tcW w:w="4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r>
      <w:tr>
        <w:trPr>
          <w:trHeight w:val="210"/>
        </w:trPr>
        <w:tc>
          <w:tcPr>
            <w:tcW w:w="644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Non-GAAP adjustments to net income:</w:t>
            </w:r>
          </w:p>
        </w:tc>
        <w:tc>
          <w:tcPr>
            <w:tcW w:w="380" w:type="dxa"/>
            <w:vAlign w:val="bottom"/>
            <w:shd w:val="clear" w:color="auto" w:fill="F7F7F7"/>
          </w:tcPr>
          <w:p>
            <w:pPr>
              <w:spacing w:after="0"/>
              <w:rPr>
                <w:sz w:val="18"/>
                <w:szCs w:val="18"/>
                <w:color w:val="auto"/>
              </w:rPr>
            </w:pPr>
          </w:p>
        </w:tc>
        <w:tc>
          <w:tcPr>
            <w:tcW w:w="2020" w:type="dxa"/>
            <w:vAlign w:val="bottom"/>
            <w:shd w:val="clear" w:color="auto" w:fill="F7F7F7"/>
          </w:tcPr>
          <w:p>
            <w:pPr>
              <w:spacing w:after="0"/>
              <w:rPr>
                <w:sz w:val="18"/>
                <w:szCs w:val="18"/>
                <w:color w:val="auto"/>
              </w:rPr>
            </w:pPr>
          </w:p>
        </w:tc>
        <w:tc>
          <w:tcPr>
            <w:tcW w:w="480" w:type="dxa"/>
            <w:vAlign w:val="bottom"/>
            <w:shd w:val="clear" w:color="auto" w:fill="F7F7F7"/>
          </w:tcPr>
          <w:p>
            <w:pPr>
              <w:spacing w:after="0"/>
              <w:rPr>
                <w:sz w:val="18"/>
                <w:szCs w:val="18"/>
                <w:color w:val="auto"/>
              </w:rPr>
            </w:pPr>
          </w:p>
        </w:tc>
        <w:tc>
          <w:tcPr>
            <w:tcW w:w="1920" w:type="dxa"/>
            <w:vAlign w:val="bottom"/>
            <w:shd w:val="clear" w:color="auto" w:fill="F7F7F7"/>
          </w:tcPr>
          <w:p>
            <w:pPr>
              <w:spacing w:after="0"/>
              <w:rPr>
                <w:sz w:val="18"/>
                <w:szCs w:val="18"/>
                <w:color w:val="auto"/>
              </w:rPr>
            </w:pPr>
          </w:p>
        </w:tc>
      </w:tr>
      <w:tr>
        <w:trPr>
          <w:trHeight w:val="228"/>
        </w:trPr>
        <w:tc>
          <w:tcPr>
            <w:tcW w:w="6440" w:type="dxa"/>
            <w:vAlign w:val="bottom"/>
          </w:tcPr>
          <w:p>
            <w:pPr>
              <w:ind w:left="500"/>
              <w:spacing w:after="0"/>
              <w:rPr>
                <w:sz w:val="20"/>
                <w:szCs w:val="20"/>
                <w:color w:val="auto"/>
              </w:rPr>
            </w:pPr>
            <w:r>
              <w:rPr>
                <w:rFonts w:ascii="Arial" w:cs="Arial" w:eastAsia="Arial" w:hAnsi="Arial"/>
                <w:sz w:val="16"/>
                <w:szCs w:val="16"/>
                <w:color w:val="auto"/>
              </w:rPr>
              <w:t>Stock-based compensation expense and related taxes</w:t>
            </w:r>
          </w:p>
        </w:tc>
        <w:tc>
          <w:tcPr>
            <w:tcW w:w="380" w:type="dxa"/>
            <w:vAlign w:val="bottom"/>
          </w:tcPr>
          <w:p>
            <w:pPr>
              <w:spacing w:after="0"/>
              <w:rPr>
                <w:sz w:val="19"/>
                <w:szCs w:val="19"/>
                <w:color w:val="auto"/>
              </w:rPr>
            </w:pPr>
          </w:p>
        </w:tc>
        <w:tc>
          <w:tcPr>
            <w:tcW w:w="2020" w:type="dxa"/>
            <w:vAlign w:val="bottom"/>
          </w:tcPr>
          <w:p>
            <w:pPr>
              <w:jc w:val="right"/>
              <w:ind w:right="79"/>
              <w:spacing w:after="0"/>
              <w:rPr>
                <w:sz w:val="20"/>
                <w:szCs w:val="20"/>
                <w:color w:val="auto"/>
              </w:rPr>
            </w:pPr>
            <w:r>
              <w:rPr>
                <w:rFonts w:ascii="Arial" w:cs="Arial" w:eastAsia="Arial" w:hAnsi="Arial"/>
                <w:sz w:val="16"/>
                <w:szCs w:val="16"/>
                <w:color w:val="auto"/>
              </w:rPr>
              <w:t>147</w:t>
            </w:r>
          </w:p>
        </w:tc>
        <w:tc>
          <w:tcPr>
            <w:tcW w:w="4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31"/>
        </w:trPr>
        <w:tc>
          <w:tcPr>
            <w:tcW w:w="6440" w:type="dxa"/>
            <w:vAlign w:val="bottom"/>
            <w:shd w:val="clear" w:color="auto" w:fill="F7F7F7"/>
          </w:tcPr>
          <w:p>
            <w:pPr>
              <w:ind w:left="480"/>
              <w:spacing w:after="0"/>
              <w:rPr>
                <w:sz w:val="20"/>
                <w:szCs w:val="20"/>
                <w:color w:val="auto"/>
              </w:rPr>
            </w:pPr>
            <w:r>
              <w:rPr>
                <w:rFonts w:ascii="Arial" w:cs="Arial" w:eastAsia="Arial" w:hAnsi="Arial"/>
                <w:sz w:val="16"/>
                <w:szCs w:val="16"/>
                <w:color w:val="auto"/>
              </w:rPr>
              <w:t>Amortization of acquired intangible assets</w:t>
            </w:r>
          </w:p>
        </w:tc>
        <w:tc>
          <w:tcPr>
            <w:tcW w:w="380" w:type="dxa"/>
            <w:vAlign w:val="bottom"/>
            <w:shd w:val="clear" w:color="auto" w:fill="F7F7F7"/>
          </w:tcPr>
          <w:p>
            <w:pPr>
              <w:spacing w:after="0"/>
              <w:rPr>
                <w:sz w:val="20"/>
                <w:szCs w:val="20"/>
                <w:color w:val="auto"/>
              </w:rPr>
            </w:pPr>
          </w:p>
        </w:tc>
        <w:tc>
          <w:tcPr>
            <w:tcW w:w="202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2</w:t>
            </w:r>
          </w:p>
        </w:tc>
        <w:tc>
          <w:tcPr>
            <w:tcW w:w="480" w:type="dxa"/>
            <w:vAlign w:val="bottom"/>
            <w:shd w:val="clear" w:color="auto" w:fill="F7F7F7"/>
          </w:tcPr>
          <w:p>
            <w:pPr>
              <w:spacing w:after="0"/>
              <w:rPr>
                <w:sz w:val="20"/>
                <w:szCs w:val="20"/>
                <w:color w:val="auto"/>
              </w:rPr>
            </w:pPr>
          </w:p>
        </w:tc>
        <w:tc>
          <w:tcPr>
            <w:tcW w:w="19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3</w:t>
            </w:r>
          </w:p>
        </w:tc>
      </w:tr>
      <w:tr>
        <w:trPr>
          <w:trHeight w:val="228"/>
        </w:trPr>
        <w:tc>
          <w:tcPr>
            <w:tcW w:w="6440" w:type="dxa"/>
            <w:vAlign w:val="bottom"/>
            <w:tcBorders>
              <w:bottom w:val="single" w:sz="8" w:color="F7F7F7"/>
            </w:tcBorders>
          </w:tcPr>
          <w:p>
            <w:pPr>
              <w:ind w:left="480"/>
              <w:spacing w:after="0"/>
              <w:rPr>
                <w:sz w:val="20"/>
                <w:szCs w:val="20"/>
                <w:color w:val="auto"/>
              </w:rPr>
            </w:pPr>
            <w:r>
              <w:rPr>
                <w:rFonts w:ascii="Arial" w:cs="Arial" w:eastAsia="Arial" w:hAnsi="Arial"/>
                <w:sz w:val="16"/>
                <w:szCs w:val="16"/>
                <w:color w:val="auto"/>
              </w:rPr>
              <w:t>Impairment of right-of-use assets and leaseholds</w:t>
            </w: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4"/>
        </w:trPr>
        <w:tc>
          <w:tcPr>
            <w:tcW w:w="6440" w:type="dxa"/>
            <w:vAlign w:val="bottom"/>
            <w:shd w:val="clear" w:color="auto" w:fill="F7F7F7"/>
          </w:tcPr>
          <w:p>
            <w:pPr>
              <w:ind w:left="360"/>
              <w:spacing w:after="0"/>
              <w:rPr>
                <w:sz w:val="20"/>
                <w:szCs w:val="20"/>
                <w:color w:val="auto"/>
              </w:rPr>
            </w:pPr>
            <w:r>
              <w:rPr>
                <w:rFonts w:ascii="Arial" w:cs="Arial" w:eastAsia="Arial" w:hAnsi="Arial"/>
                <w:sz w:val="16"/>
                <w:szCs w:val="16"/>
                <w:color w:val="auto"/>
              </w:rPr>
              <w:t>Non-GAAP operating income adjustments</w:t>
            </w:r>
          </w:p>
        </w:tc>
        <w:tc>
          <w:tcPr>
            <w:tcW w:w="380" w:type="dxa"/>
            <w:vAlign w:val="bottom"/>
            <w:shd w:val="clear" w:color="auto" w:fill="F7F7F7"/>
          </w:tcPr>
          <w:p>
            <w:pPr>
              <w:spacing w:after="0"/>
              <w:rPr>
                <w:sz w:val="19"/>
                <w:szCs w:val="19"/>
                <w:color w:val="auto"/>
              </w:rPr>
            </w:pPr>
          </w:p>
        </w:tc>
        <w:tc>
          <w:tcPr>
            <w:tcW w:w="202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149</w:t>
            </w:r>
          </w:p>
        </w:tc>
        <w:tc>
          <w:tcPr>
            <w:tcW w:w="480" w:type="dxa"/>
            <w:vAlign w:val="bottom"/>
            <w:shd w:val="clear" w:color="auto" w:fill="F7F7F7"/>
          </w:tcPr>
          <w:p>
            <w:pPr>
              <w:spacing w:after="0"/>
              <w:rPr>
                <w:sz w:val="19"/>
                <w:szCs w:val="19"/>
                <w:color w:val="auto"/>
              </w:rPr>
            </w:pPr>
          </w:p>
        </w:tc>
        <w:tc>
          <w:tcPr>
            <w:tcW w:w="19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122</w:t>
            </w:r>
          </w:p>
        </w:tc>
      </w:tr>
      <w:tr>
        <w:trPr>
          <w:trHeight w:val="228"/>
        </w:trPr>
        <w:tc>
          <w:tcPr>
            <w:tcW w:w="6440" w:type="dxa"/>
            <w:vAlign w:val="bottom"/>
          </w:tcPr>
          <w:p>
            <w:pPr>
              <w:ind w:left="360"/>
              <w:spacing w:after="0"/>
              <w:rPr>
                <w:sz w:val="20"/>
                <w:szCs w:val="20"/>
                <w:color w:val="auto"/>
              </w:rPr>
            </w:pPr>
            <w:r>
              <w:rPr>
                <w:rFonts w:ascii="Arial" w:cs="Arial" w:eastAsia="Arial" w:hAnsi="Arial"/>
                <w:sz w:val="16"/>
                <w:szCs w:val="16"/>
                <w:color w:val="auto"/>
              </w:rPr>
              <w:t>Net loss on equity and other investments</w:t>
            </w:r>
          </w:p>
        </w:tc>
        <w:tc>
          <w:tcPr>
            <w:tcW w:w="380" w:type="dxa"/>
            <w:vAlign w:val="bottom"/>
          </w:tcPr>
          <w:p>
            <w:pPr>
              <w:spacing w:after="0"/>
              <w:rPr>
                <w:sz w:val="19"/>
                <w:szCs w:val="19"/>
                <w:color w:val="auto"/>
              </w:rPr>
            </w:pPr>
          </w:p>
        </w:tc>
        <w:tc>
          <w:tcPr>
            <w:tcW w:w="2020" w:type="dxa"/>
            <w:vAlign w:val="bottom"/>
          </w:tcPr>
          <w:p>
            <w:pPr>
              <w:jc w:val="right"/>
              <w:ind w:right="79"/>
              <w:spacing w:after="0"/>
              <w:rPr>
                <w:sz w:val="20"/>
                <w:szCs w:val="20"/>
                <w:color w:val="auto"/>
              </w:rPr>
            </w:pPr>
            <w:r>
              <w:rPr>
                <w:rFonts w:ascii="Arial" w:cs="Arial" w:eastAsia="Arial" w:hAnsi="Arial"/>
                <w:sz w:val="16"/>
                <w:szCs w:val="16"/>
                <w:color w:val="auto"/>
              </w:rPr>
              <w:t>117</w:t>
            </w:r>
          </w:p>
        </w:tc>
        <w:tc>
          <w:tcPr>
            <w:tcW w:w="4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31"/>
        </w:trPr>
        <w:tc>
          <w:tcPr>
            <w:tcW w:w="6440" w:type="dxa"/>
            <w:vAlign w:val="bottom"/>
            <w:shd w:val="clear" w:color="auto" w:fill="F7F7F7"/>
          </w:tcPr>
          <w:p>
            <w:pPr>
              <w:ind w:left="360"/>
              <w:spacing w:after="0"/>
              <w:rPr>
                <w:sz w:val="20"/>
                <w:szCs w:val="20"/>
                <w:color w:val="auto"/>
              </w:rPr>
            </w:pPr>
            <w:r>
              <w:rPr>
                <w:rFonts w:ascii="Arial" w:cs="Arial" w:eastAsia="Arial" w:hAnsi="Arial"/>
                <w:sz w:val="16"/>
                <w:szCs w:val="16"/>
                <w:color w:val="auto"/>
              </w:rPr>
              <w:t>Net loss on equity method investment</w:t>
            </w:r>
          </w:p>
        </w:tc>
        <w:tc>
          <w:tcPr>
            <w:tcW w:w="380" w:type="dxa"/>
            <w:vAlign w:val="bottom"/>
            <w:shd w:val="clear" w:color="auto" w:fill="F7F7F7"/>
          </w:tcPr>
          <w:p>
            <w:pPr>
              <w:spacing w:after="0"/>
              <w:rPr>
                <w:sz w:val="20"/>
                <w:szCs w:val="20"/>
                <w:color w:val="auto"/>
              </w:rPr>
            </w:pPr>
          </w:p>
        </w:tc>
        <w:tc>
          <w:tcPr>
            <w:tcW w:w="202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21</w:t>
            </w:r>
          </w:p>
        </w:tc>
        <w:tc>
          <w:tcPr>
            <w:tcW w:w="480" w:type="dxa"/>
            <w:vAlign w:val="bottom"/>
            <w:shd w:val="clear" w:color="auto" w:fill="F7F7F7"/>
          </w:tcPr>
          <w:p>
            <w:pPr>
              <w:spacing w:after="0"/>
              <w:rPr>
                <w:sz w:val="20"/>
                <w:szCs w:val="20"/>
                <w:color w:val="auto"/>
              </w:rPr>
            </w:pPr>
          </w:p>
        </w:tc>
        <w:tc>
          <w:tcPr>
            <w:tcW w:w="19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21</w:t>
            </w:r>
          </w:p>
        </w:tc>
      </w:tr>
      <w:tr>
        <w:trPr>
          <w:trHeight w:val="228"/>
        </w:trPr>
        <w:tc>
          <w:tcPr>
            <w:tcW w:w="6440" w:type="dxa"/>
            <w:vAlign w:val="bottom"/>
          </w:tcPr>
          <w:p>
            <w:pPr>
              <w:ind w:left="360"/>
              <w:spacing w:after="0"/>
              <w:rPr>
                <w:sz w:val="20"/>
                <w:szCs w:val="20"/>
                <w:color w:val="auto"/>
              </w:rPr>
            </w:pPr>
            <w:r>
              <w:rPr>
                <w:rFonts w:ascii="Arial" w:cs="Arial" w:eastAsia="Arial" w:hAnsi="Arial"/>
                <w:sz w:val="16"/>
                <w:szCs w:val="16"/>
                <w:color w:val="auto"/>
              </w:rPr>
              <w:t>Loss on embedded derivative</w:t>
            </w:r>
          </w:p>
        </w:tc>
        <w:tc>
          <w:tcPr>
            <w:tcW w:w="380" w:type="dxa"/>
            <w:vAlign w:val="bottom"/>
          </w:tcPr>
          <w:p>
            <w:pPr>
              <w:spacing w:after="0"/>
              <w:rPr>
                <w:sz w:val="19"/>
                <w:szCs w:val="19"/>
                <w:color w:val="auto"/>
              </w:rPr>
            </w:pPr>
          </w:p>
        </w:tc>
        <w:tc>
          <w:tcPr>
            <w:tcW w:w="2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1"/>
        </w:trPr>
        <w:tc>
          <w:tcPr>
            <w:tcW w:w="6440" w:type="dxa"/>
            <w:vAlign w:val="bottom"/>
            <w:shd w:val="clear" w:color="auto" w:fill="F7F7F7"/>
          </w:tcPr>
          <w:p>
            <w:pPr>
              <w:ind w:left="360"/>
              <w:spacing w:after="0"/>
              <w:rPr>
                <w:sz w:val="20"/>
                <w:szCs w:val="20"/>
                <w:color w:val="auto"/>
              </w:rPr>
            </w:pPr>
            <w:r>
              <w:rPr>
                <w:rFonts w:ascii="Arial" w:cs="Arial" w:eastAsia="Arial" w:hAnsi="Arial"/>
                <w:sz w:val="16"/>
                <w:szCs w:val="16"/>
                <w:color w:val="auto"/>
              </w:rPr>
              <w:t>Income tax effects and tax adjustments</w:t>
            </w:r>
          </w:p>
        </w:tc>
        <w:tc>
          <w:tcPr>
            <w:tcW w:w="380" w:type="dxa"/>
            <w:vAlign w:val="bottom"/>
            <w:tcBorders>
              <w:bottom w:val="single" w:sz="8" w:color="auto"/>
            </w:tcBorders>
            <w:shd w:val="clear" w:color="auto" w:fill="F7F7F7"/>
          </w:tcPr>
          <w:p>
            <w:pPr>
              <w:spacing w:after="0"/>
              <w:rPr>
                <w:sz w:val="20"/>
                <w:szCs w:val="20"/>
                <w:color w:val="auto"/>
              </w:rPr>
            </w:pPr>
          </w:p>
        </w:tc>
        <w:tc>
          <w:tcPr>
            <w:tcW w:w="2020" w:type="dxa"/>
            <w:vAlign w:val="bottom"/>
            <w:tcBorders>
              <w:bottom w:val="single" w:sz="8" w:color="auto"/>
            </w:tcBorders>
            <w:shd w:val="clear" w:color="auto" w:fill="F7F7F7"/>
          </w:tcPr>
          <w:p>
            <w:pPr>
              <w:jc w:val="right"/>
              <w:ind w:right="39"/>
              <w:spacing w:after="0"/>
              <w:rPr>
                <w:sz w:val="20"/>
                <w:szCs w:val="20"/>
                <w:color w:val="auto"/>
              </w:rPr>
            </w:pPr>
            <w:r>
              <w:rPr>
                <w:rFonts w:ascii="Arial" w:cs="Arial" w:eastAsia="Arial" w:hAnsi="Arial"/>
                <w:sz w:val="16"/>
                <w:szCs w:val="16"/>
                <w:color w:val="auto"/>
              </w:rPr>
              <w:t>(111)</w:t>
            </w:r>
          </w:p>
        </w:tc>
        <w:tc>
          <w:tcPr>
            <w:tcW w:w="480" w:type="dxa"/>
            <w:vAlign w:val="bottom"/>
            <w:tcBorders>
              <w:bottom w:val="single" w:sz="8" w:color="auto"/>
            </w:tcBorders>
            <w:shd w:val="clear" w:color="auto" w:fill="F7F7F7"/>
          </w:tcPr>
          <w:p>
            <w:pPr>
              <w:spacing w:after="0"/>
              <w:rPr>
                <w:sz w:val="20"/>
                <w:szCs w:val="20"/>
                <w:color w:val="auto"/>
              </w:rPr>
            </w:pPr>
          </w:p>
        </w:tc>
        <w:tc>
          <w:tcPr>
            <w:tcW w:w="19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(57)</w:t>
            </w:r>
          </w:p>
        </w:tc>
      </w:tr>
      <w:tr>
        <w:trPr>
          <w:trHeight w:val="222"/>
        </w:trPr>
        <w:tc>
          <w:tcPr>
            <w:tcW w:w="6440" w:type="dxa"/>
            <w:vAlign w:val="bottom"/>
          </w:tcPr>
          <w:p>
            <w:pPr>
              <w:ind w:left="120"/>
              <w:spacing w:after="0"/>
              <w:rPr>
                <w:sz w:val="20"/>
                <w:szCs w:val="20"/>
                <w:color w:val="auto"/>
              </w:rPr>
            </w:pPr>
            <w:r>
              <w:rPr>
                <w:rFonts w:ascii="Arial" w:cs="Arial" w:eastAsia="Arial" w:hAnsi="Arial"/>
                <w:sz w:val="16"/>
                <w:szCs w:val="16"/>
                <w:b w:val="1"/>
                <w:bCs w:val="1"/>
                <w:color w:val="auto"/>
              </w:rPr>
              <w:t>Non-GAAP net income</w:t>
            </w:r>
          </w:p>
        </w:tc>
        <w:tc>
          <w:tcPr>
            <w:tcW w:w="380" w:type="dxa"/>
            <w:vAlign w:val="bottom"/>
          </w:tcPr>
          <w:p>
            <w:pPr>
              <w:spacing w:after="0"/>
              <w:rPr>
                <w:sz w:val="19"/>
                <w:szCs w:val="19"/>
                <w:color w:val="auto"/>
              </w:rPr>
            </w:pPr>
          </w:p>
        </w:tc>
        <w:tc>
          <w:tcPr>
            <w:tcW w:w="2020" w:type="dxa"/>
            <w:vAlign w:val="bottom"/>
          </w:tcPr>
          <w:p>
            <w:pPr>
              <w:jc w:val="right"/>
              <w:ind w:right="79"/>
              <w:spacing w:after="0"/>
              <w:rPr>
                <w:sz w:val="20"/>
                <w:szCs w:val="20"/>
                <w:color w:val="auto"/>
              </w:rPr>
            </w:pPr>
            <w:r>
              <w:rPr>
                <w:rFonts w:ascii="Arial" w:cs="Arial" w:eastAsia="Arial" w:hAnsi="Arial"/>
                <w:sz w:val="16"/>
                <w:szCs w:val="16"/>
                <w:color w:val="auto"/>
              </w:rPr>
              <w:t>638</w:t>
            </w:r>
          </w:p>
        </w:tc>
        <w:tc>
          <w:tcPr>
            <w:tcW w:w="4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109"/>
        </w:trPr>
        <w:tc>
          <w:tcPr>
            <w:tcW w:w="6440" w:type="dxa"/>
            <w:vAlign w:val="bottom"/>
            <w:shd w:val="clear" w:color="auto" w:fill="F7F7F7"/>
          </w:tcPr>
          <w:p>
            <w:pPr>
              <w:spacing w:after="0"/>
              <w:rPr>
                <w:sz w:val="9"/>
                <w:szCs w:val="9"/>
                <w:color w:val="auto"/>
              </w:rPr>
            </w:pPr>
          </w:p>
        </w:tc>
        <w:tc>
          <w:tcPr>
            <w:tcW w:w="380" w:type="dxa"/>
            <w:vAlign w:val="bottom"/>
            <w:shd w:val="clear" w:color="auto" w:fill="F7F7F7"/>
          </w:tcPr>
          <w:p>
            <w:pPr>
              <w:spacing w:after="0"/>
              <w:rPr>
                <w:sz w:val="9"/>
                <w:szCs w:val="9"/>
                <w:color w:val="auto"/>
              </w:rPr>
            </w:pPr>
          </w:p>
        </w:tc>
        <w:tc>
          <w:tcPr>
            <w:tcW w:w="2020" w:type="dxa"/>
            <w:vAlign w:val="bottom"/>
            <w:shd w:val="clear" w:color="auto" w:fill="F7F7F7"/>
          </w:tcPr>
          <w:p>
            <w:pPr>
              <w:spacing w:after="0"/>
              <w:rPr>
                <w:sz w:val="9"/>
                <w:szCs w:val="9"/>
                <w:color w:val="auto"/>
              </w:rPr>
            </w:pPr>
          </w:p>
        </w:tc>
        <w:tc>
          <w:tcPr>
            <w:tcW w:w="480" w:type="dxa"/>
            <w:vAlign w:val="bottom"/>
            <w:shd w:val="clear" w:color="auto" w:fill="F7F7F7"/>
          </w:tcPr>
          <w:p>
            <w:pPr>
              <w:spacing w:after="0"/>
              <w:rPr>
                <w:sz w:val="9"/>
                <w:szCs w:val="9"/>
                <w:color w:val="auto"/>
              </w:rPr>
            </w:pPr>
          </w:p>
        </w:tc>
        <w:tc>
          <w:tcPr>
            <w:tcW w:w="1920" w:type="dxa"/>
            <w:vAlign w:val="bottom"/>
            <w:shd w:val="clear" w:color="auto" w:fill="F7F7F7"/>
          </w:tcPr>
          <w:p>
            <w:pPr>
              <w:spacing w:after="0"/>
              <w:rPr>
                <w:sz w:val="9"/>
                <w:szCs w:val="9"/>
                <w:color w:val="auto"/>
              </w:rPr>
            </w:pPr>
          </w:p>
        </w:tc>
      </w:tr>
      <w:tr>
        <w:trPr>
          <w:trHeight w:val="229"/>
        </w:trPr>
        <w:tc>
          <w:tcPr>
            <w:tcW w:w="6440" w:type="dxa"/>
            <w:vAlign w:val="bottom"/>
          </w:tcPr>
          <w:p>
            <w:pPr>
              <w:ind w:left="120"/>
              <w:spacing w:after="0" w:line="230" w:lineRule="exact"/>
              <w:rPr>
                <w:sz w:val="20"/>
                <w:szCs w:val="20"/>
                <w:color w:val="auto"/>
              </w:rPr>
            </w:pPr>
            <w:r>
              <w:rPr>
                <w:rFonts w:ascii="Arial" w:cs="Arial" w:eastAsia="Arial" w:hAnsi="Arial"/>
                <w:sz w:val="16"/>
                <w:szCs w:val="16"/>
                <w:b w:val="1"/>
                <w:bCs w:val="1"/>
                <w:color w:val="auto"/>
              </w:rPr>
              <w:t>Diluted net income per share attributable to shareholders</w:t>
            </w:r>
            <w:r>
              <w:rPr>
                <w:rFonts w:ascii="Arial" w:cs="Arial" w:eastAsia="Arial" w:hAnsi="Arial"/>
                <w:sz w:val="21"/>
                <w:szCs w:val="21"/>
                <w:b w:val="1"/>
                <w:bCs w:val="1"/>
                <w:color w:val="auto"/>
                <w:vertAlign w:val="superscript"/>
              </w:rPr>
              <w:t>(8)</w:t>
            </w: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6440" w:type="dxa"/>
            <w:vAlign w:val="bottom"/>
            <w:shd w:val="clear" w:color="auto" w:fill="F7F7F7"/>
          </w:tcPr>
          <w:p>
            <w:pPr>
              <w:ind w:left="360"/>
              <w:spacing w:after="0"/>
              <w:rPr>
                <w:sz w:val="20"/>
                <w:szCs w:val="20"/>
                <w:color w:val="auto"/>
              </w:rPr>
            </w:pPr>
            <w:r>
              <w:rPr>
                <w:rFonts w:ascii="Arial" w:cs="Arial" w:eastAsia="Arial" w:hAnsi="Arial"/>
                <w:sz w:val="16"/>
                <w:szCs w:val="16"/>
                <w:color w:val="auto"/>
              </w:rPr>
              <w:t>GAAP</w:t>
            </w:r>
          </w:p>
        </w:tc>
        <w:tc>
          <w:tcPr>
            <w:tcW w:w="380" w:type="dxa"/>
            <w:vAlign w:val="bottom"/>
            <w:shd w:val="clear" w:color="auto" w:fill="F7F7F7"/>
          </w:tcPr>
          <w:p>
            <w:pPr>
              <w:jc w:val="right"/>
              <w:ind w:right="179"/>
              <w:spacing w:after="0"/>
              <w:rPr>
                <w:sz w:val="20"/>
                <w:szCs w:val="20"/>
                <w:color w:val="auto"/>
              </w:rPr>
            </w:pPr>
            <w:r>
              <w:rPr>
                <w:rFonts w:ascii="Arial" w:cs="Arial" w:eastAsia="Arial" w:hAnsi="Arial"/>
                <w:sz w:val="16"/>
                <w:szCs w:val="16"/>
                <w:color w:val="auto"/>
              </w:rPr>
              <w:t>$</w:t>
            </w:r>
          </w:p>
        </w:tc>
        <w:tc>
          <w:tcPr>
            <w:tcW w:w="202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0.36</w:t>
            </w:r>
          </w:p>
        </w:tc>
        <w:tc>
          <w:tcPr>
            <w:tcW w:w="480" w:type="dxa"/>
            <w:vAlign w:val="bottom"/>
            <w:shd w:val="clear" w:color="auto" w:fill="F7F7F7"/>
          </w:tcPr>
          <w:p>
            <w:pPr>
              <w:jc w:val="right"/>
              <w:ind w:right="199"/>
              <w:spacing w:after="0"/>
              <w:rPr>
                <w:sz w:val="20"/>
                <w:szCs w:val="20"/>
                <w:color w:val="auto"/>
              </w:rPr>
            </w:pPr>
            <w:r>
              <w:rPr>
                <w:rFonts w:ascii="Arial" w:cs="Arial" w:eastAsia="Arial" w:hAnsi="Arial"/>
                <w:sz w:val="16"/>
                <w:szCs w:val="16"/>
                <w:color w:val="auto"/>
              </w:rPr>
              <w:t>$</w:t>
            </w:r>
          </w:p>
        </w:tc>
        <w:tc>
          <w:tcPr>
            <w:tcW w:w="19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0.20</w:t>
            </w:r>
          </w:p>
        </w:tc>
      </w:tr>
      <w:tr>
        <w:trPr>
          <w:trHeight w:val="228"/>
        </w:trPr>
        <w:tc>
          <w:tcPr>
            <w:tcW w:w="6440" w:type="dxa"/>
            <w:vAlign w:val="bottom"/>
          </w:tcPr>
          <w:p>
            <w:pPr>
              <w:ind w:left="360"/>
              <w:spacing w:after="0"/>
              <w:rPr>
                <w:sz w:val="20"/>
                <w:szCs w:val="20"/>
                <w:color w:val="auto"/>
              </w:rPr>
            </w:pPr>
            <w:r>
              <w:rPr>
                <w:rFonts w:ascii="Arial" w:cs="Arial" w:eastAsia="Arial" w:hAnsi="Arial"/>
                <w:sz w:val="16"/>
                <w:szCs w:val="16"/>
                <w:color w:val="auto"/>
              </w:rPr>
              <w:t>Non-GAAP</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79"/>
              <w:spacing w:after="0"/>
              <w:rPr>
                <w:sz w:val="20"/>
                <w:szCs w:val="20"/>
                <w:color w:val="auto"/>
              </w:rPr>
            </w:pPr>
            <w:r>
              <w:rPr>
                <w:rFonts w:ascii="Arial" w:cs="Arial" w:eastAsia="Arial" w:hAnsi="Arial"/>
                <w:sz w:val="16"/>
                <w:szCs w:val="16"/>
                <w:color w:val="auto"/>
              </w:rPr>
              <w:t>0.49</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0.34</w:t>
            </w:r>
          </w:p>
        </w:tc>
      </w:tr>
      <w:tr>
        <w:trPr>
          <w:trHeight w:val="271"/>
        </w:trPr>
        <w:tc>
          <w:tcPr>
            <w:tcW w:w="6440" w:type="dxa"/>
            <w:vAlign w:val="bottom"/>
            <w:shd w:val="clear" w:color="auto" w:fill="F7F7F7"/>
          </w:tcPr>
          <w:p>
            <w:pPr>
              <w:spacing w:after="0"/>
              <w:rPr>
                <w:sz w:val="23"/>
                <w:szCs w:val="23"/>
                <w:color w:val="auto"/>
              </w:rPr>
            </w:pPr>
          </w:p>
        </w:tc>
        <w:tc>
          <w:tcPr>
            <w:tcW w:w="380" w:type="dxa"/>
            <w:vAlign w:val="bottom"/>
            <w:shd w:val="clear" w:color="auto" w:fill="F7F7F7"/>
          </w:tcPr>
          <w:p>
            <w:pPr>
              <w:spacing w:after="0"/>
              <w:rPr>
                <w:sz w:val="23"/>
                <w:szCs w:val="23"/>
                <w:color w:val="auto"/>
              </w:rPr>
            </w:pPr>
          </w:p>
        </w:tc>
        <w:tc>
          <w:tcPr>
            <w:tcW w:w="2020" w:type="dxa"/>
            <w:vAlign w:val="bottom"/>
            <w:shd w:val="clear" w:color="auto" w:fill="F7F7F7"/>
          </w:tcPr>
          <w:p>
            <w:pPr>
              <w:spacing w:after="0"/>
              <w:rPr>
                <w:sz w:val="23"/>
                <w:szCs w:val="23"/>
                <w:color w:val="auto"/>
              </w:rPr>
            </w:pPr>
          </w:p>
        </w:tc>
        <w:tc>
          <w:tcPr>
            <w:tcW w:w="480" w:type="dxa"/>
            <w:vAlign w:val="bottom"/>
            <w:shd w:val="clear" w:color="auto" w:fill="F7F7F7"/>
          </w:tcPr>
          <w:p>
            <w:pPr>
              <w:spacing w:after="0"/>
              <w:rPr>
                <w:sz w:val="23"/>
                <w:szCs w:val="23"/>
                <w:color w:val="auto"/>
              </w:rPr>
            </w:pPr>
          </w:p>
        </w:tc>
        <w:tc>
          <w:tcPr>
            <w:tcW w:w="1920" w:type="dxa"/>
            <w:vAlign w:val="bottom"/>
            <w:shd w:val="clear" w:color="auto" w:fill="F7F7F7"/>
          </w:tcPr>
          <w:p>
            <w:pPr>
              <w:spacing w:after="0"/>
              <w:rPr>
                <w:sz w:val="23"/>
                <w:szCs w:val="23"/>
                <w:color w:val="auto"/>
              </w:rPr>
            </w:pPr>
          </w:p>
        </w:tc>
      </w:tr>
      <w:tr>
        <w:trPr>
          <w:trHeight w:val="175"/>
        </w:trPr>
        <w:tc>
          <w:tcPr>
            <w:tcW w:w="6440" w:type="dxa"/>
            <w:vAlign w:val="bottom"/>
          </w:tcPr>
          <w:p>
            <w:pPr>
              <w:ind w:left="120"/>
              <w:spacing w:after="0" w:line="175" w:lineRule="exact"/>
              <w:rPr>
                <w:sz w:val="20"/>
                <w:szCs w:val="20"/>
                <w:color w:val="auto"/>
              </w:rPr>
            </w:pPr>
            <w:r>
              <w:rPr>
                <w:rFonts w:ascii="Arial" w:cs="Arial" w:eastAsia="Arial" w:hAnsi="Arial"/>
                <w:sz w:val="16"/>
                <w:szCs w:val="16"/>
                <w:b w:val="1"/>
                <w:bCs w:val="1"/>
                <w:color w:val="auto"/>
              </w:rPr>
              <w:t>Weighted average shares used to compute net income per share attributable to</w:t>
            </w:r>
          </w:p>
        </w:tc>
        <w:tc>
          <w:tcPr>
            <w:tcW w:w="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6"/>
                <w:szCs w:val="16"/>
                <w:b w:val="1"/>
                <w:bCs w:val="1"/>
                <w:color w:val="auto"/>
              </w:rPr>
              <w:t>shareholders:</w:t>
            </w:r>
          </w:p>
        </w:tc>
        <w:tc>
          <w:tcPr>
            <w:tcW w:w="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0"/>
        </w:trPr>
        <w:tc>
          <w:tcPr>
            <w:tcW w:w="6440" w:type="dxa"/>
            <w:vAlign w:val="bottom"/>
            <w:shd w:val="clear" w:color="auto" w:fill="F7F7F7"/>
          </w:tcPr>
          <w:p>
            <w:pPr>
              <w:ind w:left="36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F7F7F7"/>
          </w:tcPr>
          <w:p>
            <w:pPr>
              <w:spacing w:after="0"/>
              <w:rPr>
                <w:sz w:val="19"/>
                <w:szCs w:val="19"/>
                <w:color w:val="auto"/>
              </w:rPr>
            </w:pPr>
          </w:p>
        </w:tc>
        <w:tc>
          <w:tcPr>
            <w:tcW w:w="2020" w:type="dxa"/>
            <w:vAlign w:val="bottom"/>
            <w:shd w:val="clear" w:color="auto" w:fill="F7F7F7"/>
          </w:tcPr>
          <w:p>
            <w:pPr>
              <w:jc w:val="right"/>
              <w:ind w:right="79"/>
              <w:spacing w:after="0"/>
              <w:rPr>
                <w:sz w:val="20"/>
                <w:szCs w:val="20"/>
                <w:color w:val="auto"/>
              </w:rPr>
            </w:pPr>
            <w:r>
              <w:rPr>
                <w:rFonts w:ascii="Arial" w:cs="Arial" w:eastAsia="Arial" w:hAnsi="Arial"/>
                <w:sz w:val="16"/>
                <w:szCs w:val="16"/>
                <w:color w:val="auto"/>
              </w:rPr>
              <w:t>1,290,726,742</w:t>
            </w:r>
          </w:p>
        </w:tc>
        <w:tc>
          <w:tcPr>
            <w:tcW w:w="480" w:type="dxa"/>
            <w:vAlign w:val="bottom"/>
            <w:shd w:val="clear" w:color="auto" w:fill="F7F7F7"/>
          </w:tcPr>
          <w:p>
            <w:pPr>
              <w:spacing w:after="0"/>
              <w:rPr>
                <w:sz w:val="19"/>
                <w:szCs w:val="19"/>
                <w:color w:val="auto"/>
              </w:rPr>
            </w:pPr>
          </w:p>
        </w:tc>
        <w:tc>
          <w:tcPr>
            <w:tcW w:w="192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1,312,872,709</w:t>
            </w: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6D6D6D"/>
          <w:vertAlign w:val="superscript"/>
        </w:rPr>
        <w:t>(8)</w:t>
      </w:r>
      <w:r>
        <w:rPr>
          <w:rFonts w:ascii="Arial" w:cs="Arial" w:eastAsia="Arial" w:hAnsi="Arial"/>
          <w:sz w:val="11"/>
          <w:szCs w:val="11"/>
          <w:color w:val="6D6D6D"/>
        </w:rPr>
        <w:t xml:space="preserve"> May include rounding</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6D6D6D"/>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75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Constant Currency Analysis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(In US $ millions, except percentages)</w:t>
      </w:r>
    </w:p>
    <w:p>
      <w:pPr>
        <w:spacing w:after="0" w:line="212" w:lineRule="exact"/>
        <w:rPr>
          <w:sz w:val="20"/>
          <w:szCs w:val="20"/>
          <w:color w:val="auto"/>
        </w:rPr>
      </w:pPr>
    </w:p>
    <w:p>
      <w:pPr>
        <w:jc w:val="both"/>
        <w:spacing w:after="0" w:line="375" w:lineRule="auto"/>
        <w:rPr>
          <w:sz w:val="20"/>
          <w:szCs w:val="20"/>
          <w:color w:val="auto"/>
        </w:rPr>
      </w:pPr>
      <w:r>
        <w:rPr>
          <w:rFonts w:ascii="Arial" w:cs="Arial" w:eastAsia="Arial" w:hAnsi="Arial"/>
          <w:sz w:val="16"/>
          <w:szCs w:val="16"/>
          <w:color w:val="auto"/>
        </w:rPr>
        <w:t>The following table converts our GMV, revenues, gross profit, and operating income using the comparative period's monthly average exchange rates. We have provided the below disclosure as we believe it presents a clear comparison of our period-to-period operating results by removing the impact of fluctuations in foreign exchange rates and to assist investors in understanding our financial and operating performance. The table below and our Condensed Consolidated Statements of Operations disclosure are supplements to our Condensed Consolidated Financial Statements, which are prepared and presented in accordance with US GAAP (excluding GMV).</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rPr>
              <w:t>Three months ended September 30,</w:t>
            </w:r>
          </w:p>
        </w:tc>
        <w:tc>
          <w:tcPr>
            <w:tcW w:w="1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1420" w:type="dxa"/>
            <w:vAlign w:val="bottom"/>
            <w:vMerge w:val="restart"/>
          </w:tcPr>
          <w:p>
            <w:pPr>
              <w:jc w:val="right"/>
              <w:ind w:right="561"/>
              <w:spacing w:after="0"/>
              <w:rPr>
                <w:sz w:val="20"/>
                <w:szCs w:val="20"/>
                <w:color w:val="auto"/>
              </w:rPr>
            </w:pPr>
            <w:r>
              <w:rPr>
                <w:rFonts w:ascii="Arial" w:cs="Arial" w:eastAsia="Arial" w:hAnsi="Arial"/>
                <w:sz w:val="14"/>
                <w:szCs w:val="14"/>
                <w:b w:val="1"/>
                <w:bCs w:val="1"/>
                <w:color w:val="auto"/>
              </w:rPr>
              <w:t>GMV</w:t>
            </w:r>
          </w:p>
        </w:tc>
        <w:tc>
          <w:tcPr>
            <w:tcW w:w="11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Revenue</w:t>
            </w:r>
          </w:p>
        </w:tc>
        <w:tc>
          <w:tcPr>
            <w:tcW w:w="162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Subscription</w:t>
            </w:r>
          </w:p>
        </w:tc>
        <w:tc>
          <w:tcPr>
            <w:tcW w:w="1300" w:type="dxa"/>
            <w:vAlign w:val="bottom"/>
          </w:tcPr>
          <w:p>
            <w:pPr>
              <w:jc w:val="center"/>
              <w:ind w:right="182"/>
              <w:spacing w:after="0" w:line="160" w:lineRule="exact"/>
              <w:rPr>
                <w:sz w:val="20"/>
                <w:szCs w:val="20"/>
                <w:color w:val="auto"/>
              </w:rPr>
            </w:pPr>
            <w:r>
              <w:rPr>
                <w:rFonts w:ascii="Arial" w:cs="Arial" w:eastAsia="Arial" w:hAnsi="Arial"/>
                <w:sz w:val="14"/>
                <w:szCs w:val="14"/>
                <w:b w:val="1"/>
                <w:bCs w:val="1"/>
                <w:color w:val="auto"/>
              </w:rPr>
              <w:t>Merchant</w:t>
            </w:r>
          </w:p>
        </w:tc>
        <w:tc>
          <w:tcPr>
            <w:tcW w:w="13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 profit</w:t>
            </w:r>
          </w:p>
        </w:tc>
        <w:tc>
          <w:tcPr>
            <w:tcW w:w="12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300" w:type="dxa"/>
            <w:vAlign w:val="bottom"/>
            <w:vMerge w:val="restart"/>
          </w:tcPr>
          <w:p>
            <w:pPr>
              <w:jc w:val="center"/>
              <w:ind w:right="182"/>
              <w:spacing w:after="0" w:line="149" w:lineRule="exact"/>
              <w:rPr>
                <w:sz w:val="20"/>
                <w:szCs w:val="20"/>
                <w:color w:val="auto"/>
              </w:rPr>
            </w:pPr>
            <w:r>
              <w:rPr>
                <w:rFonts w:ascii="Arial" w:cs="Arial" w:eastAsia="Arial" w:hAnsi="Arial"/>
                <w:sz w:val="14"/>
                <w:szCs w:val="14"/>
                <w:b w:val="1"/>
                <w:bCs w:val="1"/>
                <w:color w:val="auto"/>
              </w:rPr>
              <w:t>solutions</w:t>
            </w:r>
          </w:p>
        </w:tc>
        <w:tc>
          <w:tcPr>
            <w:tcW w:w="13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62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solutions revenue</w:t>
            </w:r>
          </w:p>
        </w:tc>
        <w:tc>
          <w:tcPr>
            <w:tcW w:w="130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22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15"/>
        </w:trPr>
        <w:tc>
          <w:tcPr>
            <w:tcW w:w="32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30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rPr>
              <w:t>revenue</w:t>
            </w:r>
          </w:p>
        </w:tc>
        <w:tc>
          <w:tcPr>
            <w:tcW w:w="13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F7F7F7"/>
          </w:tcPr>
          <w:p>
            <w:pPr>
              <w:ind w:left="140"/>
              <w:spacing w:after="0"/>
              <w:rPr>
                <w:sz w:val="20"/>
                <w:szCs w:val="20"/>
                <w:color w:val="auto"/>
              </w:rPr>
            </w:pPr>
            <w:r>
              <w:rPr>
                <w:rFonts w:ascii="Arial" w:cs="Arial" w:eastAsia="Arial" w:hAnsi="Arial"/>
                <w:sz w:val="16"/>
                <w:szCs w:val="16"/>
                <w:color w:val="auto"/>
              </w:rPr>
              <w:t>2025 as reported</w:t>
            </w:r>
          </w:p>
        </w:tc>
        <w:tc>
          <w:tcPr>
            <w:tcW w:w="1420" w:type="dxa"/>
            <w:vAlign w:val="bottom"/>
            <w:shd w:val="clear" w:color="auto" w:fill="F7F7F7"/>
          </w:tcPr>
          <w:p>
            <w:pPr>
              <w:jc w:val="right"/>
              <w:ind w:right="241"/>
              <w:spacing w:after="0"/>
              <w:rPr>
                <w:sz w:val="20"/>
                <w:szCs w:val="20"/>
                <w:color w:val="auto"/>
              </w:rPr>
            </w:pPr>
            <w:r>
              <w:rPr>
                <w:rFonts w:ascii="Arial" w:cs="Arial" w:eastAsia="Arial" w:hAnsi="Arial"/>
                <w:sz w:val="16"/>
                <w:szCs w:val="16"/>
                <w:color w:val="auto"/>
              </w:rPr>
              <w:t>92,013</w:t>
            </w:r>
          </w:p>
        </w:tc>
        <w:tc>
          <w:tcPr>
            <w:tcW w:w="1160" w:type="dxa"/>
            <w:vAlign w:val="bottom"/>
            <w:shd w:val="clear" w:color="auto" w:fill="F7F7F7"/>
          </w:tcPr>
          <w:p>
            <w:pPr>
              <w:jc w:val="right"/>
              <w:ind w:right="81"/>
              <w:spacing w:after="0"/>
              <w:rPr>
                <w:sz w:val="20"/>
                <w:szCs w:val="20"/>
                <w:color w:val="auto"/>
              </w:rPr>
            </w:pPr>
            <w:r>
              <w:rPr>
                <w:rFonts w:ascii="Arial" w:cs="Arial" w:eastAsia="Arial" w:hAnsi="Arial"/>
                <w:sz w:val="16"/>
                <w:szCs w:val="16"/>
                <w:color w:val="auto"/>
              </w:rPr>
              <w:t>2,844</w:t>
            </w:r>
          </w:p>
        </w:tc>
        <w:tc>
          <w:tcPr>
            <w:tcW w:w="1620" w:type="dxa"/>
            <w:vAlign w:val="bottom"/>
            <w:shd w:val="clear" w:color="auto" w:fill="F7F7F7"/>
          </w:tcPr>
          <w:p>
            <w:pPr>
              <w:jc w:val="center"/>
              <w:ind w:left="661"/>
              <w:spacing w:after="0"/>
              <w:rPr>
                <w:sz w:val="20"/>
                <w:szCs w:val="20"/>
                <w:color w:val="auto"/>
              </w:rPr>
            </w:pPr>
            <w:r>
              <w:rPr>
                <w:rFonts w:ascii="Arial" w:cs="Arial" w:eastAsia="Arial" w:hAnsi="Arial"/>
                <w:sz w:val="16"/>
                <w:szCs w:val="16"/>
                <w:color w:val="auto"/>
              </w:rPr>
              <w:t>699</w:t>
            </w:r>
          </w:p>
        </w:tc>
        <w:tc>
          <w:tcPr>
            <w:tcW w:w="1300" w:type="dxa"/>
            <w:vAlign w:val="bottom"/>
            <w:shd w:val="clear" w:color="auto" w:fill="F7F7F7"/>
          </w:tcPr>
          <w:p>
            <w:pPr>
              <w:jc w:val="right"/>
              <w:ind w:right="242"/>
              <w:spacing w:after="0"/>
              <w:rPr>
                <w:sz w:val="20"/>
                <w:szCs w:val="20"/>
                <w:color w:val="auto"/>
              </w:rPr>
            </w:pPr>
            <w:r>
              <w:rPr>
                <w:rFonts w:ascii="Arial" w:cs="Arial" w:eastAsia="Arial" w:hAnsi="Arial"/>
                <w:sz w:val="16"/>
                <w:szCs w:val="16"/>
                <w:color w:val="auto"/>
              </w:rPr>
              <w:t>2,145</w:t>
            </w:r>
          </w:p>
        </w:tc>
        <w:tc>
          <w:tcPr>
            <w:tcW w:w="1320" w:type="dxa"/>
            <w:vAlign w:val="bottom"/>
            <w:shd w:val="clear" w:color="auto" w:fill="F7F7F7"/>
          </w:tcPr>
          <w:p>
            <w:pPr>
              <w:jc w:val="right"/>
              <w:ind w:right="241"/>
              <w:spacing w:after="0"/>
              <w:rPr>
                <w:sz w:val="20"/>
                <w:szCs w:val="20"/>
                <w:color w:val="auto"/>
              </w:rPr>
            </w:pPr>
            <w:r>
              <w:rPr>
                <w:rFonts w:ascii="Arial" w:cs="Arial" w:eastAsia="Arial" w:hAnsi="Arial"/>
                <w:sz w:val="16"/>
                <w:szCs w:val="16"/>
                <w:color w:val="auto"/>
              </w:rPr>
              <w:t>1,391</w:t>
            </w:r>
          </w:p>
        </w:tc>
        <w:tc>
          <w:tcPr>
            <w:tcW w:w="1220" w:type="dxa"/>
            <w:vAlign w:val="bottom"/>
            <w:shd w:val="clear" w:color="auto" w:fill="F7F7F7"/>
          </w:tcPr>
          <w:p>
            <w:pPr>
              <w:jc w:val="center"/>
              <w:ind w:left="622"/>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28"/>
        </w:trPr>
        <w:tc>
          <w:tcPr>
            <w:tcW w:w="3200" w:type="dxa"/>
            <w:vAlign w:val="bottom"/>
          </w:tcPr>
          <w:p>
            <w:pPr>
              <w:ind w:left="140"/>
              <w:spacing w:after="0"/>
              <w:rPr>
                <w:sz w:val="20"/>
                <w:szCs w:val="20"/>
                <w:color w:val="auto"/>
              </w:rPr>
            </w:pPr>
            <w:r>
              <w:rPr>
                <w:rFonts w:ascii="Arial" w:cs="Arial" w:eastAsia="Arial" w:hAnsi="Arial"/>
                <w:sz w:val="16"/>
                <w:szCs w:val="16"/>
                <w:color w:val="auto"/>
              </w:rPr>
              <w:t>2026 as reported</w:t>
            </w:r>
          </w:p>
        </w:tc>
        <w:tc>
          <w:tcPr>
            <w:tcW w:w="1420" w:type="dxa"/>
            <w:vAlign w:val="bottom"/>
          </w:tcPr>
          <w:p>
            <w:pPr>
              <w:jc w:val="right"/>
              <w:ind w:right="241"/>
              <w:spacing w:after="0"/>
              <w:rPr>
                <w:sz w:val="20"/>
                <w:szCs w:val="20"/>
                <w:color w:val="auto"/>
              </w:rPr>
            </w:pPr>
            <w:r>
              <w:rPr>
                <w:rFonts w:ascii="Arial" w:cs="Arial" w:eastAsia="Arial" w:hAnsi="Arial"/>
                <w:sz w:val="16"/>
                <w:szCs w:val="16"/>
                <w:color w:val="auto"/>
              </w:rPr>
              <w:t>119,145</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3,742</w:t>
            </w:r>
          </w:p>
        </w:tc>
        <w:tc>
          <w:tcPr>
            <w:tcW w:w="1620" w:type="dxa"/>
            <w:vAlign w:val="bottom"/>
          </w:tcPr>
          <w:p>
            <w:pPr>
              <w:jc w:val="center"/>
              <w:ind w:left="661"/>
              <w:spacing w:after="0"/>
              <w:rPr>
                <w:sz w:val="20"/>
                <w:szCs w:val="20"/>
                <w:color w:val="auto"/>
              </w:rPr>
            </w:pPr>
            <w:r>
              <w:rPr>
                <w:rFonts w:ascii="Arial" w:cs="Arial" w:eastAsia="Arial" w:hAnsi="Arial"/>
                <w:sz w:val="16"/>
                <w:szCs w:val="16"/>
                <w:color w:val="auto"/>
              </w:rPr>
              <w:t>836</w:t>
            </w:r>
          </w:p>
        </w:tc>
        <w:tc>
          <w:tcPr>
            <w:tcW w:w="1300" w:type="dxa"/>
            <w:vAlign w:val="bottom"/>
          </w:tcPr>
          <w:p>
            <w:pPr>
              <w:jc w:val="right"/>
              <w:ind w:right="242"/>
              <w:spacing w:after="0"/>
              <w:rPr>
                <w:sz w:val="20"/>
                <w:szCs w:val="20"/>
                <w:color w:val="auto"/>
              </w:rPr>
            </w:pPr>
            <w:r>
              <w:rPr>
                <w:rFonts w:ascii="Arial" w:cs="Arial" w:eastAsia="Arial" w:hAnsi="Arial"/>
                <w:sz w:val="16"/>
                <w:szCs w:val="16"/>
                <w:color w:val="auto"/>
              </w:rPr>
              <w:t>2,906</w:t>
            </w:r>
          </w:p>
        </w:tc>
        <w:tc>
          <w:tcPr>
            <w:tcW w:w="1320" w:type="dxa"/>
            <w:vAlign w:val="bottom"/>
          </w:tcPr>
          <w:p>
            <w:pPr>
              <w:jc w:val="right"/>
              <w:ind w:right="241"/>
              <w:spacing w:after="0"/>
              <w:rPr>
                <w:sz w:val="20"/>
                <w:szCs w:val="20"/>
                <w:color w:val="auto"/>
              </w:rPr>
            </w:pPr>
            <w:r>
              <w:rPr>
                <w:rFonts w:ascii="Arial" w:cs="Arial" w:eastAsia="Arial" w:hAnsi="Arial"/>
                <w:sz w:val="16"/>
                <w:szCs w:val="16"/>
                <w:color w:val="auto"/>
              </w:rPr>
              <w:t>1,781</w:t>
            </w:r>
          </w:p>
        </w:tc>
        <w:tc>
          <w:tcPr>
            <w:tcW w:w="1220" w:type="dxa"/>
            <w:vAlign w:val="bottom"/>
          </w:tcPr>
          <w:p>
            <w:pPr>
              <w:jc w:val="center"/>
              <w:ind w:left="622"/>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31"/>
        </w:trPr>
        <w:tc>
          <w:tcPr>
            <w:tcW w:w="3200" w:type="dxa"/>
            <w:vAlign w:val="bottom"/>
            <w:shd w:val="clear" w:color="auto" w:fill="F7F7F7"/>
          </w:tcPr>
          <w:p>
            <w:pPr>
              <w:ind w:left="140"/>
              <w:spacing w:after="0"/>
              <w:rPr>
                <w:sz w:val="20"/>
                <w:szCs w:val="20"/>
                <w:color w:val="auto"/>
              </w:rPr>
            </w:pPr>
            <w:r>
              <w:rPr>
                <w:rFonts w:ascii="Arial" w:cs="Arial" w:eastAsia="Arial" w:hAnsi="Arial"/>
                <w:sz w:val="16"/>
                <w:szCs w:val="16"/>
                <w:color w:val="auto"/>
              </w:rPr>
              <w:t>Percentage change YoY</w:t>
            </w:r>
          </w:p>
        </w:tc>
        <w:tc>
          <w:tcPr>
            <w:tcW w:w="1420" w:type="dxa"/>
            <w:vAlign w:val="bottom"/>
            <w:tcBorders>
              <w:bottom w:val="single" w:sz="8" w:color="auto"/>
            </w:tcBorders>
            <w:shd w:val="clear" w:color="auto" w:fill="F7F7F7"/>
          </w:tcPr>
          <w:p>
            <w:pPr>
              <w:jc w:val="right"/>
              <w:ind w:right="141"/>
              <w:spacing w:after="0"/>
              <w:rPr>
                <w:sz w:val="20"/>
                <w:szCs w:val="20"/>
                <w:color w:val="auto"/>
              </w:rPr>
            </w:pPr>
            <w:r>
              <w:rPr>
                <w:rFonts w:ascii="Arial" w:cs="Arial" w:eastAsia="Arial" w:hAnsi="Arial"/>
                <w:sz w:val="16"/>
                <w:szCs w:val="16"/>
                <w:color w:val="auto"/>
              </w:rPr>
              <w:t>29%</w:t>
            </w:r>
          </w:p>
        </w:tc>
        <w:tc>
          <w:tcPr>
            <w:tcW w:w="1160" w:type="dxa"/>
            <w:vAlign w:val="bottom"/>
            <w:tcBorders>
              <w:bottom w:val="single" w:sz="8" w:color="auto"/>
            </w:tcBorders>
            <w:shd w:val="clear" w:color="auto" w:fill="F7F7F7"/>
          </w:tcPr>
          <w:p>
            <w:pPr>
              <w:ind w:left="780"/>
              <w:spacing w:after="0"/>
              <w:rPr>
                <w:sz w:val="20"/>
                <w:szCs w:val="20"/>
                <w:color w:val="auto"/>
              </w:rPr>
            </w:pPr>
            <w:r>
              <w:rPr>
                <w:rFonts w:ascii="Arial" w:cs="Arial" w:eastAsia="Arial" w:hAnsi="Arial"/>
                <w:sz w:val="16"/>
                <w:szCs w:val="16"/>
                <w:color w:val="auto"/>
              </w:rPr>
              <w:t>32%</w:t>
            </w:r>
          </w:p>
        </w:tc>
        <w:tc>
          <w:tcPr>
            <w:tcW w:w="1620" w:type="dxa"/>
            <w:vAlign w:val="bottom"/>
            <w:tcBorders>
              <w:bottom w:val="single" w:sz="8" w:color="auto"/>
            </w:tcBorders>
            <w:shd w:val="clear" w:color="auto" w:fill="F7F7F7"/>
          </w:tcPr>
          <w:p>
            <w:pPr>
              <w:jc w:val="right"/>
              <w:ind w:right="121"/>
              <w:spacing w:after="0"/>
              <w:rPr>
                <w:sz w:val="20"/>
                <w:szCs w:val="20"/>
                <w:color w:val="auto"/>
              </w:rPr>
            </w:pPr>
            <w:r>
              <w:rPr>
                <w:rFonts w:ascii="Arial" w:cs="Arial" w:eastAsia="Arial" w:hAnsi="Arial"/>
                <w:sz w:val="16"/>
                <w:szCs w:val="16"/>
                <w:color w:val="auto"/>
              </w:rPr>
              <w:t>20%</w:t>
            </w:r>
          </w:p>
        </w:tc>
        <w:tc>
          <w:tcPr>
            <w:tcW w:w="1300" w:type="dxa"/>
            <w:vAlign w:val="bottom"/>
            <w:tcBorders>
              <w:bottom w:val="single" w:sz="8" w:color="auto"/>
            </w:tcBorders>
            <w:shd w:val="clear" w:color="auto" w:fill="F7F7F7"/>
          </w:tcPr>
          <w:p>
            <w:pPr>
              <w:ind w:left="780"/>
              <w:spacing w:after="0"/>
              <w:rPr>
                <w:sz w:val="20"/>
                <w:szCs w:val="20"/>
                <w:color w:val="auto"/>
              </w:rPr>
            </w:pPr>
            <w:r>
              <w:rPr>
                <w:rFonts w:ascii="Arial" w:cs="Arial" w:eastAsia="Arial" w:hAnsi="Arial"/>
                <w:sz w:val="16"/>
                <w:szCs w:val="16"/>
                <w:color w:val="auto"/>
              </w:rPr>
              <w:t>35%</w:t>
            </w:r>
          </w:p>
        </w:tc>
        <w:tc>
          <w:tcPr>
            <w:tcW w:w="1320" w:type="dxa"/>
            <w:vAlign w:val="bottom"/>
            <w:tcBorders>
              <w:bottom w:val="single" w:sz="8" w:color="auto"/>
            </w:tcBorders>
            <w:shd w:val="clear" w:color="auto" w:fill="F7F7F7"/>
          </w:tcPr>
          <w:p>
            <w:pPr>
              <w:ind w:left="780"/>
              <w:spacing w:after="0"/>
              <w:rPr>
                <w:sz w:val="20"/>
                <w:szCs w:val="20"/>
                <w:color w:val="auto"/>
              </w:rPr>
            </w:pPr>
            <w:r>
              <w:rPr>
                <w:rFonts w:ascii="Arial" w:cs="Arial" w:eastAsia="Arial" w:hAnsi="Arial"/>
                <w:sz w:val="16"/>
                <w:szCs w:val="16"/>
                <w:color w:val="auto"/>
              </w:rPr>
              <w:t>28%</w:t>
            </w:r>
          </w:p>
        </w:tc>
        <w:tc>
          <w:tcPr>
            <w:tcW w:w="12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2"/>
        </w:trPr>
        <w:tc>
          <w:tcPr>
            <w:tcW w:w="3200" w:type="dxa"/>
            <w:vAlign w:val="bottom"/>
            <w:tcBorders>
              <w:bottom w:val="single" w:sz="8" w:color="F7F7F7"/>
            </w:tcBorders>
          </w:tcPr>
          <w:p>
            <w:pPr>
              <w:ind w:left="140"/>
              <w:spacing w:after="0"/>
              <w:rPr>
                <w:sz w:val="20"/>
                <w:szCs w:val="20"/>
                <w:color w:val="auto"/>
              </w:rPr>
            </w:pPr>
            <w:r>
              <w:rPr>
                <w:rFonts w:ascii="Arial" w:cs="Arial" w:eastAsia="Arial" w:hAnsi="Arial"/>
                <w:sz w:val="16"/>
                <w:szCs w:val="16"/>
                <w:color w:val="auto"/>
              </w:rPr>
              <w:t>Constant currency impact</w:t>
            </w:r>
          </w:p>
        </w:tc>
        <w:tc>
          <w:tcPr>
            <w:tcW w:w="14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(25)</w:t>
            </w:r>
          </w:p>
        </w:tc>
        <w:tc>
          <w:tcPr>
            <w:tcW w:w="11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(4)</w:t>
            </w:r>
          </w:p>
        </w:tc>
        <w:tc>
          <w:tcPr>
            <w:tcW w:w="1620" w:type="dxa"/>
            <w:vAlign w:val="bottom"/>
            <w:tcBorders>
              <w:bottom w:val="single" w:sz="8" w:color="auto"/>
            </w:tcBorders>
          </w:tcPr>
          <w:p>
            <w:pPr>
              <w:jc w:val="center"/>
              <w:ind w:left="661"/>
              <w:spacing w:after="0"/>
              <w:rPr>
                <w:sz w:val="20"/>
                <w:szCs w:val="20"/>
                <w:color w:val="auto"/>
              </w:rPr>
            </w:pPr>
            <w:r>
              <w:rPr>
                <w:rFonts w:ascii="Arial" w:cs="Arial" w:eastAsia="Arial" w:hAnsi="Arial"/>
                <w:sz w:val="16"/>
                <w:szCs w:val="16"/>
                <w:color w:val="auto"/>
              </w:rPr>
              <w:t>(1)</w:t>
            </w:r>
          </w:p>
        </w:tc>
        <w:tc>
          <w:tcPr>
            <w:tcW w:w="13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(3)</w:t>
            </w:r>
          </w:p>
        </w:tc>
        <w:tc>
          <w:tcPr>
            <w:tcW w:w="132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(1)</w:t>
            </w:r>
          </w:p>
        </w:tc>
        <w:tc>
          <w:tcPr>
            <w:tcW w:w="1220" w:type="dxa"/>
            <w:vAlign w:val="bottom"/>
            <w:tcBorders>
              <w:bottom w:val="single" w:sz="8" w:color="auto"/>
            </w:tcBorders>
          </w:tcPr>
          <w:p>
            <w:pPr>
              <w:jc w:val="center"/>
              <w:ind w:left="64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57"/>
        </w:trPr>
        <w:tc>
          <w:tcPr>
            <w:tcW w:w="3200" w:type="dxa"/>
            <w:vAlign w:val="bottom"/>
            <w:shd w:val="clear" w:color="auto" w:fill="F7F7F7"/>
          </w:tcPr>
          <w:p>
            <w:pPr>
              <w:ind w:left="140"/>
              <w:spacing w:after="0" w:line="157" w:lineRule="exact"/>
              <w:rPr>
                <w:sz w:val="20"/>
                <w:szCs w:val="20"/>
                <w:color w:val="auto"/>
              </w:rPr>
            </w:pPr>
            <w:r>
              <w:rPr>
                <w:rFonts w:ascii="Arial" w:cs="Arial" w:eastAsia="Arial" w:hAnsi="Arial"/>
                <w:sz w:val="16"/>
                <w:szCs w:val="16"/>
                <w:color w:val="auto"/>
              </w:rPr>
              <w:t>Percentage change YoY</w:t>
            </w:r>
          </w:p>
        </w:tc>
        <w:tc>
          <w:tcPr>
            <w:tcW w:w="1420" w:type="dxa"/>
            <w:vAlign w:val="bottom"/>
            <w:vMerge w:val="restart"/>
            <w:shd w:val="clear" w:color="auto" w:fill="F7F7F7"/>
          </w:tcPr>
          <w:p>
            <w:pPr>
              <w:jc w:val="right"/>
              <w:ind w:right="141"/>
              <w:spacing w:after="0"/>
              <w:rPr>
                <w:sz w:val="20"/>
                <w:szCs w:val="20"/>
                <w:color w:val="auto"/>
              </w:rPr>
            </w:pPr>
            <w:r>
              <w:rPr>
                <w:rFonts w:ascii="Arial" w:cs="Arial" w:eastAsia="Arial" w:hAnsi="Arial"/>
                <w:sz w:val="16"/>
                <w:szCs w:val="16"/>
                <w:color w:val="auto"/>
              </w:rPr>
              <w:t>30%</w:t>
            </w:r>
          </w:p>
        </w:tc>
        <w:tc>
          <w:tcPr>
            <w:tcW w:w="1160" w:type="dxa"/>
            <w:vAlign w:val="bottom"/>
            <w:vMerge w:val="restart"/>
            <w:shd w:val="clear" w:color="auto" w:fill="F7F7F7"/>
          </w:tcPr>
          <w:p>
            <w:pPr>
              <w:ind w:left="780"/>
              <w:spacing w:after="0"/>
              <w:rPr>
                <w:sz w:val="20"/>
                <w:szCs w:val="20"/>
                <w:color w:val="auto"/>
              </w:rPr>
            </w:pPr>
            <w:r>
              <w:rPr>
                <w:rFonts w:ascii="Arial" w:cs="Arial" w:eastAsia="Arial" w:hAnsi="Arial"/>
                <w:sz w:val="16"/>
                <w:szCs w:val="16"/>
                <w:color w:val="auto"/>
              </w:rPr>
              <w:t>32%</w:t>
            </w:r>
          </w:p>
        </w:tc>
        <w:tc>
          <w:tcPr>
            <w:tcW w:w="1620" w:type="dxa"/>
            <w:vAlign w:val="bottom"/>
            <w:vMerge w:val="restart"/>
            <w:shd w:val="clear" w:color="auto" w:fill="F7F7F7"/>
          </w:tcPr>
          <w:p>
            <w:pPr>
              <w:jc w:val="right"/>
              <w:ind w:right="121"/>
              <w:spacing w:after="0"/>
              <w:rPr>
                <w:sz w:val="20"/>
                <w:szCs w:val="20"/>
                <w:color w:val="auto"/>
              </w:rPr>
            </w:pPr>
            <w:r>
              <w:rPr>
                <w:rFonts w:ascii="Arial" w:cs="Arial" w:eastAsia="Arial" w:hAnsi="Arial"/>
                <w:sz w:val="16"/>
                <w:szCs w:val="16"/>
                <w:color w:val="auto"/>
              </w:rPr>
              <w:t>20%</w:t>
            </w:r>
          </w:p>
        </w:tc>
        <w:tc>
          <w:tcPr>
            <w:tcW w:w="1300" w:type="dxa"/>
            <w:vAlign w:val="bottom"/>
            <w:vMerge w:val="restart"/>
            <w:shd w:val="clear" w:color="auto" w:fill="F7F7F7"/>
          </w:tcPr>
          <w:p>
            <w:pPr>
              <w:ind w:left="780"/>
              <w:spacing w:after="0"/>
              <w:rPr>
                <w:sz w:val="20"/>
                <w:szCs w:val="20"/>
                <w:color w:val="auto"/>
              </w:rPr>
            </w:pPr>
            <w:r>
              <w:rPr>
                <w:rFonts w:ascii="Arial" w:cs="Arial" w:eastAsia="Arial" w:hAnsi="Arial"/>
                <w:sz w:val="16"/>
                <w:szCs w:val="16"/>
                <w:color w:val="auto"/>
              </w:rPr>
              <w:t>36%</w:t>
            </w:r>
          </w:p>
        </w:tc>
        <w:tc>
          <w:tcPr>
            <w:tcW w:w="1320" w:type="dxa"/>
            <w:vAlign w:val="bottom"/>
            <w:vMerge w:val="restart"/>
            <w:shd w:val="clear" w:color="auto" w:fill="F7F7F7"/>
          </w:tcPr>
          <w:p>
            <w:pPr>
              <w:ind w:left="780"/>
              <w:spacing w:after="0"/>
              <w:rPr>
                <w:sz w:val="20"/>
                <w:szCs w:val="20"/>
                <w:color w:val="auto"/>
              </w:rPr>
            </w:pPr>
            <w:r>
              <w:rPr>
                <w:rFonts w:ascii="Arial" w:cs="Arial" w:eastAsia="Arial" w:hAnsi="Arial"/>
                <w:sz w:val="16"/>
                <w:szCs w:val="16"/>
                <w:color w:val="auto"/>
              </w:rPr>
              <w:t>28%</w:t>
            </w:r>
          </w:p>
        </w:tc>
        <w:tc>
          <w:tcPr>
            <w:tcW w:w="1220" w:type="dxa"/>
            <w:vAlign w:val="bottom"/>
            <w:vMerge w:val="restart"/>
            <w:shd w:val="clear" w:color="auto" w:fill="F7F7F7"/>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6"/>
        </w:trPr>
        <w:tc>
          <w:tcPr>
            <w:tcW w:w="3200" w:type="dxa"/>
            <w:vAlign w:val="bottom"/>
            <w:shd w:val="clear" w:color="auto" w:fill="F7F7F7"/>
          </w:tcPr>
          <w:p>
            <w:pPr>
              <w:ind w:left="140"/>
              <w:spacing w:after="0"/>
              <w:rPr>
                <w:sz w:val="20"/>
                <w:szCs w:val="20"/>
                <w:color w:val="auto"/>
              </w:rPr>
            </w:pPr>
            <w:r>
              <w:rPr>
                <w:rFonts w:ascii="Arial" w:cs="Arial" w:eastAsia="Arial" w:hAnsi="Arial"/>
                <w:sz w:val="16"/>
                <w:szCs w:val="16"/>
                <w:color w:val="auto"/>
              </w:rPr>
              <w:t>constant currency</w:t>
            </w:r>
          </w:p>
        </w:tc>
        <w:tc>
          <w:tcPr>
            <w:tcW w:w="1420" w:type="dxa"/>
            <w:vAlign w:val="bottom"/>
            <w:vMerge w:val="continue"/>
            <w:shd w:val="clear" w:color="auto" w:fill="F7F7F7"/>
          </w:tcPr>
          <w:p>
            <w:pPr>
              <w:spacing w:after="0"/>
              <w:rPr>
                <w:sz w:val="18"/>
                <w:szCs w:val="18"/>
                <w:color w:val="auto"/>
              </w:rPr>
            </w:pPr>
          </w:p>
        </w:tc>
        <w:tc>
          <w:tcPr>
            <w:tcW w:w="1160" w:type="dxa"/>
            <w:vAlign w:val="bottom"/>
            <w:vMerge w:val="continue"/>
            <w:shd w:val="clear" w:color="auto" w:fill="F7F7F7"/>
          </w:tcPr>
          <w:p>
            <w:pPr>
              <w:spacing w:after="0"/>
              <w:rPr>
                <w:sz w:val="18"/>
                <w:szCs w:val="18"/>
                <w:color w:val="auto"/>
              </w:rPr>
            </w:pPr>
          </w:p>
        </w:tc>
        <w:tc>
          <w:tcPr>
            <w:tcW w:w="1620" w:type="dxa"/>
            <w:vAlign w:val="bottom"/>
            <w:vMerge w:val="continue"/>
            <w:shd w:val="clear" w:color="auto" w:fill="F7F7F7"/>
          </w:tcPr>
          <w:p>
            <w:pPr>
              <w:spacing w:after="0"/>
              <w:rPr>
                <w:sz w:val="18"/>
                <w:szCs w:val="18"/>
                <w:color w:val="auto"/>
              </w:rPr>
            </w:pPr>
          </w:p>
        </w:tc>
        <w:tc>
          <w:tcPr>
            <w:tcW w:w="1300" w:type="dxa"/>
            <w:vAlign w:val="bottom"/>
            <w:vMerge w:val="continue"/>
            <w:shd w:val="clear" w:color="auto" w:fill="F7F7F7"/>
          </w:tcPr>
          <w:p>
            <w:pPr>
              <w:spacing w:after="0"/>
              <w:rPr>
                <w:sz w:val="18"/>
                <w:szCs w:val="18"/>
                <w:color w:val="auto"/>
              </w:rPr>
            </w:pPr>
          </w:p>
        </w:tc>
        <w:tc>
          <w:tcPr>
            <w:tcW w:w="1320" w:type="dxa"/>
            <w:vAlign w:val="bottom"/>
            <w:vMerge w:val="continue"/>
            <w:shd w:val="clear" w:color="auto" w:fill="F7F7F7"/>
          </w:tcPr>
          <w:p>
            <w:pPr>
              <w:spacing w:after="0"/>
              <w:rPr>
                <w:sz w:val="18"/>
                <w:szCs w:val="18"/>
                <w:color w:val="auto"/>
              </w:rPr>
            </w:pPr>
          </w:p>
        </w:tc>
        <w:tc>
          <w:tcPr>
            <w:tcW w:w="1220" w:type="dxa"/>
            <w:vAlign w:val="bottom"/>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160"/>
        <w:spacing w:after="0"/>
        <w:rPr>
          <w:sz w:val="20"/>
          <w:szCs w:val="20"/>
          <w:color w:val="auto"/>
        </w:rPr>
      </w:pPr>
      <w:r>
        <w:rPr>
          <w:rFonts w:ascii="Arial" w:cs="Arial" w:eastAsia="Arial" w:hAnsi="Arial"/>
          <w:sz w:val="14"/>
          <w:szCs w:val="14"/>
          <w:color w:val="6D6D6D"/>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7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75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Regulatory Disclosures and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Regarding Forward-looking Statements</w:t>
      </w:r>
    </w:p>
    <w:p>
      <w:pPr>
        <w:spacing w:after="0" w:line="230" w:lineRule="exact"/>
        <w:rPr>
          <w:sz w:val="20"/>
          <w:szCs w:val="20"/>
          <w:color w:val="auto"/>
        </w:rPr>
      </w:pPr>
    </w:p>
    <w:p>
      <w:pPr>
        <w:jc w:val="both"/>
        <w:spacing w:after="0" w:line="372" w:lineRule="auto"/>
        <w:rPr>
          <w:sz w:val="20"/>
          <w:szCs w:val="20"/>
          <w:color w:val="auto"/>
        </w:rPr>
      </w:pPr>
      <w:r>
        <w:rPr>
          <w:rFonts w:ascii="Arial" w:cs="Arial" w:eastAsia="Arial" w:hAnsi="Arial"/>
          <w:sz w:val="16"/>
          <w:szCs w:val="16"/>
          <w:color w:val="auto"/>
        </w:rPr>
        <w:t xml:space="preserve">This press release contains forward-looking statements and forward-looking information (collectively, “forward-looking statements”), including statements related to Shopify’s financial outlook, such as expected revenue and expenses for the next fiscal quarter, Shopify's expectations regarding future investments in the business, and Shopify's expectations regarding the development of emerging technologies, including AI. These statements can be identified by words such as “will” and “expect” and are based on Shopify's current projections and expectations about future events and financial results. Known and unknown risks may cause actual results to differ materially from those described in the forward-looking statements. These risks include, but are not limited to, the Company’s ability to maintain expected growth and manage expenses, the impact of changes in economic conditions and consumer spending in key markets such as the United States, Europe, and globally, the impact of measures that affect international trade, including tariffs, the adoption and impact of emerging technologies such as AI, our reliance on third-party providers to deliver services, a cyberattack or security breach, and serious errors or defects in software or hardware. Other factors and risks that may cause actual results to differ materially from those set out in the forward-looking statements are set out in Shopify's Form 10-Q under the heading “Risk Factors” and other filings made with US and Canadian securities regulators, available at </w:t>
      </w:r>
      <w:r>
        <w:rPr>
          <w:rFonts w:ascii="Arial" w:cs="Arial" w:eastAsia="Arial" w:hAnsi="Arial"/>
          <w:sz w:val="16"/>
          <w:szCs w:val="16"/>
          <w:u w:val="single" w:color="auto"/>
          <w:color w:val="14896B"/>
        </w:rPr>
        <w:t>www.sec.gov</w:t>
      </w:r>
      <w:r>
        <w:rPr>
          <w:rFonts w:ascii="Arial" w:cs="Arial" w:eastAsia="Arial" w:hAnsi="Arial"/>
          <w:sz w:val="16"/>
          <w:szCs w:val="16"/>
          <w:color w:val="auto"/>
        </w:rPr>
        <w:t xml:space="preserve"> and </w:t>
      </w:r>
      <w:r>
        <w:rPr>
          <w:rFonts w:ascii="Arial" w:cs="Arial" w:eastAsia="Arial" w:hAnsi="Arial"/>
          <w:sz w:val="16"/>
          <w:szCs w:val="16"/>
          <w:u w:val="single" w:color="auto"/>
          <w:color w:val="14896B"/>
        </w:rPr>
        <w:t>www.sedarplus.ca</w:t>
      </w:r>
      <w:r>
        <w:rPr>
          <w:rFonts w:ascii="Arial" w:cs="Arial" w:eastAsia="Arial" w:hAnsi="Arial"/>
          <w:sz w:val="16"/>
          <w:szCs w:val="16"/>
          <w:color w:val="auto"/>
        </w:rPr>
        <w:t>. Undue reliance should not be placed on the forward-looking statements in this press release, which are based on information available to management on the date hereof and represent management’s beliefs regarding future events, projections, and financial trends, which, by their nature, are inherently uncertain. The forward-looking statements are provided to give additional information about management’s expectations and beliefs and may not be appropriate for other purposes. Shopify undertakes no duty to publicly update or revise any forward-looking statements, except as may be required by law.</w:t>
      </w:r>
    </w:p>
    <w:p>
      <w:pPr>
        <w:spacing w:after="0" w:line="382" w:lineRule="exact"/>
        <w:rPr>
          <w:sz w:val="20"/>
          <w:szCs w:val="20"/>
          <w:color w:val="auto"/>
        </w:rPr>
      </w:pPr>
    </w:p>
    <w:p>
      <w:pPr>
        <w:spacing w:after="0"/>
        <w:rPr>
          <w:sz w:val="20"/>
          <w:szCs w:val="20"/>
          <w:color w:val="auto"/>
        </w:rPr>
      </w:pPr>
      <w:r>
        <w:rPr>
          <w:rFonts w:ascii="Arial" w:cs="Arial" w:eastAsia="Arial" w:hAnsi="Arial"/>
          <w:sz w:val="11"/>
          <w:szCs w:val="11"/>
          <w:color w:val="6D6D6D"/>
        </w:rPr>
        <w:t>Endnotes:</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1"/>
          <w:szCs w:val="11"/>
          <w:i w:val="1"/>
          <w:iCs w:val="1"/>
          <w:color w:val="6D6D6D"/>
        </w:rPr>
        <w:t xml:space="preserve">Gross Merchandise Volume, </w:t>
      </w:r>
      <w:r>
        <w:rPr>
          <w:rFonts w:ascii="Arial" w:cs="Arial" w:eastAsia="Arial" w:hAnsi="Arial"/>
          <w:sz w:val="11"/>
          <w:szCs w:val="11"/>
          <w:color w:val="6D6D6D"/>
        </w:rPr>
        <w:t>or GMV, represents the total dollar value of orders facilitated through the Shopify platform including certain apps and channels for which a revenue-sharing arrangement is in place in the period, net of</w:t>
      </w:r>
      <w:r>
        <w:rPr>
          <w:rFonts w:ascii="Arial" w:cs="Arial" w:eastAsia="Arial" w:hAnsi="Arial"/>
          <w:sz w:val="11"/>
          <w:szCs w:val="11"/>
          <w:i w:val="1"/>
          <w:iCs w:val="1"/>
          <w:color w:val="6D6D6D"/>
        </w:rPr>
        <w:t xml:space="preserve"> </w:t>
      </w:r>
      <w:r>
        <w:rPr>
          <w:rFonts w:ascii="Arial" w:cs="Arial" w:eastAsia="Arial" w:hAnsi="Arial"/>
          <w:sz w:val="11"/>
          <w:szCs w:val="11"/>
          <w:color w:val="6D6D6D"/>
        </w:rPr>
        <w:t>refunds, and inclusive of shipping and handling, duty, and value-added taxes.</w:t>
      </w:r>
    </w:p>
    <w:p>
      <w:pPr>
        <w:spacing w:after="0" w:line="92" w:lineRule="exact"/>
        <w:rPr>
          <w:sz w:val="20"/>
          <w:szCs w:val="20"/>
          <w:color w:val="auto"/>
        </w:rPr>
      </w:pPr>
    </w:p>
    <w:p>
      <w:pPr>
        <w:ind w:right="180"/>
        <w:spacing w:after="0" w:line="285" w:lineRule="auto"/>
        <w:rPr>
          <w:sz w:val="20"/>
          <w:szCs w:val="20"/>
          <w:color w:val="auto"/>
        </w:rPr>
      </w:pPr>
      <w:r>
        <w:rPr>
          <w:rFonts w:ascii="Arial" w:cs="Arial" w:eastAsia="Arial" w:hAnsi="Arial"/>
          <w:sz w:val="11"/>
          <w:szCs w:val="11"/>
          <w:i w:val="1"/>
          <w:iCs w:val="1"/>
          <w:color w:val="6D6D6D"/>
        </w:rPr>
        <w:t>Monthly Recurring Revenue</w:t>
      </w:r>
      <w:r>
        <w:rPr>
          <w:rFonts w:ascii="Arial" w:cs="Arial" w:eastAsia="Arial" w:hAnsi="Arial"/>
          <w:sz w:val="11"/>
          <w:szCs w:val="11"/>
          <w:color w:val="6D6D6D"/>
        </w:rPr>
        <w:t>, or MRR, is the aggregate value of all subscription plans, excluding variable platform fees, in effect on the last day of the period, assuming merchants maintain their subscription the following month and is</w:t>
      </w:r>
      <w:r>
        <w:rPr>
          <w:rFonts w:ascii="Arial" w:cs="Arial" w:eastAsia="Arial" w:hAnsi="Arial"/>
          <w:sz w:val="11"/>
          <w:szCs w:val="11"/>
          <w:i w:val="1"/>
          <w:iCs w:val="1"/>
          <w:color w:val="6D6D6D"/>
        </w:rPr>
        <w:t xml:space="preserve"> </w:t>
      </w:r>
      <w:r>
        <w:rPr>
          <w:rFonts w:ascii="Arial" w:cs="Arial" w:eastAsia="Arial" w:hAnsi="Arial"/>
          <w:sz w:val="11"/>
          <w:szCs w:val="11"/>
          <w:color w:val="6D6D6D"/>
        </w:rPr>
        <w:t>used by management as a directional indicator of subscription solutions revenue going forward.</w:t>
      </w:r>
    </w:p>
    <w:p>
      <w:pPr>
        <w:spacing w:after="0" w:line="64" w:lineRule="exact"/>
        <w:rPr>
          <w:sz w:val="20"/>
          <w:szCs w:val="20"/>
          <w:color w:val="auto"/>
        </w:rPr>
      </w:pPr>
    </w:p>
    <w:p>
      <w:pPr>
        <w:spacing w:after="0"/>
        <w:rPr>
          <w:sz w:val="20"/>
          <w:szCs w:val="20"/>
          <w:color w:val="auto"/>
        </w:rPr>
      </w:pPr>
      <w:r>
        <w:rPr>
          <w:rFonts w:ascii="Arial" w:cs="Arial" w:eastAsia="Arial" w:hAnsi="Arial"/>
          <w:sz w:val="10"/>
          <w:szCs w:val="10"/>
          <w:i w:val="1"/>
          <w:iCs w:val="1"/>
          <w:color w:val="6D6D6D"/>
        </w:rPr>
        <w:t xml:space="preserve">Free cash flow </w:t>
      </w:r>
      <w:r>
        <w:rPr>
          <w:rFonts w:ascii="Arial" w:cs="Arial" w:eastAsia="Arial" w:hAnsi="Arial"/>
          <w:sz w:val="10"/>
          <w:szCs w:val="10"/>
          <w:color w:val="6D6D6D"/>
        </w:rPr>
        <w:t>and</w:t>
      </w:r>
      <w:r>
        <w:rPr>
          <w:rFonts w:ascii="Arial" w:cs="Arial" w:eastAsia="Arial" w:hAnsi="Arial"/>
          <w:sz w:val="10"/>
          <w:szCs w:val="10"/>
          <w:i w:val="1"/>
          <w:iCs w:val="1"/>
          <w:color w:val="6D6D6D"/>
        </w:rPr>
        <w:t xml:space="preserve"> free cash flow margin </w:t>
      </w:r>
      <w:r>
        <w:rPr>
          <w:rFonts w:ascii="Arial" w:cs="Arial" w:eastAsia="Arial" w:hAnsi="Arial"/>
          <w:sz w:val="10"/>
          <w:szCs w:val="10"/>
          <w:color w:val="6D6D6D"/>
        </w:rPr>
        <w:t>are non-GAAP financial measures that are reconciled in the non-GAAP reconciliation within this press release. These non-GAAP financial measures do not have standardized meanings under</w:t>
      </w:r>
    </w:p>
    <w:p>
      <w:pPr>
        <w:spacing w:after="0" w:line="27" w:lineRule="exact"/>
        <w:rPr>
          <w:sz w:val="20"/>
          <w:szCs w:val="20"/>
          <w:color w:val="auto"/>
        </w:rPr>
      </w:pPr>
    </w:p>
    <w:p>
      <w:pPr>
        <w:ind w:right="180"/>
        <w:spacing w:after="0" w:line="267" w:lineRule="auto"/>
        <w:rPr>
          <w:sz w:val="20"/>
          <w:szCs w:val="20"/>
          <w:color w:val="auto"/>
        </w:rPr>
      </w:pPr>
      <w:r>
        <w:rPr>
          <w:rFonts w:ascii="Arial" w:cs="Arial" w:eastAsia="Arial" w:hAnsi="Arial"/>
          <w:sz w:val="10"/>
          <w:szCs w:val="10"/>
          <w:color w:val="6D6D6D"/>
        </w:rPr>
        <w:t>US GAAP and may not be comparable to similar measures presented by other companies. Shopify believes free cash flow and free cash flow margin provide useful information to help investors and others understand our operating results and the performance of our business in the same manner as management. Shopify does not reconcile forward-looking non-GAAP free cash flow margin because certain financial information, the probable significance of which</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6D6D6D"/>
        </w:rPr>
        <w:t>cannot be determined, is not available and cannot be reasonably estimated. Free cash flow is a non-GAAP financial measure calculated as cash flow from operations less capital expenditures.</w:t>
      </w:r>
    </w:p>
    <w:p>
      <w:pPr>
        <w:spacing w:after="0" w:line="110" w:lineRule="exact"/>
        <w:rPr>
          <w:sz w:val="20"/>
          <w:szCs w:val="20"/>
          <w:color w:val="auto"/>
        </w:rPr>
      </w:pPr>
    </w:p>
    <w:p>
      <w:pPr>
        <w:ind w:right="140"/>
        <w:spacing w:after="0" w:line="274" w:lineRule="auto"/>
        <w:rPr>
          <w:sz w:val="20"/>
          <w:szCs w:val="20"/>
          <w:color w:val="auto"/>
        </w:rPr>
      </w:pPr>
      <w:r>
        <w:rPr>
          <w:rFonts w:ascii="Arial" w:cs="Arial" w:eastAsia="Arial" w:hAnsi="Arial"/>
          <w:sz w:val="10"/>
          <w:szCs w:val="10"/>
          <w:i w:val="1"/>
          <w:iCs w:val="1"/>
          <w:color w:val="6D6D6D"/>
        </w:rPr>
        <w:t xml:space="preserve">Reconciliation of GAAP Net Income to Non-GAAP Net Income </w:t>
      </w:r>
      <w:r>
        <w:rPr>
          <w:rFonts w:ascii="Arial" w:cs="Arial" w:eastAsia="Arial" w:hAnsi="Arial"/>
          <w:sz w:val="10"/>
          <w:szCs w:val="10"/>
          <w:color w:val="6D6D6D"/>
        </w:rPr>
        <w:t>provides supplementary non-GAAP financial measures for non-GAAP net income and diluted net income per share to consider in evaluating operating performance. Non-GAAP adjustments to net income include stock-based compensation expense and related payroll taxes, amortization of acquired intangible assets, impairment of right-of-use assets and leaseholds, net loss on equity and other</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1"/>
          <w:szCs w:val="11"/>
          <w:color w:val="6D6D6D"/>
        </w:rPr>
        <w:t>investments, net loss on equity method investment, loss on embedded derivative, and income tax effects and tax adjustments, including a release of valuation allowance as a discrete tax benefit. These non-GAAP measures should not be viewed as a substitute for reported results determined in accordance with GAAP, nor are they necessarily comparable to non-GAAP measures that may be presented by other companies.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6D6D6D"/>
        </w:rPr>
        <w:t>9</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2026-11-03T07:09:45Z</dcterms:created>
  <dcterms:modified xsi:type="dcterms:W3CDTF">2026-11-03T07:09:45Z</dcterms:modified>
</cp:coreProperties>
</file>