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08"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November 3, 2026</w:t>
      </w:r>
    </w:p>
    <w:p>
      <w:pPr>
        <w:spacing w:after="0" w:line="36" w:lineRule="exact"/>
        <w:rPr>
          <w:sz w:val="24"/>
          <w:szCs w:val="24"/>
          <w:color w:val="auto"/>
        </w:rPr>
      </w:pPr>
    </w:p>
    <w:p>
      <w:pPr>
        <w:ind w:left="71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586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803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92710</wp:posOffset>
            </wp:positionV>
            <wp:extent cx="586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8035" cy="8255"/>
                    </a:xfrm>
                    <a:prstGeom prst="rect">
                      <a:avLst/>
                    </a:prstGeom>
                    <a:noFill/>
                  </pic:spPr>
                </pic:pic>
              </a:graphicData>
            </a:graphic>
          </wp:anchor>
        </w:drawing>
      </w: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2440" w:type="dxa"/>
            <w:vAlign w:val="bottom"/>
          </w:tcPr>
          <w:p>
            <w:pPr>
              <w:spacing w:after="0"/>
              <w:rPr>
                <w:sz w:val="24"/>
                <w:szCs w:val="24"/>
                <w:color w:val="auto"/>
              </w:rPr>
            </w:pPr>
          </w:p>
        </w:tc>
        <w:tc>
          <w:tcPr>
            <w:tcW w:w="5000" w:type="dxa"/>
            <w:vAlign w:val="bottom"/>
          </w:tcPr>
          <w:p>
            <w:pPr>
              <w:jc w:val="center"/>
              <w:ind w:right="533"/>
              <w:spacing w:after="0"/>
              <w:rPr>
                <w:sz w:val="20"/>
                <w:szCs w:val="20"/>
                <w:color w:val="auto"/>
              </w:rPr>
            </w:pPr>
            <w:r>
              <w:rPr>
                <w:rFonts w:ascii="Times New Roman" w:cs="Times New Roman" w:eastAsia="Times New Roman" w:hAnsi="Times New Roman"/>
                <w:sz w:val="24"/>
                <w:szCs w:val="24"/>
                <w:b w:val="1"/>
                <w:bCs w:val="1"/>
                <w:color w:val="auto"/>
                <w:w w:val="98"/>
              </w:rPr>
              <w:t>UNITED STATES</w:t>
            </w:r>
          </w:p>
        </w:tc>
      </w:tr>
      <w:tr>
        <w:trPr>
          <w:trHeight w:val="280"/>
        </w:trPr>
        <w:tc>
          <w:tcPr>
            <w:tcW w:w="7440" w:type="dxa"/>
            <w:vAlign w:val="bottom"/>
            <w:gridSpan w:val="2"/>
          </w:tcPr>
          <w:p>
            <w:pPr>
              <w:jc w:val="center"/>
              <w:ind w:left="1708"/>
              <w:spacing w:after="0"/>
              <w:rPr>
                <w:sz w:val="20"/>
                <w:szCs w:val="20"/>
                <w:color w:val="auto"/>
              </w:rPr>
            </w:pPr>
            <w:r>
              <w:rPr>
                <w:rFonts w:ascii="Times New Roman" w:cs="Times New Roman" w:eastAsia="Times New Roman" w:hAnsi="Times New Roman"/>
                <w:sz w:val="24"/>
                <w:szCs w:val="24"/>
                <w:b w:val="1"/>
                <w:bCs w:val="1"/>
                <w:color w:val="auto"/>
                <w:w w:val="99"/>
              </w:rPr>
              <w:t>SECURITIES AND EXCHANGE COMMISSION</w:t>
            </w:r>
          </w:p>
        </w:tc>
      </w:tr>
      <w:tr>
        <w:trPr>
          <w:trHeight w:val="271"/>
        </w:trPr>
        <w:tc>
          <w:tcPr>
            <w:tcW w:w="2440" w:type="dxa"/>
            <w:vAlign w:val="bottom"/>
          </w:tcPr>
          <w:p>
            <w:pPr>
              <w:spacing w:after="0"/>
              <w:rPr>
                <w:sz w:val="23"/>
                <w:szCs w:val="23"/>
                <w:color w:val="auto"/>
              </w:rPr>
            </w:pPr>
          </w:p>
        </w:tc>
        <w:tc>
          <w:tcPr>
            <w:tcW w:w="5000" w:type="dxa"/>
            <w:vAlign w:val="bottom"/>
          </w:tcPr>
          <w:p>
            <w:pPr>
              <w:jc w:val="center"/>
              <w:ind w:right="533"/>
              <w:spacing w:after="0"/>
              <w:rPr>
                <w:sz w:val="20"/>
                <w:szCs w:val="20"/>
                <w:color w:val="auto"/>
              </w:rPr>
            </w:pPr>
            <w:r>
              <w:rPr>
                <w:rFonts w:ascii="Times New Roman" w:cs="Times New Roman" w:eastAsia="Times New Roman" w:hAnsi="Times New Roman"/>
                <w:sz w:val="21"/>
                <w:szCs w:val="21"/>
                <w:b w:val="1"/>
                <w:bCs w:val="1"/>
                <w:color w:val="auto"/>
                <w:w w:val="97"/>
              </w:rPr>
              <w:t>Washington, D.C. 20549</w:t>
            </w:r>
          </w:p>
        </w:tc>
      </w:tr>
      <w:tr>
        <w:trPr>
          <w:trHeight w:val="508"/>
        </w:trPr>
        <w:tc>
          <w:tcPr>
            <w:tcW w:w="2440" w:type="dxa"/>
            <w:vAlign w:val="bottom"/>
          </w:tcPr>
          <w:p>
            <w:pPr>
              <w:spacing w:after="0"/>
              <w:rPr>
                <w:sz w:val="24"/>
                <w:szCs w:val="24"/>
                <w:color w:val="auto"/>
              </w:rPr>
            </w:pPr>
          </w:p>
        </w:tc>
        <w:tc>
          <w:tcPr>
            <w:tcW w:w="5000" w:type="dxa"/>
            <w:vAlign w:val="bottom"/>
          </w:tcPr>
          <w:p>
            <w:pPr>
              <w:jc w:val="center"/>
              <w:ind w:right="533"/>
              <w:spacing w:after="0"/>
              <w:rPr>
                <w:sz w:val="20"/>
                <w:szCs w:val="20"/>
                <w:color w:val="auto"/>
              </w:rPr>
            </w:pPr>
            <w:r>
              <w:rPr>
                <w:rFonts w:ascii="Times New Roman" w:cs="Times New Roman" w:eastAsia="Times New Roman" w:hAnsi="Times New Roman"/>
                <w:sz w:val="27"/>
                <w:szCs w:val="27"/>
                <w:b w:val="1"/>
                <w:bCs w:val="1"/>
                <w:color w:val="auto"/>
              </w:rPr>
              <w:t>FORM S-3</w:t>
            </w:r>
          </w:p>
        </w:tc>
      </w:tr>
      <w:tr>
        <w:trPr>
          <w:trHeight w:val="226"/>
        </w:trPr>
        <w:tc>
          <w:tcPr>
            <w:tcW w:w="7440" w:type="dxa"/>
            <w:vAlign w:val="bottom"/>
            <w:gridSpan w:val="2"/>
          </w:tcPr>
          <w:p>
            <w:pPr>
              <w:jc w:val="center"/>
              <w:ind w:left="1728"/>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tc>
      </w:tr>
      <w:tr>
        <w:trPr>
          <w:trHeight w:val="535"/>
        </w:trPr>
        <w:tc>
          <w:tcPr>
            <w:tcW w:w="2440" w:type="dxa"/>
            <w:vAlign w:val="bottom"/>
          </w:tcPr>
          <w:p>
            <w:pPr>
              <w:spacing w:after="0"/>
              <w:rPr>
                <w:sz w:val="24"/>
                <w:szCs w:val="24"/>
                <w:color w:val="auto"/>
              </w:rPr>
            </w:pPr>
          </w:p>
        </w:tc>
        <w:tc>
          <w:tcPr>
            <w:tcW w:w="5000" w:type="dxa"/>
            <w:vAlign w:val="bottom"/>
          </w:tcPr>
          <w:p>
            <w:pPr>
              <w:jc w:val="center"/>
              <w:ind w:right="613"/>
              <w:spacing w:after="0"/>
              <w:rPr>
                <w:sz w:val="20"/>
                <w:szCs w:val="20"/>
                <w:color w:val="auto"/>
              </w:rPr>
            </w:pPr>
            <w:r>
              <w:rPr>
                <w:rFonts w:ascii="Times New Roman" w:cs="Times New Roman" w:eastAsia="Times New Roman" w:hAnsi="Times New Roman"/>
                <w:sz w:val="31"/>
                <w:szCs w:val="31"/>
                <w:b w:val="1"/>
                <w:bCs w:val="1"/>
                <w:color w:val="auto"/>
                <w:w w:val="98"/>
              </w:rPr>
              <w:t>SHOPIFY INC.</w:t>
            </w:r>
          </w:p>
        </w:tc>
      </w:tr>
      <w:tr>
        <w:trPr>
          <w:trHeight w:val="222"/>
        </w:trPr>
        <w:tc>
          <w:tcPr>
            <w:tcW w:w="2440" w:type="dxa"/>
            <w:vAlign w:val="bottom"/>
          </w:tcPr>
          <w:p>
            <w:pPr>
              <w:spacing w:after="0"/>
              <w:rPr>
                <w:sz w:val="19"/>
                <w:szCs w:val="19"/>
                <w:color w:val="auto"/>
              </w:rPr>
            </w:pPr>
          </w:p>
        </w:tc>
        <w:tc>
          <w:tcPr>
            <w:tcW w:w="5000" w:type="dxa"/>
            <w:vAlign w:val="bottom"/>
          </w:tcPr>
          <w:p>
            <w:pPr>
              <w:jc w:val="center"/>
              <w:ind w:right="533"/>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r>
      <w:tr>
        <w:trPr>
          <w:trHeight w:val="291"/>
        </w:trPr>
        <w:tc>
          <w:tcPr>
            <w:tcW w:w="2440" w:type="dxa"/>
            <w:vAlign w:val="bottom"/>
          </w:tcPr>
          <w:p>
            <w:pPr>
              <w:jc w:val="center"/>
              <w:ind w:right="288"/>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5000" w:type="dxa"/>
            <w:vAlign w:val="bottom"/>
          </w:tcPr>
          <w:p>
            <w:pPr>
              <w:jc w:val="center"/>
              <w:ind w:left="3573"/>
              <w:spacing w:after="0"/>
              <w:rPr>
                <w:sz w:val="20"/>
                <w:szCs w:val="20"/>
                <w:color w:val="auto"/>
              </w:rPr>
            </w:pPr>
            <w:r>
              <w:rPr>
                <w:rFonts w:ascii="Times New Roman" w:cs="Times New Roman" w:eastAsia="Times New Roman" w:hAnsi="Times New Roman"/>
                <w:sz w:val="17"/>
                <w:szCs w:val="17"/>
                <w:b w:val="1"/>
                <w:bCs w:val="1"/>
                <w:color w:val="auto"/>
              </w:rPr>
              <w:t>98-0486686</w:t>
            </w:r>
          </w:p>
        </w:tc>
      </w:tr>
      <w:tr>
        <w:trPr>
          <w:trHeight w:val="205"/>
        </w:trPr>
        <w:tc>
          <w:tcPr>
            <w:tcW w:w="244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5000" w:type="dxa"/>
            <w:vAlign w:val="bottom"/>
          </w:tcPr>
          <w:p>
            <w:pPr>
              <w:jc w:val="center"/>
              <w:ind w:left="3573"/>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244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5000" w:type="dxa"/>
            <w:vAlign w:val="bottom"/>
          </w:tcPr>
          <w:p>
            <w:pPr>
              <w:jc w:val="center"/>
              <w:ind w:left="3573"/>
              <w:spacing w:after="0"/>
              <w:rPr>
                <w:sz w:val="20"/>
                <w:szCs w:val="20"/>
                <w:color w:val="auto"/>
              </w:rPr>
            </w:pPr>
            <w:r>
              <w:rPr>
                <w:rFonts w:ascii="Times New Roman" w:cs="Times New Roman" w:eastAsia="Times New Roman" w:hAnsi="Times New Roman"/>
                <w:sz w:val="17"/>
                <w:szCs w:val="17"/>
                <w:color w:val="auto"/>
              </w:rPr>
              <w:t>Identification No.)</w:t>
            </w:r>
          </w:p>
        </w:tc>
      </w:tr>
    </w:tbl>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8488 Rozita Lee Ave, Bldg 3,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Las Vegas, Nevada 89113</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(613) 241-2828 x 1045</w:t>
      </w:r>
    </w:p>
    <w:p>
      <w:pPr>
        <w:spacing w:after="0" w:line="10"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color w:val="auto"/>
        </w:rPr>
        <w:t>(Address, including zip code, and telephone number,</w:t>
      </w:r>
    </w:p>
    <w:p>
      <w:pPr>
        <w:spacing w:after="0" w:line="10"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color w:val="auto"/>
        </w:rPr>
        <w:t>including area code, of registrant’s principal executive offices)</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251 Little Falls Drive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Wilmington, New Castle County, DE 19808-1674</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(302) 636-5400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Copies to:</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0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Jean Niehaus</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Ryan J. Dzierniejko</w:t>
            </w: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Sean Vanderpol</w:t>
            </w:r>
          </w:p>
        </w:tc>
      </w:tr>
      <w:tr>
        <w:trPr>
          <w:trHeight w:val="193"/>
        </w:trPr>
        <w:tc>
          <w:tcPr>
            <w:tcW w:w="30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General Counsel</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Skadden, Arps, Slate, Meagher &amp;</w:t>
            </w: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Stikeman Elliott LLP</w:t>
            </w:r>
          </w:p>
        </w:tc>
      </w:tr>
      <w:tr>
        <w:trPr>
          <w:trHeight w:val="193"/>
        </w:trPr>
        <w:tc>
          <w:tcPr>
            <w:tcW w:w="306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Shopify Inc.</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Flom LLP</w:t>
            </w:r>
          </w:p>
        </w:tc>
        <w:tc>
          <w:tcPr>
            <w:tcW w:w="28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5300 Commerce Court West</w:t>
            </w:r>
          </w:p>
        </w:tc>
      </w:tr>
      <w:tr>
        <w:trPr>
          <w:trHeight w:val="193"/>
        </w:trPr>
        <w:tc>
          <w:tcPr>
            <w:tcW w:w="30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8488 Rozita Lee Ave, Bldg 3, Suite 100</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One Manhattan West</w:t>
            </w: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199 Bay Street</w:t>
            </w:r>
          </w:p>
        </w:tc>
      </w:tr>
      <w:tr>
        <w:trPr>
          <w:trHeight w:val="193"/>
        </w:trPr>
        <w:tc>
          <w:tcPr>
            <w:tcW w:w="30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Las Vegas, Nevada, United States 89113</w:t>
            </w: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United States</w:t>
            </w: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Toronto, Ontario, Canada M5L 1B9</w:t>
            </w:r>
          </w:p>
        </w:tc>
      </w:tr>
      <w:tr>
        <w:trPr>
          <w:trHeight w:val="193"/>
        </w:trPr>
        <w:tc>
          <w:tcPr>
            <w:tcW w:w="306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(613) 241-2828 x 1045</w:t>
            </w:r>
          </w:p>
        </w:tc>
        <w:tc>
          <w:tcPr>
            <w:tcW w:w="3120" w:type="dxa"/>
            <w:vAlign w:val="bottom"/>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10001-8602</w:t>
            </w:r>
          </w:p>
        </w:tc>
        <w:tc>
          <w:tcPr>
            <w:tcW w:w="284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(416) 869-5500</w:t>
            </w:r>
          </w:p>
        </w:tc>
      </w:tr>
      <w:tr>
        <w:trPr>
          <w:trHeight w:val="213"/>
        </w:trPr>
        <w:tc>
          <w:tcPr>
            <w:tcW w:w="3060" w:type="dxa"/>
            <w:vAlign w:val="bottom"/>
          </w:tcPr>
          <w:p>
            <w:pPr>
              <w:spacing w:after="0"/>
              <w:rPr>
                <w:sz w:val="18"/>
                <w:szCs w:val="18"/>
                <w:color w:val="auto"/>
              </w:rPr>
            </w:pPr>
          </w:p>
        </w:tc>
        <w:tc>
          <w:tcPr>
            <w:tcW w:w="312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(212) 735-3712</w:t>
            </w:r>
          </w:p>
        </w:tc>
        <w:tc>
          <w:tcPr>
            <w:tcW w:w="2840" w:type="dxa"/>
            <w:vAlign w:val="bottom"/>
          </w:tcPr>
          <w:p>
            <w:pPr>
              <w:spacing w:after="0"/>
              <w:rPr>
                <w:sz w:val="18"/>
                <w:szCs w:val="18"/>
                <w:color w:val="auto"/>
              </w:rPr>
            </w:pPr>
          </w:p>
        </w:tc>
      </w:tr>
    </w:tbl>
    <w:p>
      <w:pPr>
        <w:spacing w:after="0" w:line="86"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Statement.</w:t>
      </w: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9"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0"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0"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9"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9"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40"/>
          </w:cols>
          <w:pgMar w:left="1320" w:top="218" w:right="1339" w:bottom="1440" w:gutter="0" w:footer="0" w:header="0"/>
        </w:sectPr>
      </w:pPr>
    </w:p>
    <w:p>
      <w:pPr>
        <w:spacing w:after="0" w:line="4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05" w:lineRule="exact"/>
        <w:rPr>
          <w:sz w:val="24"/>
          <w:szCs w:val="24"/>
          <w:color w:val="auto"/>
        </w:rPr>
      </w:pPr>
    </w:p>
    <w:p>
      <w:pPr>
        <w:sectPr>
          <w:pgSz w:w="11900" w:h="16838" w:orient="portrait"/>
          <w:cols w:equalWidth="0" w:num="2">
            <w:col w:w="3800" w:space="720"/>
            <w:col w:w="4720"/>
          </w:cols>
          <w:pgMar w:left="1320" w:top="218" w:right="1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95" w:lineRule="exact"/>
        <w:rPr>
          <w:sz w:val="24"/>
          <w:szCs w:val="24"/>
          <w:color w:val="auto"/>
        </w:rPr>
      </w:pPr>
    </w:p>
    <w:p>
      <w:pPr>
        <w:sectPr>
          <w:pgSz w:w="11900" w:h="16838" w:orient="portrait"/>
          <w:cols w:equalWidth="0" w:num="2">
            <w:col w:w="3800" w:space="720"/>
            <w:col w:w="4720"/>
          </w:cols>
          <w:pgMar w:left="1320" w:top="218" w:right="1339" w:bottom="1440" w:gutter="0" w:footer="0" w:header="0"/>
          <w:type w:val="continuous"/>
        </w:sectPr>
      </w:pPr>
    </w:p>
    <w:p>
      <w:pPr>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586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179070</wp:posOffset>
            </wp:positionV>
            <wp:extent cx="586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8035" cy="1651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301625</wp:posOffset>
            </wp:positionV>
            <wp:extent cx="665035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240"/>
          </w:cols>
          <w:pgMar w:left="1320" w:top="218" w:right="1339" w:bottom="1440" w:gutter="0" w:footer="0" w:header="0"/>
          <w:type w:val="continuous"/>
        </w:sectPr>
      </w:pPr>
    </w:p>
    <w:bookmarkStart w:id="1" w:name="page2"/>
    <w:bookmarkEnd w:id="1"/>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173990</wp:posOffset>
            </wp:positionV>
            <wp:extent cx="2428875" cy="692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8875" cy="69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Shopify Inc.</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Class A Subordinate Voting Shares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Preferred Shares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Subscription Receipts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160655</wp:posOffset>
            </wp:positionV>
            <wp:extent cx="1043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332" w:lineRule="exact"/>
        <w:rPr>
          <w:sz w:val="20"/>
          <w:szCs w:val="20"/>
          <w:color w:val="auto"/>
        </w:rPr>
      </w:pPr>
    </w:p>
    <w:p>
      <w:pPr>
        <w:jc w:val="both"/>
        <w:ind w:left="600" w:right="619" w:firstLine="342"/>
        <w:spacing w:after="0" w:line="257" w:lineRule="auto"/>
        <w:rPr>
          <w:sz w:val="20"/>
          <w:szCs w:val="20"/>
          <w:color w:val="auto"/>
        </w:rPr>
      </w:pPr>
      <w:r>
        <w:rPr>
          <w:rFonts w:ascii="Times New Roman" w:cs="Times New Roman" w:eastAsia="Times New Roman" w:hAnsi="Times New Roman"/>
          <w:sz w:val="17"/>
          <w:szCs w:val="17"/>
          <w:color w:val="auto"/>
        </w:rPr>
        <w:t>We may offer and sell from time to time, in one or more offerings, Class A subordinate voting shares (“Class A Subordinate Voting Shares”), preferred shares (“Preferred Shares”), debt securities (“Debt Securities”), warrants (“Warrants”) to acquire any of the other securities that are described in this prospectus, subscription receipts (“Subscription Receipts”), units (“Units”) comprised of one or more of any of the other securities that are described in this prospectus, or any combination of such securities (all of the foregoing collectively, the “Securities” and individually, a “Security”). One or more securityholders of the Company may also offer and sell Securities under this prospectus.</w:t>
      </w:r>
    </w:p>
    <w:p>
      <w:pPr>
        <w:spacing w:after="0" w:line="75" w:lineRule="exact"/>
        <w:rPr>
          <w:sz w:val="20"/>
          <w:szCs w:val="20"/>
          <w:color w:val="auto"/>
        </w:rPr>
      </w:pPr>
    </w:p>
    <w:p>
      <w:pPr>
        <w:jc w:val="both"/>
        <w:ind w:left="600" w:right="619" w:firstLine="342"/>
        <w:spacing w:after="0" w:line="255" w:lineRule="auto"/>
        <w:rPr>
          <w:sz w:val="20"/>
          <w:szCs w:val="20"/>
          <w:color w:val="auto"/>
        </w:rPr>
      </w:pPr>
      <w:r>
        <w:rPr>
          <w:rFonts w:ascii="Times New Roman" w:cs="Times New Roman" w:eastAsia="Times New Roman" w:hAnsi="Times New Roman"/>
          <w:sz w:val="17"/>
          <w:szCs w:val="17"/>
          <w:color w:val="auto"/>
        </w:rPr>
        <w:t>Any of these Securities may be offered together or separately and in one or more series, if any, in amounts, at prices and on other terms to be determined at the time of the offering and described in an accompanying prospectus supplement. This prospectus describes some of the general terms that may apply to these Securities and the specific manner in which the Securities will be offered. We, or any selling securityholders, will provide you with the specific terms of the particular Securities being offered in supplements to this prospectus. In the case of an offering by a selling securityholder, the applicable prospectus supplement will include the identity of, and specific information required with respect to, any selling securityholder. Any prospectus supplement may also add, update or change information contained in this prospectus. You should read this prospectus and each related prospectus supplement carefully before you invest. This prospectus may not be used to sell Securities unless accompanied by a prospectus supplement.</w:t>
      </w:r>
    </w:p>
    <w:p>
      <w:pPr>
        <w:spacing w:after="0" w:line="79" w:lineRule="exact"/>
        <w:rPr>
          <w:sz w:val="20"/>
          <w:szCs w:val="20"/>
          <w:color w:val="auto"/>
        </w:rPr>
      </w:pPr>
    </w:p>
    <w:p>
      <w:pPr>
        <w:jc w:val="both"/>
        <w:ind w:left="600" w:right="619" w:firstLine="342"/>
        <w:spacing w:after="0" w:line="257" w:lineRule="auto"/>
        <w:rPr>
          <w:sz w:val="20"/>
          <w:szCs w:val="20"/>
          <w:color w:val="auto"/>
        </w:rPr>
      </w:pPr>
      <w:r>
        <w:rPr>
          <w:rFonts w:ascii="Times New Roman" w:cs="Times New Roman" w:eastAsia="Times New Roman" w:hAnsi="Times New Roman"/>
          <w:sz w:val="17"/>
          <w:szCs w:val="17"/>
          <w:color w:val="auto"/>
        </w:rPr>
        <w:t>The Securities may be sold directly, on a continuous or delayed basis, through dealers or agents designated from time to time, to or through underwriters or through a combination of these methods. See “Plan of Distribution” in this prospectus. We may also describe the plan of distribution for any particular offering of the Securities in any applicable prospectus supplement. If any agents, underwriters or dealers are involved in the sale of any Securities in respect of which this prospectus is being delivered, we will disclose their names and the nature of our arrangements as well as the net proceeds we expect to receive from any such sale, in the applicable prospectus supplement.</w:t>
      </w:r>
    </w:p>
    <w:p>
      <w:pPr>
        <w:spacing w:after="0" w:line="75" w:lineRule="exact"/>
        <w:rPr>
          <w:sz w:val="20"/>
          <w:szCs w:val="20"/>
          <w:color w:val="auto"/>
        </w:rPr>
      </w:pPr>
    </w:p>
    <w:p>
      <w:pPr>
        <w:jc w:val="both"/>
        <w:ind w:left="600" w:right="619" w:firstLine="342"/>
        <w:spacing w:after="0" w:line="268" w:lineRule="auto"/>
        <w:rPr>
          <w:sz w:val="20"/>
          <w:szCs w:val="20"/>
          <w:color w:val="auto"/>
        </w:rPr>
      </w:pPr>
      <w:r>
        <w:rPr>
          <w:rFonts w:ascii="Times New Roman" w:cs="Times New Roman" w:eastAsia="Times New Roman" w:hAnsi="Times New Roman"/>
          <w:sz w:val="17"/>
          <w:szCs w:val="17"/>
          <w:color w:val="auto"/>
        </w:rPr>
        <w:t>Our Class A Subordinate Voting Shares are listed on the Nasdaq Global Select Market (“Nasdaq”) and on the Toronto Stock Exchange (“TSX”) under the symbol “SHOP.” On October 30, 2026, the closing prices of the Class A Subordinate Voting Shares on Nasdaq and the TSX were $157.49 and C$220.37, respectively.</w:t>
      </w:r>
    </w:p>
    <w:p>
      <w:pPr>
        <w:spacing w:after="0" w:line="60" w:lineRule="exact"/>
        <w:rPr>
          <w:sz w:val="20"/>
          <w:szCs w:val="20"/>
          <w:color w:val="auto"/>
        </w:rPr>
      </w:pPr>
    </w:p>
    <w:p>
      <w:pPr>
        <w:jc w:val="both"/>
        <w:ind w:left="600" w:right="619" w:firstLine="342"/>
        <w:spacing w:after="0" w:line="263" w:lineRule="auto"/>
        <w:rPr>
          <w:sz w:val="20"/>
          <w:szCs w:val="20"/>
          <w:color w:val="auto"/>
        </w:rPr>
      </w:pPr>
      <w:r>
        <w:rPr>
          <w:rFonts w:ascii="Times New Roman" w:cs="Times New Roman" w:eastAsia="Times New Roman" w:hAnsi="Times New Roman"/>
          <w:sz w:val="17"/>
          <w:szCs w:val="17"/>
          <w:b w:val="1"/>
          <w:bCs w:val="1"/>
          <w:color w:val="auto"/>
        </w:rPr>
        <w:t>The enforcement by investors of civil liabilities under U.S. federal securities laws may be affected adversely by the fact that the Company is incorporated under the laws of Canada, that certain of its officers and directors are residents of Canada, and that all or a substantial portion of the assets of the Company and said persons are located outside of the United States. See “Enforceability of Civil Liabilities.”</w:t>
      </w:r>
    </w:p>
    <w:p>
      <w:pPr>
        <w:spacing w:after="0" w:line="273" w:lineRule="exact"/>
        <w:rPr>
          <w:sz w:val="20"/>
          <w:szCs w:val="20"/>
          <w:color w:val="auto"/>
        </w:rPr>
      </w:pPr>
    </w:p>
    <w:p>
      <w:pPr>
        <w:jc w:val="both"/>
        <w:ind w:left="600" w:right="619" w:firstLine="342"/>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Investing in these Securities involves risks. To read about certain factors you should consider before buying any of the Securities, see “Risk Factors” on page </w:t>
      </w:r>
      <w:r>
        <w:rPr>
          <w:rFonts w:ascii="Times New Roman" w:cs="Times New Roman" w:eastAsia="Times New Roman" w:hAnsi="Times New Roman"/>
          <w:sz w:val="17"/>
          <w:szCs w:val="17"/>
          <w:b w:val="1"/>
          <w:bCs w:val="1"/>
          <w:u w:val="single" w:color="auto"/>
          <w:color w:val="0000EE"/>
        </w:rPr>
        <w:t>5</w:t>
      </w:r>
      <w:r>
        <w:rPr>
          <w:rFonts w:ascii="Times New Roman" w:cs="Times New Roman" w:eastAsia="Times New Roman" w:hAnsi="Times New Roman"/>
          <w:sz w:val="17"/>
          <w:szCs w:val="17"/>
          <w:b w:val="1"/>
          <w:bCs w:val="1"/>
          <w:color w:val="auto"/>
        </w:rPr>
        <w:t xml:space="preserve"> of this prospectus and beginning on page 13 of our Annual Report on Form 10-K for the year ended December 31, 2025, which is incorporated by reference herein, as well as any risk factors included in, or incorporated by reference into, an applicable prospectus supplement.</w:t>
      </w:r>
    </w:p>
    <w:p>
      <w:pPr>
        <w:spacing w:after="0" w:line="66" w:lineRule="exact"/>
        <w:rPr>
          <w:sz w:val="20"/>
          <w:szCs w:val="20"/>
          <w:color w:val="auto"/>
        </w:rPr>
      </w:pPr>
    </w:p>
    <w:p>
      <w:pPr>
        <w:jc w:val="both"/>
        <w:ind w:left="600" w:right="619" w:firstLine="342"/>
        <w:spacing w:after="0" w:line="26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This prospectus is dated 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125095</wp:posOffset>
            </wp:positionV>
            <wp:extent cx="665035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 w:name="page3"/>
    <w:bookmarkEnd w:id="2"/>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86" w:lineRule="exact"/>
        <w:rPr>
          <w:sz w:val="20"/>
          <w:szCs w:val="20"/>
          <w:color w:val="auto"/>
        </w:rPr>
      </w:pPr>
    </w:p>
    <w:tbl>
      <w:tblPr>
        <w:tblLayout w:type="fixed"/>
        <w:tblInd w:w="500" w:type="dxa"/>
        <w:tblCellMar>
          <w:top w:w="0" w:type="dxa"/>
          <w:left w:w="0" w:type="dxa"/>
          <w:bottom w:w="0" w:type="dxa"/>
          <w:right w:w="0" w:type="dxa"/>
        </w:tblCellMar>
      </w:tblPr>
      <w:tr>
        <w:trPr>
          <w:trHeight w:val="180"/>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4"/>
        </w:trPr>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5"/>
        </w:trPr>
        <w:tc>
          <w:tcPr>
            <w:tcW w:w="2120" w:type="dxa"/>
            <w:vAlign w:val="bottom"/>
            <w:gridSpan w:val="8"/>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ABOUT THIS PROSPECTUS</w:t>
            </w:r>
          </w:p>
        </w:tc>
        <w:tc>
          <w:tcPr>
            <w:tcW w:w="5600" w:type="dxa"/>
            <w:vAlign w:val="bottom"/>
            <w:gridSpan w:val="10"/>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line="185" w:lineRule="exact"/>
              <w:rPr>
                <w:sz w:val="20"/>
                <w:szCs w:val="20"/>
                <w:color w:val="auto"/>
              </w:rPr>
            </w:pPr>
            <w:r>
              <w:rPr>
                <w:rFonts w:ascii="Times New Roman" w:cs="Times New Roman" w:eastAsia="Times New Roman" w:hAnsi="Times New Roman"/>
                <w:sz w:val="17"/>
                <w:szCs w:val="17"/>
                <w:color w:val="0000EE"/>
              </w:rPr>
              <w:t>1</w:t>
            </w:r>
          </w:p>
        </w:tc>
        <w:tc>
          <w:tcPr>
            <w:tcW w:w="40" w:type="dxa"/>
            <w:vAlign w:val="bottom"/>
            <w:shd w:val="clear" w:color="auto" w:fill="CCEEFF"/>
          </w:tcPr>
          <w:p>
            <w:pPr>
              <w:spacing w:after="0"/>
              <w:rPr>
                <w:sz w:val="16"/>
                <w:szCs w:val="16"/>
                <w:color w:val="auto"/>
              </w:rPr>
            </w:pPr>
          </w:p>
        </w:tc>
      </w:tr>
      <w:tr>
        <w:trPr>
          <w:trHeight w:val="31"/>
        </w:trPr>
        <w:tc>
          <w:tcPr>
            <w:tcW w:w="7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0"/>
        </w:trPr>
        <w:tc>
          <w:tcPr>
            <w:tcW w:w="7720" w:type="dxa"/>
            <w:vAlign w:val="bottom"/>
            <w:gridSpan w:val="18"/>
          </w:tcPr>
          <w:p>
            <w:pPr>
              <w:spacing w:after="0" w:line="180"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24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rPr>
              <w:t>2</w:t>
            </w:r>
          </w:p>
        </w:tc>
        <w:tc>
          <w:tcPr>
            <w:tcW w:w="40" w:type="dxa"/>
            <w:vAlign w:val="bottom"/>
          </w:tcPr>
          <w:p>
            <w:pPr>
              <w:spacing w:after="0"/>
              <w:rPr>
                <w:sz w:val="15"/>
                <w:szCs w:val="15"/>
                <w:color w:val="auto"/>
              </w:rPr>
            </w:pPr>
          </w:p>
        </w:tc>
      </w:tr>
      <w:tr>
        <w:trPr>
          <w:trHeight w:val="31"/>
        </w:trPr>
        <w:tc>
          <w:tcPr>
            <w:tcW w:w="7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0"/>
        </w:trPr>
        <w:tc>
          <w:tcPr>
            <w:tcW w:w="772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240" w:type="dxa"/>
            <w:vAlign w:val="bottom"/>
            <w:gridSpan w:val="4"/>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rPr>
              <w:t>3</w:t>
            </w:r>
          </w:p>
        </w:tc>
        <w:tc>
          <w:tcPr>
            <w:tcW w:w="40" w:type="dxa"/>
            <w:vAlign w:val="bottom"/>
            <w:shd w:val="clear" w:color="auto" w:fill="CCEEFF"/>
          </w:tcPr>
          <w:p>
            <w:pPr>
              <w:spacing w:after="0"/>
              <w:rPr>
                <w:sz w:val="15"/>
                <w:szCs w:val="15"/>
                <w:color w:val="auto"/>
              </w:rPr>
            </w:pPr>
          </w:p>
        </w:tc>
      </w:tr>
      <w:tr>
        <w:trPr>
          <w:trHeight w:val="31"/>
        </w:trPr>
        <w:tc>
          <w:tcPr>
            <w:tcW w:w="7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0"/>
        </w:trPr>
        <w:tc>
          <w:tcPr>
            <w:tcW w:w="7720" w:type="dxa"/>
            <w:vAlign w:val="bottom"/>
            <w:gridSpan w:val="18"/>
          </w:tcPr>
          <w:p>
            <w:pPr>
              <w:spacing w:after="0" w:line="180" w:lineRule="exact"/>
              <w:rPr>
                <w:sz w:val="20"/>
                <w:szCs w:val="20"/>
                <w:color w:val="auto"/>
              </w:rPr>
            </w:pPr>
            <w:r>
              <w:rPr>
                <w:rFonts w:ascii="Times New Roman" w:cs="Times New Roman" w:eastAsia="Times New Roman" w:hAnsi="Times New Roman"/>
                <w:sz w:val="17"/>
                <w:szCs w:val="17"/>
                <w:color w:val="0000EE"/>
              </w:rPr>
              <w:t>DOCUMENTS INCORPORATED BY REFERENCE</w:t>
            </w:r>
          </w:p>
        </w:tc>
        <w:tc>
          <w:tcPr>
            <w:tcW w:w="24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rPr>
              <w:t>4</w:t>
            </w:r>
          </w:p>
        </w:tc>
        <w:tc>
          <w:tcPr>
            <w:tcW w:w="40" w:type="dxa"/>
            <w:vAlign w:val="bottom"/>
          </w:tcPr>
          <w:p>
            <w:pPr>
              <w:spacing w:after="0"/>
              <w:rPr>
                <w:sz w:val="15"/>
                <w:szCs w:val="15"/>
                <w:color w:val="auto"/>
              </w:rPr>
            </w:pPr>
          </w:p>
        </w:tc>
      </w:tr>
      <w:tr>
        <w:trPr>
          <w:trHeight w:val="31"/>
        </w:trPr>
        <w:tc>
          <w:tcPr>
            <w:tcW w:w="7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0"/>
        </w:trPr>
        <w:tc>
          <w:tcPr>
            <w:tcW w:w="11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9"/>
              </w:rPr>
              <w:t>SHOPIFY INC.</w:t>
            </w:r>
          </w:p>
        </w:tc>
        <w:tc>
          <w:tcPr>
            <w:tcW w:w="6620" w:type="dxa"/>
            <w:vAlign w:val="bottom"/>
            <w:gridSpan w:val="16"/>
            <w:shd w:val="clear" w:color="auto" w:fill="CCEEFF"/>
          </w:tcPr>
          <w:p>
            <w:pPr>
              <w:spacing w:after="0"/>
              <w:rPr>
                <w:sz w:val="15"/>
                <w:szCs w:val="15"/>
                <w:color w:val="auto"/>
              </w:rPr>
            </w:pPr>
          </w:p>
        </w:tc>
        <w:tc>
          <w:tcPr>
            <w:tcW w:w="240" w:type="dxa"/>
            <w:vAlign w:val="bottom"/>
            <w:gridSpan w:val="4"/>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rPr>
              <w:t>4</w:t>
            </w:r>
          </w:p>
        </w:tc>
        <w:tc>
          <w:tcPr>
            <w:tcW w:w="40" w:type="dxa"/>
            <w:vAlign w:val="bottom"/>
            <w:shd w:val="clear" w:color="auto" w:fill="CCEEFF"/>
          </w:tcPr>
          <w:p>
            <w:pPr>
              <w:spacing w:after="0"/>
              <w:rPr>
                <w:sz w:val="15"/>
                <w:szCs w:val="15"/>
                <w:color w:val="auto"/>
              </w:rPr>
            </w:pPr>
          </w:p>
        </w:tc>
      </w:tr>
      <w:tr>
        <w:trPr>
          <w:trHeight w:val="31"/>
        </w:trPr>
        <w:tc>
          <w:tcPr>
            <w:tcW w:w="7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0"/>
        </w:trPr>
        <w:tc>
          <w:tcPr>
            <w:tcW w:w="7720" w:type="dxa"/>
            <w:vAlign w:val="bottom"/>
            <w:gridSpan w:val="18"/>
          </w:tcPr>
          <w:p>
            <w:pPr>
              <w:spacing w:after="0" w:line="180" w:lineRule="exact"/>
              <w:rPr>
                <w:sz w:val="20"/>
                <w:szCs w:val="20"/>
                <w:color w:val="auto"/>
              </w:rPr>
            </w:pPr>
            <w:r>
              <w:rPr>
                <w:rFonts w:ascii="Times New Roman" w:cs="Times New Roman" w:eastAsia="Times New Roman" w:hAnsi="Times New Roman"/>
                <w:sz w:val="17"/>
                <w:szCs w:val="17"/>
                <w:color w:val="0000EE"/>
              </w:rPr>
              <w:t>RISK FACTORS</w:t>
            </w:r>
          </w:p>
        </w:tc>
        <w:tc>
          <w:tcPr>
            <w:tcW w:w="24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rPr>
              <w:t>5</w:t>
            </w:r>
          </w:p>
        </w:tc>
        <w:tc>
          <w:tcPr>
            <w:tcW w:w="40" w:type="dxa"/>
            <w:vAlign w:val="bottom"/>
          </w:tcPr>
          <w:p>
            <w:pPr>
              <w:spacing w:after="0"/>
              <w:rPr>
                <w:sz w:val="15"/>
                <w:szCs w:val="15"/>
                <w:color w:val="auto"/>
              </w:rPr>
            </w:pPr>
          </w:p>
        </w:tc>
      </w:tr>
      <w:tr>
        <w:trPr>
          <w:trHeight w:val="31"/>
        </w:trPr>
        <w:tc>
          <w:tcPr>
            <w:tcW w:w="7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0"/>
        </w:trPr>
        <w:tc>
          <w:tcPr>
            <w:tcW w:w="772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USE OF PROCEEDS</w:t>
            </w:r>
          </w:p>
        </w:tc>
        <w:tc>
          <w:tcPr>
            <w:tcW w:w="240" w:type="dxa"/>
            <w:vAlign w:val="bottom"/>
            <w:gridSpan w:val="4"/>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rPr>
              <w:t>6</w:t>
            </w:r>
          </w:p>
        </w:tc>
        <w:tc>
          <w:tcPr>
            <w:tcW w:w="40" w:type="dxa"/>
            <w:vAlign w:val="bottom"/>
            <w:shd w:val="clear" w:color="auto" w:fill="CCEEFF"/>
          </w:tcPr>
          <w:p>
            <w:pPr>
              <w:spacing w:after="0"/>
              <w:rPr>
                <w:sz w:val="15"/>
                <w:szCs w:val="15"/>
                <w:color w:val="auto"/>
              </w:rPr>
            </w:pPr>
          </w:p>
        </w:tc>
      </w:tr>
      <w:tr>
        <w:trPr>
          <w:trHeight w:val="31"/>
        </w:trPr>
        <w:tc>
          <w:tcPr>
            <w:tcW w:w="7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0"/>
        </w:trPr>
        <w:tc>
          <w:tcPr>
            <w:tcW w:w="7720" w:type="dxa"/>
            <w:vAlign w:val="bottom"/>
            <w:gridSpan w:val="18"/>
          </w:tcPr>
          <w:p>
            <w:pPr>
              <w:spacing w:after="0" w:line="180" w:lineRule="exact"/>
              <w:rPr>
                <w:sz w:val="20"/>
                <w:szCs w:val="20"/>
                <w:color w:val="auto"/>
              </w:rPr>
            </w:pPr>
            <w:r>
              <w:rPr>
                <w:rFonts w:ascii="Times New Roman" w:cs="Times New Roman" w:eastAsia="Times New Roman" w:hAnsi="Times New Roman"/>
                <w:sz w:val="17"/>
                <w:szCs w:val="17"/>
                <w:color w:val="0000EE"/>
              </w:rPr>
              <w:t>DESCRIPTION OF THE SHARE CAPITAL OF THE COMPANY</w:t>
            </w:r>
          </w:p>
        </w:tc>
        <w:tc>
          <w:tcPr>
            <w:tcW w:w="240" w:type="dxa"/>
            <w:vAlign w:val="bottom"/>
            <w:gridSpan w:val="4"/>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rPr>
              <w:t>7</w:t>
            </w:r>
          </w:p>
        </w:tc>
        <w:tc>
          <w:tcPr>
            <w:tcW w:w="40" w:type="dxa"/>
            <w:vAlign w:val="bottom"/>
          </w:tcPr>
          <w:p>
            <w:pPr>
              <w:spacing w:after="0"/>
              <w:rPr>
                <w:sz w:val="15"/>
                <w:szCs w:val="15"/>
                <w:color w:val="auto"/>
              </w:rPr>
            </w:pPr>
          </w:p>
        </w:tc>
      </w:tr>
      <w:tr>
        <w:trPr>
          <w:trHeight w:val="31"/>
        </w:trPr>
        <w:tc>
          <w:tcPr>
            <w:tcW w:w="7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1"/>
        </w:trPr>
        <w:tc>
          <w:tcPr>
            <w:tcW w:w="2880" w:type="dxa"/>
            <w:vAlign w:val="bottom"/>
            <w:tcBorders>
              <w:bottom w:val="single" w:sz="8" w:color="0000EE"/>
            </w:tcBorders>
            <w:gridSpan w:val="10"/>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4840" w:type="dxa"/>
            <w:vAlign w:val="bottom"/>
            <w:tcBorders>
              <w:bottom w:val="single" w:sz="8" w:color="CCEEFF"/>
            </w:tcBorders>
            <w:gridSpan w:val="8"/>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14</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80"/>
        </w:trPr>
        <w:tc>
          <w:tcPr>
            <w:tcW w:w="7720" w:type="dxa"/>
            <w:vAlign w:val="bottom"/>
            <w:gridSpan w:val="18"/>
          </w:tcPr>
          <w:p>
            <w:pPr>
              <w:spacing w:after="0" w:line="180" w:lineRule="exact"/>
              <w:rPr>
                <w:sz w:val="20"/>
                <w:szCs w:val="20"/>
                <w:color w:val="auto"/>
              </w:rPr>
            </w:pPr>
            <w:r>
              <w:rPr>
                <w:rFonts w:ascii="Times New Roman" w:cs="Times New Roman" w:eastAsia="Times New Roman" w:hAnsi="Times New Roman"/>
                <w:sz w:val="17"/>
                <w:szCs w:val="17"/>
                <w:color w:val="0000EE"/>
              </w:rPr>
              <w:t>DESCRIPTION OF WARRANTS</w:t>
            </w:r>
          </w:p>
        </w:tc>
        <w:tc>
          <w:tcPr>
            <w:tcW w:w="24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7"/>
                <w:szCs w:val="17"/>
                <w:color w:val="0000EE"/>
              </w:rPr>
              <w:t>15</w:t>
            </w:r>
          </w:p>
        </w:tc>
        <w:tc>
          <w:tcPr>
            <w:tcW w:w="40" w:type="dxa"/>
            <w:vAlign w:val="bottom"/>
          </w:tcPr>
          <w:p>
            <w:pPr>
              <w:spacing w:after="0"/>
              <w:rPr>
                <w:sz w:val="15"/>
                <w:szCs w:val="15"/>
                <w:color w:val="auto"/>
              </w:rPr>
            </w:pPr>
          </w:p>
        </w:tc>
      </w:tr>
      <w:tr>
        <w:trPr>
          <w:trHeight w:val="31"/>
        </w:trPr>
        <w:tc>
          <w:tcPr>
            <w:tcW w:w="7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11"/>
        </w:trPr>
        <w:tc>
          <w:tcPr>
            <w:tcW w:w="772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DESCRIPTION OF SUBSCRIPTION RECEIPTS</w:t>
            </w:r>
          </w:p>
        </w:tc>
        <w:tc>
          <w:tcPr>
            <w:tcW w:w="240" w:type="dxa"/>
            <w:vAlign w:val="bottom"/>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16</w:t>
            </w:r>
          </w:p>
        </w:tc>
        <w:tc>
          <w:tcPr>
            <w:tcW w:w="40" w:type="dxa"/>
            <w:vAlign w:val="bottom"/>
            <w:shd w:val="clear" w:color="auto" w:fill="CCEEFF"/>
          </w:tcPr>
          <w:p>
            <w:pPr>
              <w:spacing w:after="0"/>
              <w:rPr>
                <w:sz w:val="18"/>
                <w:szCs w:val="18"/>
                <w:color w:val="auto"/>
              </w:rPr>
            </w:pPr>
          </w:p>
        </w:tc>
      </w:tr>
      <w:tr>
        <w:trPr>
          <w:trHeight w:val="180"/>
        </w:trPr>
        <w:tc>
          <w:tcPr>
            <w:tcW w:w="3460" w:type="dxa"/>
            <w:vAlign w:val="bottom"/>
            <w:tcBorders>
              <w:top w:val="single" w:sz="8" w:color="0000EE"/>
            </w:tcBorders>
            <w:gridSpan w:val="12"/>
          </w:tcPr>
          <w:p>
            <w:pPr>
              <w:spacing w:after="0" w:line="180" w:lineRule="exact"/>
              <w:rPr>
                <w:sz w:val="20"/>
                <w:szCs w:val="20"/>
                <w:color w:val="auto"/>
              </w:rPr>
            </w:pPr>
            <w:r>
              <w:rPr>
                <w:rFonts w:ascii="Times New Roman" w:cs="Times New Roman" w:eastAsia="Times New Roman" w:hAnsi="Times New Roman"/>
                <w:sz w:val="17"/>
                <w:szCs w:val="17"/>
                <w:color w:val="0000EE"/>
              </w:rPr>
              <w:t>DESCRIPTION OF UNITS</w:t>
            </w:r>
          </w:p>
        </w:tc>
        <w:tc>
          <w:tcPr>
            <w:tcW w:w="4260" w:type="dxa"/>
            <w:vAlign w:val="bottom"/>
            <w:tcBorders>
              <w:top w:val="single" w:sz="8" w:color="CCEEFF"/>
            </w:tcBorders>
            <w:gridSpan w:val="6"/>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17</w:t>
            </w:r>
          </w:p>
        </w:tc>
        <w:tc>
          <w:tcPr>
            <w:tcW w:w="40" w:type="dxa"/>
            <w:vAlign w:val="bottom"/>
            <w:tcBorders>
              <w:top w:val="single" w:sz="8" w:color="CCEEFF"/>
            </w:tcBorders>
          </w:tcPr>
          <w:p>
            <w:pPr>
              <w:spacing w:after="0"/>
              <w:rPr>
                <w:sz w:val="15"/>
                <w:szCs w:val="15"/>
                <w:color w:val="auto"/>
              </w:rPr>
            </w:pPr>
          </w:p>
        </w:tc>
      </w:tr>
      <w:tr>
        <w:trPr>
          <w:trHeight w:val="31"/>
        </w:trPr>
        <w:tc>
          <w:tcPr>
            <w:tcW w:w="7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0"/>
        </w:trPr>
        <w:tc>
          <w:tcPr>
            <w:tcW w:w="772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PLAN OF DISTRIBUTION</w:t>
            </w:r>
          </w:p>
        </w:tc>
        <w:tc>
          <w:tcPr>
            <w:tcW w:w="240" w:type="dxa"/>
            <w:vAlign w:val="bottom"/>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18</w:t>
            </w:r>
          </w:p>
        </w:tc>
        <w:tc>
          <w:tcPr>
            <w:tcW w:w="40" w:type="dxa"/>
            <w:vAlign w:val="bottom"/>
            <w:shd w:val="clear" w:color="auto" w:fill="CCEEFF"/>
          </w:tcPr>
          <w:p>
            <w:pPr>
              <w:spacing w:after="0"/>
              <w:rPr>
                <w:sz w:val="15"/>
                <w:szCs w:val="15"/>
                <w:color w:val="auto"/>
              </w:rPr>
            </w:pPr>
          </w:p>
        </w:tc>
      </w:tr>
      <w:tr>
        <w:trPr>
          <w:trHeight w:val="31"/>
        </w:trPr>
        <w:tc>
          <w:tcPr>
            <w:tcW w:w="7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0"/>
        </w:trPr>
        <w:tc>
          <w:tcPr>
            <w:tcW w:w="7720" w:type="dxa"/>
            <w:vAlign w:val="bottom"/>
            <w:gridSpan w:val="18"/>
          </w:tcPr>
          <w:p>
            <w:pPr>
              <w:spacing w:after="0" w:line="180" w:lineRule="exact"/>
              <w:rPr>
                <w:sz w:val="20"/>
                <w:szCs w:val="20"/>
                <w:color w:val="auto"/>
              </w:rPr>
            </w:pPr>
            <w:r>
              <w:rPr>
                <w:rFonts w:ascii="Times New Roman" w:cs="Times New Roman" w:eastAsia="Times New Roman" w:hAnsi="Times New Roman"/>
                <w:sz w:val="17"/>
                <w:szCs w:val="17"/>
                <w:color w:val="0000EE"/>
              </w:rPr>
              <w:t>MATERIAL INCOME TAX CONSIDERATIONS</w:t>
            </w:r>
          </w:p>
        </w:tc>
        <w:tc>
          <w:tcPr>
            <w:tcW w:w="24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7"/>
                <w:szCs w:val="17"/>
                <w:color w:val="0000EE"/>
              </w:rPr>
              <w:t>20</w:t>
            </w:r>
          </w:p>
        </w:tc>
        <w:tc>
          <w:tcPr>
            <w:tcW w:w="40" w:type="dxa"/>
            <w:vAlign w:val="bottom"/>
          </w:tcPr>
          <w:p>
            <w:pPr>
              <w:spacing w:after="0"/>
              <w:rPr>
                <w:sz w:val="15"/>
                <w:szCs w:val="15"/>
                <w:color w:val="auto"/>
              </w:rPr>
            </w:pPr>
          </w:p>
        </w:tc>
      </w:tr>
      <w:tr>
        <w:trPr>
          <w:trHeight w:val="31"/>
        </w:trPr>
        <w:tc>
          <w:tcPr>
            <w:tcW w:w="7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11"/>
        </w:trPr>
        <w:tc>
          <w:tcPr>
            <w:tcW w:w="772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ENFORCEABILITY OF CIVIL LIABILITIES</w:t>
            </w:r>
          </w:p>
        </w:tc>
        <w:tc>
          <w:tcPr>
            <w:tcW w:w="240" w:type="dxa"/>
            <w:vAlign w:val="bottom"/>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20</w:t>
            </w:r>
          </w:p>
        </w:tc>
        <w:tc>
          <w:tcPr>
            <w:tcW w:w="40" w:type="dxa"/>
            <w:vAlign w:val="bottom"/>
            <w:shd w:val="clear" w:color="auto" w:fill="CCEEFF"/>
          </w:tcPr>
          <w:p>
            <w:pPr>
              <w:spacing w:after="0"/>
              <w:rPr>
                <w:sz w:val="18"/>
                <w:szCs w:val="18"/>
                <w:color w:val="auto"/>
              </w:rPr>
            </w:pPr>
          </w:p>
        </w:tc>
      </w:tr>
      <w:tr>
        <w:trPr>
          <w:trHeight w:val="180"/>
        </w:trPr>
        <w:tc>
          <w:tcPr>
            <w:tcW w:w="3240" w:type="dxa"/>
            <w:vAlign w:val="bottom"/>
            <w:tcBorders>
              <w:top w:val="single" w:sz="8" w:color="0000EE"/>
            </w:tcBorders>
            <w:gridSpan w:val="11"/>
          </w:tcPr>
          <w:p>
            <w:pPr>
              <w:spacing w:after="0" w:line="180" w:lineRule="exact"/>
              <w:rPr>
                <w:sz w:val="20"/>
                <w:szCs w:val="20"/>
                <w:color w:val="auto"/>
              </w:rPr>
            </w:pPr>
            <w:r>
              <w:rPr>
                <w:rFonts w:ascii="Times New Roman" w:cs="Times New Roman" w:eastAsia="Times New Roman" w:hAnsi="Times New Roman"/>
                <w:sz w:val="17"/>
                <w:szCs w:val="17"/>
                <w:color w:val="0000EE"/>
              </w:rPr>
              <w:t>LEGAL MATTERS</w:t>
            </w:r>
          </w:p>
        </w:tc>
        <w:tc>
          <w:tcPr>
            <w:tcW w:w="4480" w:type="dxa"/>
            <w:vAlign w:val="bottom"/>
            <w:tcBorders>
              <w:top w:val="single" w:sz="8" w:color="CCEEFF"/>
            </w:tcBorders>
            <w:gridSpan w:val="7"/>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21</w:t>
            </w:r>
          </w:p>
        </w:tc>
        <w:tc>
          <w:tcPr>
            <w:tcW w:w="40" w:type="dxa"/>
            <w:vAlign w:val="bottom"/>
            <w:tcBorders>
              <w:top w:val="single" w:sz="8" w:color="CCEEFF"/>
            </w:tcBorders>
          </w:tcPr>
          <w:p>
            <w:pPr>
              <w:spacing w:after="0"/>
              <w:rPr>
                <w:sz w:val="15"/>
                <w:szCs w:val="15"/>
                <w:color w:val="auto"/>
              </w:rPr>
            </w:pPr>
          </w:p>
        </w:tc>
      </w:tr>
      <w:tr>
        <w:trPr>
          <w:trHeight w:val="31"/>
        </w:trPr>
        <w:tc>
          <w:tcPr>
            <w:tcW w:w="7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11"/>
        </w:trPr>
        <w:tc>
          <w:tcPr>
            <w:tcW w:w="740" w:type="dxa"/>
            <w:vAlign w:val="bottom"/>
            <w:tcBorders>
              <w:bottom w:val="single" w:sz="8" w:color="0000EE"/>
            </w:tcBorders>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7"/>
              </w:rPr>
              <w:t>EXPERTS</w:t>
            </w:r>
          </w:p>
        </w:tc>
        <w:tc>
          <w:tcPr>
            <w:tcW w:w="6980" w:type="dxa"/>
            <w:vAlign w:val="bottom"/>
            <w:tcBorders>
              <w:bottom w:val="single" w:sz="8" w:color="CCEEFF"/>
            </w:tcBorders>
            <w:gridSpan w:val="17"/>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21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80"/>
        </w:trPr>
        <w:tc>
          <w:tcPr>
            <w:tcW w:w="3860" w:type="dxa"/>
            <w:vAlign w:val="bottom"/>
            <w:tcBorders>
              <w:bottom w:val="single" w:sz="8" w:color="0000EE"/>
            </w:tcBorders>
            <w:gridSpan w:val="15"/>
          </w:tcPr>
          <w:p>
            <w:pPr>
              <w:spacing w:after="0" w:line="180" w:lineRule="exact"/>
              <w:rPr>
                <w:sz w:val="20"/>
                <w:szCs w:val="20"/>
                <w:color w:val="auto"/>
              </w:rPr>
            </w:pPr>
            <w:r>
              <w:rPr>
                <w:rFonts w:ascii="Times New Roman" w:cs="Times New Roman" w:eastAsia="Times New Roman" w:hAnsi="Times New Roman"/>
                <w:sz w:val="17"/>
                <w:szCs w:val="17"/>
                <w:color w:val="0000EE"/>
              </w:rPr>
              <w:t>AUDITORS, TRANSFER AGENT AND REGISTRAR</w:t>
            </w:r>
          </w:p>
        </w:tc>
        <w:tc>
          <w:tcPr>
            <w:tcW w:w="38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0000EE"/>
            </w:tcBorders>
            <w:gridSpan w:val="3"/>
          </w:tcPr>
          <w:p>
            <w:pPr>
              <w:jc w:val="right"/>
              <w:spacing w:after="0" w:line="180" w:lineRule="exact"/>
              <w:rPr>
                <w:sz w:val="20"/>
                <w:szCs w:val="20"/>
                <w:color w:val="auto"/>
              </w:rPr>
            </w:pPr>
            <w:r>
              <w:rPr>
                <w:rFonts w:ascii="Times New Roman" w:cs="Times New Roman" w:eastAsia="Times New Roman" w:hAnsi="Times New Roman"/>
                <w:sz w:val="17"/>
                <w:szCs w:val="17"/>
                <w:color w:val="0000EE"/>
                <w:w w:val="93"/>
              </w:rPr>
              <w:t>21</w:t>
            </w:r>
          </w:p>
        </w:tc>
        <w:tc>
          <w:tcPr>
            <w:tcW w:w="40" w:type="dxa"/>
            <w:vAlign w:val="bottom"/>
          </w:tcPr>
          <w:p>
            <w:pPr>
              <w:spacing w:after="0"/>
              <w:rPr>
                <w:sz w:val="15"/>
                <w:szCs w:val="15"/>
                <w:color w:val="auto"/>
              </w:rPr>
            </w:pPr>
          </w:p>
        </w:tc>
      </w:tr>
    </w:tbl>
    <w:p>
      <w:pPr>
        <w:spacing w:after="0" w:line="159" w:lineRule="exact"/>
        <w:rPr>
          <w:sz w:val="20"/>
          <w:szCs w:val="20"/>
          <w:color w:val="auto"/>
        </w:rPr>
      </w:pPr>
    </w:p>
    <w:p>
      <w:pPr>
        <w:jc w:val="both"/>
        <w:ind w:left="500" w:right="519" w:firstLine="342"/>
        <w:spacing w:after="0" w:line="254" w:lineRule="auto"/>
        <w:rPr>
          <w:sz w:val="20"/>
          <w:szCs w:val="20"/>
          <w:color w:val="auto"/>
        </w:rPr>
      </w:pPr>
      <w:r>
        <w:rPr>
          <w:rFonts w:ascii="Times New Roman" w:cs="Times New Roman" w:eastAsia="Times New Roman" w:hAnsi="Times New Roman"/>
          <w:sz w:val="17"/>
          <w:szCs w:val="17"/>
          <w:b w:val="1"/>
          <w:bCs w:val="1"/>
          <w:color w:val="auto"/>
        </w:rPr>
        <w:t>We and any selling securityholders have not authorized anyone to provide any information or to make any representations other than as contained or incorporated by reference in this prospectus or in any accompanying supplement to this prospectus or any free writing prospectus. We and any selling securityholders take no responsibility for, and can provide no assurance as to the reliability of, any other information that others may give you. This prospectus, any accompanying supplement to this prospectus and any free writing prospectus do not constitute an offer to sell or the solicitation of an offer to buy any securities other than the registered Securities to which they relate, nor do this prospectus, any accompanying supplement to this prospectus, and any free writing prospectus constitute an offer to sell or the solicitation of an offer to buy securities in any jurisdiction to any person to whom it is unlawful to make such offer or solicitation in such jurisdiction. The information contained or incorporated by reference in this prospectus, any supplement to this prospectus and any free writing prospectus is accurate as of the dates of the applicable documents. Our business, financial condition, results of operations and prospects may have changed since the applicable dates. When this prospectus, a supplement or free writing prospectus are delivered and any Securities are sold pursuant to this prospectus or a supplement or free writing prospectus, we and any selling securityholders are not implying that the information is current as of the date of the delivery or sale. You should not consider any information in this prospectus or in the documents incorporated by reference herein to be investment, legal or tax advice. We encourage you to consult your own counsel, accountant and other advisors for legal, tax, business, financial and related advice regarding an investment in our Securities.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3" w:name="page4"/>
    <w:bookmarkEnd w:id="3"/>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7"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Securities and Exchange Commission (the “SEC”) utilizing an automatic “shelf” registration process. Under this shelf process, we or any selling securityholders may sell the Securities described in this prospectus in one or more offerings. This prospectus provides you with a general description of the Securities that may be offered pursuant to this prospectus. Each time we or any selling securityholders offer Securities pursuant to this prospectus, we will provide you with one or more prospectus supplements that will provide specific information about the Securities being offered and describe the specific terms of that offering. A prospectus supplement may also include a discussion of any additional risk factors or other special considerations that apply to the Securities being offered and add to, update or change the information contained in this prospectus. If there is any inconsistency between the information in this prospectus and any prospectus supplement, you should rely on the prospectus supplement. You should read both this prospectus and any prospectus supplement together with the additional information described under the heading “Where You Can Find More Information” before purchasing any Securities.</w:t>
      </w:r>
    </w:p>
    <w:p>
      <w:pPr>
        <w:spacing w:after="0" w:line="74"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In this prospectus and in any prospectus supplement, unless otherwise specified or the context otherwise requires, all dollar amounts are expressed in U.S. dollars. References to “$” and “US$” are to U.S. dollars and references to “C$” are to Canadian dollars. Unless otherwise indicated, all financial information included in this prospectus or included in any prospectus supplement is determined using U.S. generally accepted accounting principles. All references in this prospectus to the “Company,” “Shopify,” “us,” “we” or “our” refer to Shopify Inc. and, unless the context requires otherwise, its subsidiaries.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4" w:name="page5"/>
    <w:bookmarkEnd w:id="4"/>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7" w:lineRule="exact"/>
        <w:rPr>
          <w:sz w:val="20"/>
          <w:szCs w:val="20"/>
          <w:color w:val="auto"/>
        </w:rPr>
      </w:pPr>
    </w:p>
    <w:p>
      <w:pPr>
        <w:jc w:val="both"/>
        <w:ind w:left="500" w:right="519" w:firstLine="342"/>
        <w:spacing w:after="0" w:line="254" w:lineRule="auto"/>
        <w:rPr>
          <w:sz w:val="20"/>
          <w:szCs w:val="20"/>
          <w:color w:val="auto"/>
        </w:rPr>
      </w:pPr>
      <w:r>
        <w:rPr>
          <w:rFonts w:ascii="Times New Roman" w:cs="Times New Roman" w:eastAsia="Times New Roman" w:hAnsi="Times New Roman"/>
          <w:sz w:val="17"/>
          <w:szCs w:val="17"/>
          <w:color w:val="auto"/>
        </w:rPr>
        <w:t>This prospectus, any prospectus supplement and the documents incorporated by reference contain forward-looking statements about Shopify’s business outlook, objectives, strategies, plans, strategic priorities and results of operations as well as other statements that are not historical facts. A statement Shopify makes is forward-looking when it uses what Shopify knows and expects today to make a statement about the future. In some cases, you can identify forward-looking statements by words such as “enable,” “may,” “might,” “will,” “should,” “could,” “expects,” “focused on,” “intends,” “plans,” “anticipates,” “believes,” “estimates,” “predicts,” “projects,” “potential,” “continue,” “become,” “seek,” “strive” or the negative of these terms or other similar words. In addition, any statements or information that refer to expectations, beliefs, plans, projections, objectives, performance or other characterizations of future events or circumstances, including any underlying assumptions, are forward-looking. All such forward-looking statements are made under the provisions of the U.S. Private Securities Litigation Reform Act of 1995, Section 27A of the U.S. Securities Act of 1933, as amended (the “Securities Act”), and Section 21E of the U.S. Securities Exchange Act of 1934, as amended (the “Exchange Act”), and constitute forward-looking information within the meaning of applicable Canadian securities legislation.</w:t>
      </w:r>
    </w:p>
    <w:p>
      <w:pPr>
        <w:spacing w:after="0" w:line="83"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Specifically, without limiting the generality of the foregoing, all statements included in this prospectus or any prospectus supplement, including the documents incorporated by reference, that address activities, events or developments that Shopify expects or anticipates will or may occur in the future, and other statements that are not historical facts, are forward-looking statements. These statements are based upon our management’s perception of historic trends, current conditions and expected future developments, as well as other factors management believes are appropriate in the circumstances. Forward-looking statements made in this prospectus and in the documents incorporated by reference are based on a number of assumptions that Shopify believed were reasonable on the day it made the forward-looking statements. Refer to the documents incorporated by reference for certain assumptions that Shopify has made in preparing forward-looking statements. If our assumptions turn out to be inaccurate, our actual results could be materially different from what we expect.</w:t>
      </w:r>
    </w:p>
    <w:p>
      <w:pPr>
        <w:spacing w:after="0" w:line="79" w:lineRule="exact"/>
        <w:rPr>
          <w:sz w:val="20"/>
          <w:szCs w:val="20"/>
          <w:color w:val="auto"/>
        </w:rPr>
      </w:pPr>
    </w:p>
    <w:p>
      <w:pPr>
        <w:jc w:val="both"/>
        <w:ind w:left="500" w:right="519" w:firstLine="342"/>
        <w:spacing w:after="0" w:line="254" w:lineRule="auto"/>
        <w:rPr>
          <w:sz w:val="20"/>
          <w:szCs w:val="20"/>
          <w:color w:val="auto"/>
        </w:rPr>
      </w:pPr>
      <w:r>
        <w:rPr>
          <w:rFonts w:ascii="Times New Roman" w:cs="Times New Roman" w:eastAsia="Times New Roman" w:hAnsi="Times New Roman"/>
          <w:sz w:val="17"/>
          <w:szCs w:val="17"/>
          <w:color w:val="auto"/>
        </w:rPr>
        <w:t>Factors that may cause actual results to differ materially from current expectations may include, but are not limited to, risks and uncertainties that are discussed in greater detail in this prospectus and any applicable prospectus supplement under the heading “Risk Factors” and in Part I — Item 1A “Risk Factors” of our latest Annual Report on Form 10-K, Part II — Item 1A “Risk Factors” of any subsequent Quarterly Reports on Form 10-Q, as well as in our condensed consolidated financial statements, related notes, and our other filings with the SEC. Although we believe that the plans, intentions, expectations, assumptions and strategies reflected in our forward-looking statements are reasonable, these statements relate to future events or our future financial performance, and involve known and unknown risks, uncertainties and other factors which are, in some cases, beyond our control. If one or more of these risks or uncertainties occur, or if our underlying assumptions prove to be incorrect, actual results may vary significantly from those implied or projected by the forward-looking statements. In addition, we operate in a highly competitive and rapidly changing environment. New risks and uncertainties emerge from time to time, and it is not possible for us to predict all risks and uncertainties that could have an impact on the forward-looking statements contained in this prospectus, any prospectus supplement or the documents incorporated by reference. No forward-looking statement is a guarantee of future results. Accordingly, prospective purchasers should not place undue reliance on the forward-looking statements contained in this prospectus, any prospectus supplement or in the documents incorporated by reference.</w:t>
      </w:r>
    </w:p>
    <w:p>
      <w:pPr>
        <w:spacing w:after="0" w:line="78"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The forward-looking statements in this prospectus represent our views as of the date of this prospectus and forward-looking statements contained in the documents incorporated by reference herein represent our views as of the date of such documents, unless otherwise indicated in such documents. We anticipate that subsequent events and developments may cause our views to change. However, while we may elect to update these forward-looking statements at some point in the future, we have no current intention of doing so except to the extent required by applicable law.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5" w:name="page6"/>
    <w:bookmarkEnd w:id="5"/>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7"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We file annual, quarterly and current reports, and other information with the SEC and with the Canadian securities regulators. Our SEC filings are available to the public over the Internet at the SEC’s website at www.sec.gov. The documents that we have filed with the Canadian securities regulators are available to the public over the Internet at www.sedarplus.ca. These documents are also available, free of charge, on our website, which is located at www.shopify.com. Please note that the SEC’s website, the website containing Canadian securities regulator filings and our website are included in this prospectus and any applicable prospectus supplement as inactive textual references only. The information contained on such websites is not incorporated by reference into this prospectus and any applicable prospectus supplement and should not be considered to be part of this prospectus or any applicable prospectus supplement, except as described in the following section.</w:t>
      </w:r>
    </w:p>
    <w:p>
      <w:pPr>
        <w:spacing w:after="0" w:line="74" w:lineRule="exact"/>
        <w:rPr>
          <w:sz w:val="20"/>
          <w:szCs w:val="20"/>
          <w:color w:val="auto"/>
        </w:rPr>
      </w:pPr>
    </w:p>
    <w:p>
      <w:pPr>
        <w:jc w:val="both"/>
        <w:ind w:left="500" w:right="519" w:firstLine="342"/>
        <w:spacing w:after="0" w:line="257" w:lineRule="auto"/>
        <w:rPr>
          <w:sz w:val="20"/>
          <w:szCs w:val="20"/>
          <w:color w:val="auto"/>
        </w:rPr>
      </w:pPr>
      <w:r>
        <w:rPr>
          <w:rFonts w:ascii="Times New Roman" w:cs="Times New Roman" w:eastAsia="Times New Roman" w:hAnsi="Times New Roman"/>
          <w:sz w:val="17"/>
          <w:szCs w:val="17"/>
          <w:color w:val="auto"/>
        </w:rPr>
        <w:t>This prospectus, which constitutes a part of the Registration Statement, does not contain all of the information set forth in the Registration Statement or the exhibits and schedules filed with it. For further information about us, our securities and other information set forth herein, reference is made to the Registration Statement and exhibits and schedules filed with it. Statements contained in this prospectus regarding the contents of any contract or any other document that is filed as an exhibit to the Registration Statement are not necessarily complete, and each such statement is subject to, and qualified in its entirety by, reference to the applicable contract or other document filed herewith.</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We incorporate by reference into this prospectus the following documents we have filed with the SEC:</w:t>
      </w:r>
    </w:p>
    <w:p>
      <w:pPr>
        <w:spacing w:after="0" w:line="61" w:lineRule="exact"/>
        <w:rPr>
          <w:sz w:val="20"/>
          <w:szCs w:val="20"/>
          <w:color w:val="auto"/>
        </w:rPr>
      </w:pPr>
    </w:p>
    <w:p>
      <w:pPr>
        <w:jc w:val="both"/>
        <w:ind w:left="1180" w:right="519" w:hanging="338"/>
        <w:spacing w:after="0" w:line="268" w:lineRule="auto"/>
        <w:tabs>
          <w:tab w:leader="none" w:pos="1180" w:val="left"/>
        </w:tabs>
        <w:numPr>
          <w:ilvl w:val="0"/>
          <w:numId w:val="1"/>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Annual Report on Form 10-K for the year ended December 31, 2025, filed with the SEC on </w:t>
      </w:r>
      <w:hyperlink r:id="rId20">
        <w:r>
          <w:rPr>
            <w:rFonts w:ascii="Times New Roman" w:cs="Times New Roman" w:eastAsia="Times New Roman" w:hAnsi="Times New Roman"/>
            <w:sz w:val="17"/>
            <w:szCs w:val="17"/>
            <w:u w:val="single" w:color="auto"/>
            <w:color w:val="0000EE"/>
          </w:rPr>
          <w:t>February 11, 2026</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(our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“Annual Report”), as amended by Amendment No. 1 on Form 10-K/A, filed on</w:t>
      </w:r>
      <w:r>
        <w:rPr>
          <w:rFonts w:ascii="Times New Roman" w:cs="Times New Roman" w:eastAsia="Times New Roman" w:hAnsi="Times New Roman"/>
          <w:sz w:val="17"/>
          <w:szCs w:val="17"/>
          <w:color w:val="0000EE"/>
        </w:rPr>
        <w:t xml:space="preserve"> </w:t>
      </w:r>
      <w:hyperlink r:id="rId21">
        <w:r>
          <w:rPr>
            <w:rFonts w:ascii="Times New Roman" w:cs="Times New Roman" w:eastAsia="Times New Roman" w:hAnsi="Times New Roman"/>
            <w:sz w:val="17"/>
            <w:szCs w:val="17"/>
            <w:u w:val="single" w:color="auto"/>
            <w:color w:val="0000EE"/>
          </w:rPr>
          <w:t>April 29, 2026</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to</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the Annual Report;</w:t>
      </w:r>
    </w:p>
    <w:p>
      <w:pPr>
        <w:spacing w:after="0" w:line="12" w:lineRule="exact"/>
        <w:rPr>
          <w:rFonts w:ascii="Times New Roman" w:cs="Times New Roman" w:eastAsia="Times New Roman" w:hAnsi="Times New Roman"/>
          <w:sz w:val="17"/>
          <w:szCs w:val="17"/>
          <w:color w:val="0000EE"/>
        </w:rPr>
      </w:pPr>
    </w:p>
    <w:p>
      <w:pPr>
        <w:ind w:left="1180" w:right="519" w:hanging="338"/>
        <w:spacing w:after="0" w:line="283" w:lineRule="auto"/>
        <w:tabs>
          <w:tab w:leader="none" w:pos="11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Reports on Form 10-Q for the quarters ended March 31, 2026, June 30, 2026 and September 30, 2026, filed with the SEC on </w:t>
      </w:r>
      <w:hyperlink r:id="rId22">
        <w:r>
          <w:rPr>
            <w:rFonts w:ascii="Times New Roman" w:cs="Times New Roman" w:eastAsia="Times New Roman" w:hAnsi="Times New Roman"/>
            <w:sz w:val="17"/>
            <w:szCs w:val="17"/>
            <w:u w:val="single" w:color="auto"/>
            <w:color w:val="0000EE"/>
          </w:rPr>
          <w:t>May 5, 2026</w:t>
        </w:r>
      </w:hyperlink>
      <w:r>
        <w:rPr>
          <w:rFonts w:ascii="Times New Roman" w:cs="Times New Roman" w:eastAsia="Times New Roman" w:hAnsi="Times New Roman"/>
          <w:sz w:val="17"/>
          <w:szCs w:val="17"/>
          <w:color w:val="auto"/>
        </w:rPr>
        <w:t xml:space="preserve">, </w:t>
      </w:r>
      <w:hyperlink r:id="rId23">
        <w:r>
          <w:rPr>
            <w:rFonts w:ascii="Times New Roman" w:cs="Times New Roman" w:eastAsia="Times New Roman" w:hAnsi="Times New Roman"/>
            <w:sz w:val="17"/>
            <w:szCs w:val="17"/>
            <w:u w:val="single" w:color="auto"/>
            <w:color w:val="0000EE"/>
          </w:rPr>
          <w:t>August 5,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24">
        <w:r>
          <w:rPr>
            <w:rFonts w:ascii="Times New Roman" w:cs="Times New Roman" w:eastAsia="Times New Roman" w:hAnsi="Times New Roman"/>
            <w:sz w:val="17"/>
            <w:szCs w:val="17"/>
            <w:u w:val="single" w:color="auto"/>
            <w:color w:val="0000EE"/>
          </w:rPr>
          <w:t>November 3, 2026</w:t>
        </w:r>
      </w:hyperlink>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8-K filed with the SEC on </w:t>
      </w:r>
      <w:hyperlink r:id="rId25">
        <w:r>
          <w:rPr>
            <w:rFonts w:ascii="Times New Roman" w:cs="Times New Roman" w:eastAsia="Times New Roman" w:hAnsi="Times New Roman"/>
            <w:sz w:val="17"/>
            <w:szCs w:val="17"/>
            <w:u w:val="single" w:color="auto"/>
            <w:color w:val="0000EE"/>
          </w:rPr>
          <w:t>May 8, 2026</w:t>
        </w:r>
      </w:hyperlink>
      <w:r>
        <w:rPr>
          <w:rFonts w:ascii="Times New Roman" w:cs="Times New Roman" w:eastAsia="Times New Roman" w:hAnsi="Times New Roman"/>
          <w:sz w:val="17"/>
          <w:szCs w:val="17"/>
          <w:color w:val="auto"/>
        </w:rPr>
        <w:t xml:space="preserve">, </w:t>
      </w:r>
      <w:hyperlink r:id="rId26">
        <w:r>
          <w:rPr>
            <w:rFonts w:ascii="Times New Roman" w:cs="Times New Roman" w:eastAsia="Times New Roman" w:hAnsi="Times New Roman"/>
            <w:sz w:val="17"/>
            <w:szCs w:val="17"/>
            <w:u w:val="single" w:color="auto"/>
            <w:color w:val="0000EE"/>
          </w:rPr>
          <w:t>June 16,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27">
        <w:r>
          <w:rPr>
            <w:rFonts w:ascii="Times New Roman" w:cs="Times New Roman" w:eastAsia="Times New Roman" w:hAnsi="Times New Roman"/>
            <w:sz w:val="17"/>
            <w:szCs w:val="17"/>
            <w:u w:val="single" w:color="auto"/>
            <w:color w:val="0000EE"/>
          </w:rPr>
          <w:t>July 2, 2026</w:t>
        </w:r>
      </w:hyperlink>
      <w:r>
        <w:rPr>
          <w:rFonts w:ascii="Times New Roman" w:cs="Times New Roman" w:eastAsia="Times New Roman" w:hAnsi="Times New Roman"/>
          <w:sz w:val="17"/>
          <w:szCs w:val="17"/>
          <w:color w:val="auto"/>
        </w:rPr>
        <w:t>; and</w:t>
      </w:r>
    </w:p>
    <w:p>
      <w:pPr>
        <w:spacing w:after="0" w:line="61" w:lineRule="exact"/>
        <w:rPr>
          <w:rFonts w:ascii="Times New Roman" w:cs="Times New Roman" w:eastAsia="Times New Roman" w:hAnsi="Times New Roman"/>
          <w:sz w:val="17"/>
          <w:szCs w:val="17"/>
          <w:color w:val="auto"/>
        </w:rPr>
      </w:pPr>
    </w:p>
    <w:p>
      <w:pPr>
        <w:jc w:val="both"/>
        <w:ind w:left="1180" w:right="519" w:hanging="338"/>
        <w:spacing w:after="0" w:line="268" w:lineRule="auto"/>
        <w:tabs>
          <w:tab w:leader="none" w:pos="11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securities contained in </w:t>
      </w:r>
      <w:hyperlink r:id="rId28">
        <w:r>
          <w:rPr>
            <w:rFonts w:ascii="Times New Roman" w:cs="Times New Roman" w:eastAsia="Times New Roman" w:hAnsi="Times New Roman"/>
            <w:sz w:val="17"/>
            <w:szCs w:val="17"/>
            <w:u w:val="single" w:color="auto"/>
            <w:color w:val="0000EE"/>
          </w:rPr>
          <w:t>Exhibit 4.1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of our Annual Report on Form 10-K for the year ended December 31, 2024, filed with the SEC on February 11, 2025, as updated by our Registration Statement on Form 8-A, filed with the SEC on </w:t>
      </w:r>
      <w:hyperlink r:id="rId29">
        <w:r>
          <w:rPr>
            <w:rFonts w:ascii="Times New Roman" w:cs="Times New Roman" w:eastAsia="Times New Roman" w:hAnsi="Times New Roman"/>
            <w:sz w:val="17"/>
            <w:szCs w:val="17"/>
            <w:u w:val="single" w:color="auto"/>
            <w:color w:val="0000EE"/>
          </w:rPr>
          <w:t>March 28, 2025</w:t>
        </w:r>
      </w:hyperlink>
      <w:r>
        <w:rPr>
          <w:rFonts w:ascii="Times New Roman" w:cs="Times New Roman" w:eastAsia="Times New Roman" w:hAnsi="Times New Roman"/>
          <w:sz w:val="17"/>
          <w:szCs w:val="17"/>
          <w:color w:val="auto"/>
        </w:rPr>
        <w:t>.</w:t>
      </w:r>
    </w:p>
    <w:p>
      <w:pPr>
        <w:spacing w:after="0" w:line="64" w:lineRule="exact"/>
        <w:rPr>
          <w:rFonts w:ascii="Times New Roman" w:cs="Times New Roman" w:eastAsia="Times New Roman" w:hAnsi="Times New Roman"/>
          <w:sz w:val="17"/>
          <w:szCs w:val="17"/>
          <w:color w:val="auto"/>
        </w:rPr>
      </w:pPr>
    </w:p>
    <w:p>
      <w:pPr>
        <w:jc w:val="both"/>
        <w:ind w:left="500" w:right="519" w:firstLine="342"/>
        <w:spacing w:after="0" w:line="257" w:lineRule="auto"/>
        <w:rPr>
          <w:sz w:val="20"/>
          <w:szCs w:val="20"/>
          <w:color w:val="auto"/>
        </w:rPr>
      </w:pPr>
      <w:r>
        <w:rPr>
          <w:rFonts w:ascii="Times New Roman" w:cs="Times New Roman" w:eastAsia="Times New Roman" w:hAnsi="Times New Roman"/>
          <w:sz w:val="17"/>
          <w:szCs w:val="17"/>
          <w:color w:val="auto"/>
        </w:rPr>
        <w:t>All documents subsequently filed by us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We will not, however, incorporate by reference in this Registration Statement any documents or portions thereof that are not deemed “filed” with the SEC, including any information furnished by us pursuant to Item 2.02 or Item 7.01 of our Current Reports on Form 8-K unless, and except to the extent, specified in such reports.</w:t>
      </w:r>
    </w:p>
    <w:p>
      <w:pPr>
        <w:spacing w:after="0" w:line="280" w:lineRule="exact"/>
        <w:rPr>
          <w:rFonts w:ascii="Times New Roman" w:cs="Times New Roman" w:eastAsia="Times New Roman" w:hAnsi="Times New Roman"/>
          <w:sz w:val="17"/>
          <w:szCs w:val="17"/>
          <w:color w:val="auto"/>
        </w:rPr>
      </w:pPr>
    </w:p>
    <w:p>
      <w:pPr>
        <w:jc w:val="both"/>
        <w:ind w:left="500" w:right="519" w:firstLine="342"/>
        <w:spacing w:after="0" w:line="260" w:lineRule="auto"/>
        <w:rPr>
          <w:sz w:val="20"/>
          <w:szCs w:val="20"/>
          <w:color w:val="auto"/>
        </w:rPr>
      </w:pPr>
      <w:r>
        <w:rPr>
          <w:rFonts w:ascii="Times New Roman" w:cs="Times New Roman" w:eastAsia="Times New Roman" w:hAnsi="Times New Roman"/>
          <w:sz w:val="17"/>
          <w:szCs w:val="17"/>
          <w:color w:val="auto"/>
        </w:rPr>
        <w:t>Any statement contained in any document incorporated or deemed to be incorporated by reference herein shall be deemed to be modified or superseded for purposes of this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to constitute a part of this prospectus, except as so modified or superseded.</w:t>
      </w:r>
    </w:p>
    <w:p>
      <w:pPr>
        <w:spacing w:after="0" w:line="71" w:lineRule="exact"/>
        <w:rPr>
          <w:rFonts w:ascii="Times New Roman" w:cs="Times New Roman" w:eastAsia="Times New Roman" w:hAnsi="Times New Roman"/>
          <w:sz w:val="17"/>
          <w:szCs w:val="17"/>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Upon written or oral request, we will provide to each person, including any beneficial owner, to whom this prospectus is delivered, a copy of any or all of the information that is incorporated by reference into this prospectus but not delivered with this prospectus (other than exhibits to those documents unless such exhibits are specially incorporated by reference in those documents), at no cost, by writing to or telephoning us at the following address:</w:t>
      </w:r>
    </w:p>
    <w:p>
      <w:pPr>
        <w:spacing w:after="0" w:line="93"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Shopify Inc.</w:t>
      </w:r>
    </w:p>
    <w:p>
      <w:pPr>
        <w:spacing w:after="0" w:line="27"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151 O’Connor Street, Ground Floor</w:t>
      </w:r>
    </w:p>
    <w:p>
      <w:pPr>
        <w:spacing w:after="0" w:line="10"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Ottawa, Ontario, Canada, K2P 2L8</w:t>
      </w:r>
    </w:p>
    <w:p>
      <w:pPr>
        <w:spacing w:after="0" w:line="10" w:lineRule="exact"/>
        <w:rPr>
          <w:rFonts w:ascii="Times New Roman" w:cs="Times New Roman" w:eastAsia="Times New Roman" w:hAnsi="Times New Roman"/>
          <w:sz w:val="17"/>
          <w:szCs w:val="17"/>
          <w:color w:val="auto"/>
        </w:rPr>
      </w:pPr>
    </w:p>
    <w:p>
      <w:pPr>
        <w:ind w:left="3440" w:right="3459" w:firstLine="273"/>
        <w:spacing w:after="0" w:line="264" w:lineRule="auto"/>
        <w:tabs>
          <w:tab w:leader="none" w:pos="411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241-2828 x 1045 Attention: Corporate Secretary</w:t>
      </w:r>
    </w:p>
    <w:p>
      <w:pPr>
        <w:spacing w:after="0" w:line="216"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SHOPIFY INC.</w:t>
      </w:r>
    </w:p>
    <w:p>
      <w:pPr>
        <w:spacing w:after="0" w:line="117" w:lineRule="exact"/>
        <w:rPr>
          <w:rFonts w:ascii="Times New Roman" w:cs="Times New Roman" w:eastAsia="Times New Roman" w:hAnsi="Times New Roman"/>
          <w:sz w:val="17"/>
          <w:szCs w:val="17"/>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Shopify provides essential internet infrastructure for commerce. Shopify’s all-in-one platform makes it easier to start, run and grow a business, powering sales online, in store, and everywhere in between. Shopify’s mission is to make commerce better for everyone with a platform and services that are engineered for speed, customization, reliability and security, while delivering a better shopping experience for consumers everywhere.</w:t>
      </w:r>
    </w:p>
    <w:p>
      <w:pPr>
        <w:spacing w:after="0" w:line="67" w:lineRule="exact"/>
        <w:rPr>
          <w:rFonts w:ascii="Times New Roman" w:cs="Times New Roman" w:eastAsia="Times New Roman" w:hAnsi="Times New Roman"/>
          <w:sz w:val="17"/>
          <w:szCs w:val="17"/>
          <w:color w:val="auto"/>
        </w:rPr>
      </w:pPr>
    </w:p>
    <w:p>
      <w:pPr>
        <w:jc w:val="both"/>
        <w:ind w:left="500" w:right="519" w:firstLine="342"/>
        <w:spacing w:after="0" w:line="257" w:lineRule="auto"/>
        <w:rPr>
          <w:sz w:val="20"/>
          <w:szCs w:val="20"/>
          <w:color w:val="auto"/>
        </w:rPr>
      </w:pPr>
      <w:r>
        <w:rPr>
          <w:rFonts w:ascii="Times New Roman" w:cs="Times New Roman" w:eastAsia="Times New Roman" w:hAnsi="Times New Roman"/>
          <w:sz w:val="17"/>
          <w:szCs w:val="17"/>
          <w:color w:val="auto"/>
        </w:rPr>
        <w:t>Shopify’s business is designed to empower our merchants by offering a comprehensive, multi-channel commerce platform that supports their business as it grows. The Company’s platform enables merchants to manage, market and sell their products across various sales channels, including online storefronts, physical retail spaces, AI platforms, social media and more. Emphasizing merchant-first innovation, Shopify provides an integrated back-end system to streamline operations, from managing inventory and transaction management to building relationships with buyers. With a robust and continuously updated infrastructure, Shopify’s goal is to provide merchants with cutting-edge technology to thrive in a competitive market.</w:t>
      </w:r>
    </w:p>
    <w:p>
      <w:pPr>
        <w:spacing w:after="0" w:line="71" w:lineRule="exact"/>
        <w:rPr>
          <w:rFonts w:ascii="Times New Roman" w:cs="Times New Roman" w:eastAsia="Times New Roman" w:hAnsi="Times New Roman"/>
          <w:sz w:val="17"/>
          <w:szCs w:val="17"/>
          <w:color w:val="auto"/>
        </w:rPr>
      </w:pPr>
    </w:p>
    <w:p>
      <w:pPr>
        <w:jc w:val="both"/>
        <w:ind w:left="500" w:right="519" w:firstLine="342"/>
        <w:spacing w:after="0" w:line="257" w:lineRule="auto"/>
        <w:rPr>
          <w:sz w:val="20"/>
          <w:szCs w:val="20"/>
          <w:color w:val="auto"/>
        </w:rPr>
      </w:pPr>
      <w:r>
        <w:rPr>
          <w:rFonts w:ascii="Times New Roman" w:cs="Times New Roman" w:eastAsia="Times New Roman" w:hAnsi="Times New Roman"/>
          <w:sz w:val="17"/>
          <w:szCs w:val="17"/>
          <w:color w:val="auto"/>
        </w:rPr>
        <w:t xml:space="preserve">Shopify was incorporated under the </w:t>
      </w:r>
      <w:r>
        <w:rPr>
          <w:rFonts w:ascii="Times New Roman" w:cs="Times New Roman" w:eastAsia="Times New Roman" w:hAnsi="Times New Roman"/>
          <w:sz w:val="17"/>
          <w:szCs w:val="17"/>
          <w:i w:val="1"/>
          <w:iCs w:val="1"/>
          <w:color w:val="auto"/>
        </w:rPr>
        <w:t>Canada Business Corporations Act</w:t>
      </w:r>
      <w:r>
        <w:rPr>
          <w:rFonts w:ascii="Times New Roman" w:cs="Times New Roman" w:eastAsia="Times New Roman" w:hAnsi="Times New Roman"/>
          <w:sz w:val="17"/>
          <w:szCs w:val="17"/>
          <w:color w:val="auto"/>
        </w:rPr>
        <w:t xml:space="preserve"> (the “CBCA”) on September 28, 2004. While we consider the Company’s location to be the internet, our registered office is located at 151 O’Connor Street, Ground Floor, Ottawa, Ontario, Canada, K2P 2L8. Our telephone number is (613) 241-2828 x 1045. We maintain a website at www.shopify.com. The information on, or accessible through, our website is not part of this prospectus or any applicable prospectus supplement and any internet addresses provided in this prospectus or any applicable prospectus supplement are for informational purposes and are intended to be inactive textual references only. Additional information about our business is included in the documents incorporated by reference into this prospectus.</w:t>
      </w:r>
    </w:p>
    <w:p>
      <w:pPr>
        <w:spacing w:after="0" w:line="177"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Investment in our Securities is subject to various risks. Before deciding whether to invest in any Securities, in addition to the other information included in, or incorporated by reference into, this prospectus, you should carefully consider the risk factors contained in Part I — Item 1A “Risk Factors” and elsewhere in the Annual Report, which is incorporated by reference into this prospectus, as updated by our annual or quarterly reports for subsequent years or quarters that we file with the SEC and that are so incorporated.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8" w:name="page9"/>
    <w:bookmarkEnd w:id="8"/>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7"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The net proceeds to us from any offering of Securities and the proposed use of those proceeds will be set forth in the applicable prospectus supplement relating to that offering of Securities. We will not receive any proceeds from any sales of Securities offered by a selling securityholder.</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THE SHARE CAPITAL OF THE COMPANY</w:t>
      </w:r>
    </w:p>
    <w:p>
      <w:pPr>
        <w:spacing w:after="0" w:line="117"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Our authorized share capital consists of an unlimited number of Class A Subordinate Voting Shares, an unlimited number of Class B multiple voting shares (“Class B Restricted Voting Shares”), one Founder share (the “Founder Share”), and an unlimited number of Preferred Shares, issuable in series.</w:t>
      </w:r>
    </w:p>
    <w:p>
      <w:pPr>
        <w:spacing w:after="0" w:line="64" w:lineRule="exact"/>
        <w:rPr>
          <w:sz w:val="20"/>
          <w:szCs w:val="20"/>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The Class B Restricted Voting Shares carry a greater number of votes per share relative to the Class A Subordinate Voting Shares, and the Founder Share has a variable number of votes. The Class A Subordinate Voting Shares are therefore, and the Class B Restricted Voting Shares may be considered to be, “restricted securities” within the meaning of such term under applicable Canadian securities laws.</w:t>
      </w:r>
    </w:p>
    <w:p>
      <w:pPr>
        <w:spacing w:after="0" w:line="67"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As of October 30, 2026, 1,208,456,928 Class A Subordinate Voting Shares, 78,065,084 Class B Restricted Voting Shares, one Founder Share and no Preferred Shares were issued and outstanding, and the Class A Subordinate Voting Shares represent 93.93% of the total issued and outstanding shares and 59.95% of the aggregate voting power attached to all of the Company’s outstanding voting shares, the Class B Restricted Voting Shares represent 6.07% of the total issued and outstanding shares and 38.72% of the aggregate voting power attached to all of the Company’s outstanding voting shares and the Founder Share represents a de minimis percentage of the total issued and outstanding shares and 1.33% of the aggregate voting power attached to all of the Company’s outstanding voting shares.</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Class A Subordinate Voting and Class B Restricted Voting Shares</w:t>
      </w:r>
    </w:p>
    <w:p>
      <w:pPr>
        <w:spacing w:after="0" w:line="117"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Except as described in this prospectus, the Class A Subordinate Voting Shares and the Class B Restricted Voting Shares have the same rights, are equal in all respects and are treated by the Company as if they were one class of shares.</w:t>
      </w:r>
    </w:p>
    <w:p>
      <w:pPr>
        <w:spacing w:after="0" w:line="2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Rank</w:t>
      </w:r>
    </w:p>
    <w:p>
      <w:pPr>
        <w:spacing w:after="0" w:line="115" w:lineRule="exact"/>
        <w:rPr>
          <w:sz w:val="20"/>
          <w:szCs w:val="20"/>
          <w:color w:val="auto"/>
        </w:rPr>
      </w:pPr>
    </w:p>
    <w:p>
      <w:pPr>
        <w:jc w:val="both"/>
        <w:ind w:left="500" w:right="519" w:firstLine="342"/>
        <w:spacing w:after="0" w:line="257" w:lineRule="auto"/>
        <w:rPr>
          <w:sz w:val="20"/>
          <w:szCs w:val="20"/>
          <w:color w:val="auto"/>
        </w:rPr>
      </w:pPr>
      <w:r>
        <w:rPr>
          <w:rFonts w:ascii="Times New Roman" w:cs="Times New Roman" w:eastAsia="Times New Roman" w:hAnsi="Times New Roman"/>
          <w:sz w:val="17"/>
          <w:szCs w:val="17"/>
          <w:color w:val="auto"/>
        </w:rPr>
        <w:t xml:space="preserve">The Class A Subordinate Voting Shares and Class B Restricted Voting Shares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respect to the payment of dividends, distribution of property and assets in the event of the liquidation, dissolution or winding up of the Company. In the event of the liquidation, dissolution or winding-up of the Company, whether voluntarily or involuntarily, or any other distribution of its assets among its shareholders for the purpose of winding-up its affairs, the holders of Class A Subordinate Voting Shares and the holders of Class B Restricted Voting Shares are entitled to participate equally in the remaining property and assets of the Company available for distribution to the holders of shares, without preference or distinction among or between the Class A Subordinate Voting Shares and the Class B Restricted Voting Shares, subject to the rights of the holders of any Preferred Shares.</w:t>
      </w:r>
    </w:p>
    <w:p>
      <w:pPr>
        <w:spacing w:after="0" w:line="27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19"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The holders of outstanding Class A Subordinate Voting Shares and Class B Restricted Voting Shares are entitled to receive dividends on a share for share basis at such times and in such amounts and form as our Board of Directors may from time to time determine, but subject to the rights of the holders of any Preferred Shares, without preference or distinction among or between the Class A Subordinate Voting Shares and the Class B Restricted Voting Shares. In the event of a payment of a dividend in the form of shares, Class A Subordinate Voting Shares shall be distributed with respect to outstanding Class A Subordinate Voting Shares and Class B Restricted Voting Shares shall be distributed with respect to outstanding Class B Restricted Voting Shares, unless otherwise determined by our board.</w:t>
      </w:r>
    </w:p>
    <w:p>
      <w:pPr>
        <w:spacing w:after="0" w:line="2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19" w:lineRule="exact"/>
        <w:rPr>
          <w:sz w:val="20"/>
          <w:szCs w:val="20"/>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Holders of Class A Subordinate Voting Shares and Class B Restricted Voting Shares are entitled to receive notice of and to attend meetings of shareholders, except meetings at which only holders of another particular class or series have the right to vote. Each Class A Subordinate Voting Share is entitled to one vote per share and each Class B Restricted Voting Share is entitled to 10 votes per share.</w:t>
      </w:r>
    </w:p>
    <w:p>
      <w:pPr>
        <w:spacing w:after="0" w:line="2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Conversion</w:t>
      </w:r>
    </w:p>
    <w:p>
      <w:pPr>
        <w:spacing w:after="0" w:line="119"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The Class A Subordinate Voting Shares are not convertible into any other class of shares. Each outstanding Class B Restricted Voting Share may at any time, at the option of the holder, be converted into one Class A Subordinate Voting Share. Upon the first date that a Class B Restricted Voting Share is Transferred (as defined below) by a holder of Class B Restricted Voting Shares, other than to a Permitted Holder (as defined below) or from any such Permitted Holder back to such holder of Class B Restricted Voting Shares and/or any other Permitted Holder of such holder of Class B</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519"/>
        <w:spacing w:after="0" w:line="268" w:lineRule="auto"/>
        <w:rPr>
          <w:sz w:val="20"/>
          <w:szCs w:val="20"/>
          <w:color w:val="auto"/>
        </w:rPr>
      </w:pPr>
      <w:r>
        <w:rPr>
          <w:rFonts w:ascii="Times New Roman" w:cs="Times New Roman" w:eastAsia="Times New Roman" w:hAnsi="Times New Roman"/>
          <w:sz w:val="17"/>
          <w:szCs w:val="17"/>
          <w:color w:val="auto"/>
        </w:rPr>
        <w:t>Restricted Voting Shares, the holder thereof, without any further action, shall automatically be deemed to have exercised his, her or its rights to convert such Class B Restricted Voting Share into a fully paid and non-assessable Class A Subordinate Voting Share, effective immediately upon such Transfer, on a share for share basis.</w:t>
      </w:r>
    </w:p>
    <w:p>
      <w:pPr>
        <w:spacing w:after="0" w:line="64" w:lineRule="exact"/>
        <w:rPr>
          <w:sz w:val="20"/>
          <w:szCs w:val="20"/>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In addition, all Class B Restricted Voting Shares will convert automatically into Class A Subordinate Voting Shares on the date on which the outstanding Class B Restricted Voting Shares represent less than 5% of the aggregate number of outstanding Class A Subordinate Voting Shares and Class B Restricted Voting Shares as a group.</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For the purposes of the foregoing:</w:t>
      </w:r>
    </w:p>
    <w:p>
      <w:pPr>
        <w:spacing w:after="0" w:line="113"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“Affiliate” means, with respect to any specified Person, any other Person which directly or indirectly through one or more intermediaries controls, is controlled by, or is under common control with such specified Person;</w:t>
      </w:r>
    </w:p>
    <w:p>
      <w:pPr>
        <w:spacing w:after="0" w:line="49"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 xml:space="preserve">“Members of the Immediate Family” means with respect to any individual, each parent (whether by birth or adoption), spouse, or child or other descendants (whether by birth or adoption) of such individual, each spouse of any of the aforementioned Persons, each trust created solely for the benefit of such individual and/or one or more of the aforementioned Persons, and each legal representative of such individual or of any aforementioned Persons (including without limitation a tutor, curator, mandatary due to incapacity, custodian, guardian or testamentary executor), acting in such capacity under the authority of the law, an order from a competent tribunal, a will or a mandate in case of incapacity or similar instrument. For the purposes of this definition, a Person shall be considered the spouse of an individual if such Person is legally married to such individual, lives in a civil union with such individual or is the common law partner (as defined in the </w:t>
      </w:r>
      <w:r>
        <w:rPr>
          <w:rFonts w:ascii="Times New Roman" w:cs="Times New Roman" w:eastAsia="Times New Roman" w:hAnsi="Times New Roman"/>
          <w:sz w:val="17"/>
          <w:szCs w:val="17"/>
          <w:i w:val="1"/>
          <w:iCs w:val="1"/>
          <w:color w:val="auto"/>
        </w:rPr>
        <w:t>Income Tax Act</w:t>
      </w:r>
      <w:r>
        <w:rPr>
          <w:rFonts w:ascii="Times New Roman" w:cs="Times New Roman" w:eastAsia="Times New Roman" w:hAnsi="Times New Roman"/>
          <w:sz w:val="17"/>
          <w:szCs w:val="17"/>
          <w:color w:val="auto"/>
        </w:rPr>
        <w:t xml:space="preserve"> (Canada) as amended from time to time) of such individual. A Person who was the spouse of an individual within the meaning of this paragraph immediately before the death of such individual shall continue to be considered a spouse of such individual after the death of such individual;</w:t>
      </w:r>
    </w:p>
    <w:p>
      <w:pPr>
        <w:spacing w:after="0" w:line="74" w:lineRule="exact"/>
        <w:rPr>
          <w:sz w:val="20"/>
          <w:szCs w:val="20"/>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“Permitted Holders” means, in respect of a holder of Class B Restricted Voting Shares that is an individual, the Members of the Immediate Family of such individual and any Person controlled, directly or indirectly, by any such holder, and in respect of a holder of Class B Restricted Voting Shares that is not an individual, an Affiliate of that holder;</w:t>
      </w:r>
    </w:p>
    <w:p>
      <w:pPr>
        <w:spacing w:after="0" w:line="67"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“Person” means any individual, partnership, corporation, company, association, trust, joint venture or limited liability company;</w:t>
      </w:r>
    </w:p>
    <w:p>
      <w:pPr>
        <w:spacing w:after="0" w:line="49"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“Transfer” of a Class B Restricted Voting Share shall mean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(1) a transfer of a Class B Restricted Voting Share to a broker or other nominee (regardless of whether or not there is a corresponding change in beneficial ownership) or (2) the transfer of, or entering into a binding agreement with respect to, Voting Control over a Class B Restricted Voting Share by proxy or otherwise, provided, however, that the following shall not be considered a “Transfer”: (a) the grant of a proxy to our officers or directors at the request of our Board of Directors in connection with actions to be taken at an annual or special meeting of shareholders; or (b) the pledge of a Class B Restricted Voting Share that creates a mere security interest in such share pursuant to a bona fide loan or indebtedness transaction so long as the holder of the Class B Restricted Voting Share continues to exercise Voting Control over such pledged shares; provided, however, that a foreclosure on such Class B Restricted Voting Share or other similar action by the pledgee shall constitute a “Transfer”;</w:t>
      </w:r>
    </w:p>
    <w:p>
      <w:pPr>
        <w:spacing w:after="0" w:line="74"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“Voting Control” with respect to a Class B Restricted Voting Share means the exclusive power (whether directly or indirectly) to vote or direct the voting of such Class B Restricted Voting Share by proxy, voting agreement or otherwise; and</w:t>
      </w:r>
    </w:p>
    <w:p>
      <w:pPr>
        <w:spacing w:after="0" w:line="64"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A Person is “controlled” by another Person or other Persons if: (1) in the case of a company or other body corporate wherever or however incorporated: (A) securities entitled to vote in the election of directors carrying in the aggregate at least a majority of the votes for the election of directors and representing in the aggregate at least a majority of the participating (equity) securities are held, other than by way of security only, directly or indirectly, by or solely for the benefit of the other Person or Persons; and (B) the votes carried in the aggregate by such securities are entitled, if exercised, to elect a majority of the board of directors of such company or other body corporate; or (2) in the case of a Person that is not a company or other body corporate, at least a majority of the participating (equity) and voting interests of such Person are held, directly or indirectly, by or solely for the benefit of the other Person or Persons; and “controls,” “controlling” and “under common control with” shall be interpreted accordingly.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Subdivision or Consolidation</w:t>
      </w:r>
    </w:p>
    <w:p>
      <w:pPr>
        <w:spacing w:after="0" w:line="11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No subdivision or consolidation of the Class A Subordinate Voting Shares or the Class B Restricted Voting Shares may be carried out unless, at the same time, the Class B Restricted Voting Shares or the Class A Subordinate Voting Shares, as the case may be, are subdivided or consolidated in the same manner and on the same basis.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Certain Class Votes</w:t>
      </w:r>
    </w:p>
    <w:p>
      <w:pPr>
        <w:spacing w:after="0" w:line="11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Except as required by the CBCA, applicable securities laws or the Company’s restated articles of incorporation, holders of Class A Subordinate Voting Shares and Class B Restricted Voting Shares will vote together on all matters subject to a vote of holders of both those classes of shares as if they were one class of shares.</w:t>
      </w:r>
    </w:p>
    <w:p>
      <w:pPr>
        <w:spacing w:after="0" w:line="64" w:lineRule="exact"/>
        <w:rPr>
          <w:sz w:val="20"/>
          <w:szCs w:val="20"/>
          <w:color w:val="auto"/>
        </w:rPr>
      </w:pPr>
    </w:p>
    <w:p>
      <w:pPr>
        <w:jc w:val="both"/>
        <w:ind w:left="500" w:right="519" w:firstLine="342"/>
        <w:spacing w:after="0" w:line="254" w:lineRule="auto"/>
        <w:rPr>
          <w:sz w:val="20"/>
          <w:szCs w:val="20"/>
          <w:color w:val="auto"/>
        </w:rPr>
      </w:pPr>
      <w:r>
        <w:rPr>
          <w:rFonts w:ascii="Times New Roman" w:cs="Times New Roman" w:eastAsia="Times New Roman" w:hAnsi="Times New Roman"/>
          <w:sz w:val="17"/>
          <w:szCs w:val="17"/>
          <w:color w:val="auto"/>
        </w:rPr>
        <w:t>Neither the holders of the Class A Subordinate Voting Shares nor the holders of the Class B Restricted Voting Shares shall be entitled to vote separately as a class upon a proposal to amend the Company’s restated articles of incorporation in the case of an amendment to (1) increase or decrease any maximum number of authorized shares of such class, or increase any maximum number of authorized shares of a class having rights or privileges equal or superior to the shares of such class; or (2) create a new class of shares equal or superior to the shares of such class, which rights are otherwise provided for in paragraphs (a) and (e) of subsection 176(1) of the CBCA, respectively. Pursuant to the Company’s restated articles of incorporation, neither holders of Class A Subordinate Voting Shares nor holders of Class B Restricted Voting Shares will be entitled to vote separately as a class on a proposal to amend the Company’s restated articles of incorporation to effect an exchange, reclassification or cancellation of all or part of the shares of such class pursuant to Section 176(1)(b) of the CBCA unless such exchange, reclassification or cancellation: (a) affects only the holders of that class; or (b) affects the holders of Class A Subordinate Voting Shares and Class B Restricted Voting Shares differently, on a per share basis, and such holders are not already otherwise entitled to vote separately as a class under applicable law or the Company’s restated articles of incorporation in respect of such exchange, reclassification or cancellation.</w:t>
      </w:r>
    </w:p>
    <w:p>
      <w:pPr>
        <w:spacing w:after="0" w:line="81" w:lineRule="exact"/>
        <w:rPr>
          <w:sz w:val="20"/>
          <w:szCs w:val="20"/>
          <w:color w:val="auto"/>
        </w:rPr>
      </w:pPr>
    </w:p>
    <w:p>
      <w:pPr>
        <w:jc w:val="both"/>
        <w:ind w:left="500" w:right="519" w:firstLine="342"/>
        <w:spacing w:after="0" w:line="260" w:lineRule="auto"/>
        <w:rPr>
          <w:sz w:val="20"/>
          <w:szCs w:val="20"/>
          <w:color w:val="auto"/>
        </w:rPr>
      </w:pPr>
      <w:r>
        <w:rPr>
          <w:rFonts w:ascii="Times New Roman" w:cs="Times New Roman" w:eastAsia="Times New Roman" w:hAnsi="Times New Roman"/>
          <w:sz w:val="17"/>
          <w:szCs w:val="17"/>
          <w:color w:val="auto"/>
        </w:rPr>
        <w:t>Pursuant to the Company’s restated articles of incorporation, holders of Class A Subordinate Voting Shares and Class B Restricted Voting Shares will be treated equally and identically, on a per share basis, in certain change of control transactions that require approval of shareholders under the CBCA, unless different treatment of the shares of each such class is approved by a majority of the votes cast by the holders of Class A Subordinate Voting Shares and Class B Restricted Voting Shares, each voting separately as a class.</w:t>
      </w:r>
    </w:p>
    <w:p>
      <w:pPr>
        <w:spacing w:after="0" w:line="2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Take-Over Bid Protection</w:t>
      </w:r>
    </w:p>
    <w:p>
      <w:pPr>
        <w:spacing w:after="0" w:line="119"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Under applicable Canadian law, an offer to purchase Class B Restricted Voting Shares would not necessarily require that an offer be made to purchase Class A Subordinate Voting Shares. In accordance with the rules of the TSX designed to ensure that, in the event of a take-over bid, the holders of Class A Subordinate Voting Shares will be entitled to participate on an equal footing with holders of Class B Restricted Voting Shares, upon the completion of our initial public offering the holders of over 80% of the then outstanding Class B Restricted Voting Shares entered into a customary coattail agreement with Shopify and a trustee (the “Coattail Agreement”). The Coattail Agreement contains provisions customary for dual class, TSX listed corporations designed to prevent transactions that otherwise would deprive the holders of Class A Subordinate Voting Shares of rights under the take-over bid provisions of applicable Canadian securities laws to which they would have been entitled if the Class B Restricted Voting Shares had been Class A Subordinate Voting Shares.</w:t>
      </w:r>
    </w:p>
    <w:p>
      <w:pPr>
        <w:spacing w:after="0" w:line="7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The undertakings in the Coattail Agreement will not apply to prevent a sale of Class B Restricted Voting Shares by a holder of Class B Restricted Voting Shares party to the Coattail Agreement if concurrently an offer is made to purchase Class A Subordinate Voting Shares that:</w:t>
      </w:r>
    </w:p>
    <w:p>
      <w:pPr>
        <w:spacing w:after="0" w:line="64" w:lineRule="exact"/>
        <w:rPr>
          <w:sz w:val="20"/>
          <w:szCs w:val="20"/>
          <w:color w:val="auto"/>
        </w:rPr>
      </w:pPr>
    </w:p>
    <w:p>
      <w:pPr>
        <w:ind w:left="1180" w:right="519" w:hanging="338"/>
        <w:spacing w:after="0" w:line="285"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offers a price per Class A Subordinate Voting Share at least as high as the highest price per share paid or required to be paid pursuant to the take-over bid for the Class B Restricted Voting Shares;</w:t>
      </w:r>
    </w:p>
    <w:p>
      <w:pPr>
        <w:spacing w:after="0" w:line="49" w:lineRule="exact"/>
        <w:rPr>
          <w:rFonts w:ascii="Times New Roman" w:cs="Times New Roman" w:eastAsia="Times New Roman" w:hAnsi="Times New Roman"/>
          <w:sz w:val="17"/>
          <w:szCs w:val="17"/>
          <w:color w:val="auto"/>
        </w:rPr>
      </w:pPr>
    </w:p>
    <w:p>
      <w:pPr>
        <w:jc w:val="both"/>
        <w:ind w:left="1180" w:right="519" w:hanging="338"/>
        <w:spacing w:after="0" w:line="260"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the percentage of outstanding Class A Subordinate Voting Shares to be taken up (exclusive of shares owned immediately prior to the offer by the offeror or persons acting jointly or in concert with the offeror) is at least as high as the percentage of outstanding Class B Restricted Voting Shares to be sold (exclusive of Class B Restricted Voting Shares owned immediately prior to the offer by the offeror and persons acting jointly or in concert with the offeror);</w:t>
      </w:r>
    </w:p>
    <w:p>
      <w:pPr>
        <w:spacing w:after="0" w:line="70"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no condition attached other than the right not to take up and pay for Class A Subordinate Voting Shares tendered if no shares are purchased pursuant to the offer for Class B Restricted Voting Shares; and</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in all other material respects identical to the offer for Class B Restricted Voting Shares.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2" w:name="page13"/>
    <w:bookmarkEnd w:id="12"/>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519" w:firstLine="342"/>
        <w:spacing w:after="0" w:line="260" w:lineRule="auto"/>
        <w:rPr>
          <w:sz w:val="20"/>
          <w:szCs w:val="20"/>
          <w:color w:val="auto"/>
        </w:rPr>
      </w:pPr>
      <w:r>
        <w:rPr>
          <w:rFonts w:ascii="Times New Roman" w:cs="Times New Roman" w:eastAsia="Times New Roman" w:hAnsi="Times New Roman"/>
          <w:sz w:val="17"/>
          <w:szCs w:val="17"/>
          <w:color w:val="auto"/>
        </w:rPr>
        <w:t>In addition, the Coattail Agreement will not prevent the sale of Class B Restricted Voting Shares by a holder thereof to a Permitted Holder, provided such sale does not or would not constitute a take-over bid or, if so, is exempt or would be exempt from the formal bid requirements (as defined in applicable securities laws). The conversion of Class B Restricted Voting Shares into Class A Subordinate Voting Shares, shall not, in and of itself, constitute a sale of Class B Restricted Voting Shares for the purposes of the Coattail Agreement.</w:t>
      </w:r>
    </w:p>
    <w:p>
      <w:pPr>
        <w:spacing w:after="0" w:line="71" w:lineRule="exact"/>
        <w:rPr>
          <w:sz w:val="20"/>
          <w:szCs w:val="20"/>
          <w:color w:val="auto"/>
        </w:rPr>
      </w:pPr>
    </w:p>
    <w:p>
      <w:pPr>
        <w:jc w:val="both"/>
        <w:ind w:left="500" w:right="519" w:firstLine="342"/>
        <w:spacing w:after="0" w:line="260" w:lineRule="auto"/>
        <w:rPr>
          <w:sz w:val="20"/>
          <w:szCs w:val="20"/>
          <w:color w:val="auto"/>
        </w:rPr>
      </w:pPr>
      <w:r>
        <w:rPr>
          <w:rFonts w:ascii="Times New Roman" w:cs="Times New Roman" w:eastAsia="Times New Roman" w:hAnsi="Times New Roman"/>
          <w:sz w:val="17"/>
          <w:szCs w:val="17"/>
          <w:color w:val="auto"/>
        </w:rPr>
        <w:t>Under the Coattail Agreement, any sale of Class B Restricted Voting Shares (including a transfer to a pledgee as security) by a holder of Class B Restricted Voting Shares party to the Coattail Agreement will be conditional upon the transferee or pledgee becoming a party to the Coattail Agreement, to the extent such transferred Class B Restricted Voting Shares are not automatically converted into Class A Subordinate Voting Shares in accordance with our restated articles of incorporation.</w:t>
      </w:r>
    </w:p>
    <w:p>
      <w:pPr>
        <w:spacing w:after="0" w:line="71"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The Coattail Agreement contains provisions for authorizing action by the trustee to enforce the rights under the Coattail Agreement on behalf of the holders of the Class A Subordinate Voting Shares. The obligation of the trustee to take such action will be conditional on Shopify or holders of the Class A Subordinate Voting Shares providing such funds and indemnity as the trustee may require. No holder of Class A Subordinate Voting Shares will have the right, other than through the trustee, to institute any action or proceeding or to exercise any other remedy to enforce any rights arising under the Coattail Agreement unless the trustee fails to act on a request authorized by holders of not less than 10% of the outstanding Class A Subordinate Voting Shares and reasonable funds and indemnity have been provided to the trustee.</w:t>
      </w:r>
    </w:p>
    <w:p>
      <w:pPr>
        <w:spacing w:after="0" w:line="77"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The Coattail Agreement provides that it may not be amended, and no provision thereof may be waived, unless, prior to giving effect to such amendment or waiver, the following have been obtained: (a) the consent of the TSX and any other applicable securities regulatory authority in Canada and (b) the approval of at least 66 2/3% of the votes cast by holders of Class A Subordinate Voting Shares represented at a meeting duly called for the purpose of considering such amendment or waiver, excluding votes attached to Class A Subordinate Voting Shares held directly or indirectly by holders of Class B Restricted Voting Shares, their affiliates and related parties and any persons who have an agreement to purchase Class B Restricted Voting Shares on terms which would constitute a sale for purposes of the Coattail Agreement other than as permitted thereby.</w:t>
      </w:r>
    </w:p>
    <w:p>
      <w:pPr>
        <w:spacing w:after="0" w:line="77"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No provision of the Coattail Agreement limits the rights of any holders of Class A Subordinate Voting Shares under applicable law.</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Founder Share</w:t>
      </w:r>
    </w:p>
    <w:p>
      <w:pPr>
        <w:spacing w:after="0" w:line="1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 holder of the Founder Share is not entitled to receive any dividends.</w:t>
      </w:r>
    </w:p>
    <w:p>
      <w:pPr>
        <w:spacing w:after="0" w:line="26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Liquidation, Dissolution, or Winding-Up</w:t>
      </w:r>
    </w:p>
    <w:p>
      <w:pPr>
        <w:spacing w:after="0" w:line="11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The holder of the Founder Share is not entitled to receive any property or assets of the Company on the liquidation, dissolution or winding-up of the Company whether voluntarily or involuntarily, or any other distribution of assets of the Company among its shareholders for the purposes of winding up its affairs.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Voting Rights and Sunset</w:t>
      </w:r>
    </w:p>
    <w:p>
      <w:pPr>
        <w:spacing w:after="0" w:line="119"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The holder of the Founder Share is entitled to receive notice of and to attend all meetings of shareholders of the Company, except meetings at which only holders of another particular class or series shall have the right to vote.</w:t>
      </w:r>
    </w:p>
    <w:p>
      <w:pPr>
        <w:spacing w:after="0" w:line="49"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Subject to the limitations set forth below, at each meeting of shareholders of the Company, the Founder Share shall entitle the holder thereof to the Specified Number of votes.</w:t>
      </w:r>
    </w:p>
    <w:p>
      <w:pPr>
        <w:spacing w:after="0" w:line="49"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The Founder Share provides a variable number of votes that represents, when combined with the votes attached to certain other voting shares of the Company beneficially owned or controlled by the Founder, his immediate family and affiliates, at least 40% of the aggregate voting power attached to all of the Company’s outstanding voting shares, provided that such variable number of votes does not cause the aggregate voting power of the Founder and his immediate family and affiliates to exceed 49.9% of the aggregate voting power attached to all of the Company’s outstanding voting shares. Specifically, the Founder Share will entitle the holder to only one vote at any meeting of shareholders of the Company if either (i) the Founder MVS Percentage is equal to or greater than 40% or (ii) the Founder Group MVS/SVS Percentage is equal to or greater than 49.9%.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The number of votes carried by the Founder Share shall be automatically and permanently reduced to one vote on the Sunset Date.</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For the purposes of the foregoing:</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“Effective Date” means June 9, 2022;</w:t>
      </w:r>
    </w:p>
    <w:p>
      <w:pPr>
        <w:spacing w:after="0" w:line="15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“Founder” means Tobias Lütke;</w:t>
      </w:r>
    </w:p>
    <w:p>
      <w:pPr>
        <w:spacing w:after="0" w:line="113"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“Founder Group” means the Members of the Immediate Family of the Founder and any Person (other than the Company and its subsidiaries) controlled, directly or indirectly, by the Founder;</w:t>
      </w:r>
    </w:p>
    <w:p>
      <w:pPr>
        <w:spacing w:after="0" w:line="49"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“Founder Group MVS/SVS Percentage” means the Founder Group MVS/SVS Votes divided by the Total Votes, expressed as a percentage;</w:t>
      </w:r>
    </w:p>
    <w:p>
      <w:pPr>
        <w:spacing w:after="0" w:line="49" w:lineRule="exact"/>
        <w:rPr>
          <w:sz w:val="20"/>
          <w:szCs w:val="20"/>
          <w:color w:val="auto"/>
        </w:rPr>
      </w:pPr>
    </w:p>
    <w:p>
      <w:pPr>
        <w:jc w:val="both"/>
        <w:ind w:left="500" w:right="519" w:firstLine="342"/>
        <w:spacing w:after="0" w:line="257" w:lineRule="auto"/>
        <w:rPr>
          <w:sz w:val="20"/>
          <w:szCs w:val="20"/>
          <w:color w:val="auto"/>
        </w:rPr>
      </w:pPr>
      <w:r>
        <w:rPr>
          <w:rFonts w:ascii="Times New Roman" w:cs="Times New Roman" w:eastAsia="Times New Roman" w:hAnsi="Times New Roman"/>
          <w:sz w:val="17"/>
          <w:szCs w:val="17"/>
          <w:color w:val="auto"/>
        </w:rPr>
        <w:t>“Founder Group MVS/SVS Votes” means, as of the applicable record date, the number of votes that may be exercised with respect to all Voting Shares that the holder of the Founder Share or the Founder Group beneficially owns or exercises Voting Control over (except by way of any proxy or power of attorney granted pursuant to a general solicitation of proxies in connection with actions to be taken at an annual or special meeting of shareholders, or otherwise at the direction of the Board of Directors, in respect of Voting Shares over which Voting Control would otherwise be exercised by Persons other than the Founder and the Founder Group), excluding the number of votes attached to the Founder Share;</w:t>
      </w:r>
    </w:p>
    <w:p>
      <w:pPr>
        <w:spacing w:after="0" w:line="126"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“Founder MVS Percentage” means the Founder MVS Votes divided by the Total Votes, expressed as a percentage;</w:t>
      </w:r>
    </w:p>
    <w:p>
      <w:pPr>
        <w:spacing w:after="0" w:line="49" w:lineRule="exact"/>
        <w:rPr>
          <w:sz w:val="20"/>
          <w:szCs w:val="20"/>
          <w:color w:val="auto"/>
        </w:rPr>
      </w:pPr>
    </w:p>
    <w:p>
      <w:pPr>
        <w:jc w:val="both"/>
        <w:ind w:left="500" w:right="519" w:firstLine="342"/>
        <w:spacing w:after="0" w:line="253" w:lineRule="auto"/>
        <w:rPr>
          <w:sz w:val="20"/>
          <w:szCs w:val="20"/>
          <w:color w:val="auto"/>
        </w:rPr>
      </w:pPr>
      <w:r>
        <w:rPr>
          <w:rFonts w:ascii="Times New Roman" w:cs="Times New Roman" w:eastAsia="Times New Roman" w:hAnsi="Times New Roman"/>
          <w:sz w:val="17"/>
          <w:szCs w:val="17"/>
          <w:color w:val="auto"/>
        </w:rPr>
        <w:t>“Founder MVS Votes” means, as of the applicable record date, the number of votes that may be exercised with respect to: (a) all Class B Restricted Voting Shares that the holder of the Founder Share or the Founder Group beneficially owns or exercises Voting Control over (except by way of any proxy or power of attorney granted pursuant to a general solicitation of proxies in connection with actions to be taken at an annual or special meeting of shareholders, or otherwise at the direction of the Board of Directors, in respect of Class B Restricted Voting Shares over which Voting Control would otherwise be exercised by Persons other than the Founder and the Founder Group), (b) all Class A Subordinate Voting Shares that the holder of the Founder Share or the Founder Group beneficially owns or exercises Voting Control over (except by way of any proxy or power of attorney granted pursuant to a general solicitation of proxies in connection with actions to be taken at an annual or special meeting of shareholders, or otherwise at the direction of the Board of Directors, in respect of Class A Subordinate Voting Shares over which Voting Control would otherwise be exercised by Persons other than the Founder and the Founder Group) which resulted from the conversion of Class B Restricted Voting Shares in accordance with subsection 1.4 and/or subsection 1.5 of the Company’s restated articles of incorporation from and after the Effective Date (such shares, the “MVS Conversion Shares”), and (c) if any MVS Conversion Shares have been transferred, sold or otherwise disposed of by the Founder or the Founder Group, the number of Class A Subordinate Voting Shares equal to the lesser of (i) the number of Class A Subordinate Voting Shares acquired by the Founder or the Founder Group from and after the Effective Date (excluding, for the avoidance of doubt, the MVS Conversion Shares), and (ii) the number of MVS Conversion Shares that have been transferred, sold or otherwise disposed of by the Founder or the Founder Group (and, for certainty, if the number of Class A Subordinate Voting Shares in (i) and (ii) are equal, that number);</w:t>
      </w:r>
    </w:p>
    <w:p>
      <w:pPr>
        <w:spacing w:after="0" w:line="88"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 xml:space="preserve">“Members of the Immediate Family” means with respect to any individual, each parent (whether by birth or adoption), spouse, child or other descendants (whether by birth or adoption) of such individual, each spouse of any of the aforementioned Persons, each trust created solely for the benefit of such individual and/or one or more of the aforementioned Persons, and each legal representative of such individual or of any aforementioned Persons (including without limitation a tutor, curator, mandatary due to incapacity, custodian, guardian or testamentary executor), acting in such capacity under the authority of the law, an order from a competent tribunal, a will or a mandate in case of incapacity or similar instrument. For the purposes of this definition, a Person shall be considered the spouse of an individual if such Person is legally married to such individual, lives in a civil union with such individual or is the common law partner (as defined in the </w:t>
      </w:r>
      <w:r>
        <w:rPr>
          <w:rFonts w:ascii="Times New Roman" w:cs="Times New Roman" w:eastAsia="Times New Roman" w:hAnsi="Times New Roman"/>
          <w:sz w:val="17"/>
          <w:szCs w:val="17"/>
          <w:i w:val="1"/>
          <w:iCs w:val="1"/>
          <w:color w:val="auto"/>
        </w:rPr>
        <w:t>Income Tax Act</w:t>
      </w:r>
      <w:r>
        <w:rPr>
          <w:rFonts w:ascii="Times New Roman" w:cs="Times New Roman" w:eastAsia="Times New Roman" w:hAnsi="Times New Roman"/>
          <w:sz w:val="17"/>
          <w:szCs w:val="17"/>
          <w:color w:val="auto"/>
        </w:rPr>
        <w:t xml:space="preserve"> (Canada) as amended from time to time) of such individual. A Person who was the spouse of an individual within the meaning of this paragraph immediately before the death of such individual shall continue to be considered a spouse of such individual after the death of such individual;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“Person” means any individual, partnership, corporation, company, association, trust, joint venture or limited liability company;</w:t>
      </w:r>
    </w:p>
    <w:p>
      <w:pPr>
        <w:spacing w:after="0" w:line="49"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“Specified Number” means, as of the applicable record date, the lesser of: (a) the Variable Number, and (b) the Variable Difference;</w:t>
      </w:r>
    </w:p>
    <w:p>
      <w:pPr>
        <w:spacing w:after="0" w:line="4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“Sunset Date” means the date determined by the Board of Directors that is not less than 9 months and not more than 18 months following the occurrence of a Sunset Event and, if no such date is determined by the Board of Directors, the date that is 9 months following the occurrence of a Sunset Event;</w:t>
      </w:r>
    </w:p>
    <w:p>
      <w:pPr>
        <w:spacing w:after="0" w:line="64"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“Sunset Event” means the earliest to occur of: (a) the date that both (i) the Founder is no longer providing services to the Company as (A) an executive officer (as such term is defined in the Company’s articles) of the Company or (B) a consultant whose primary engagement is with the Company, and (ii) the Founder is no longer serving as a member of the Board of Directors; (b) the date of the Founder’s death or Disability (as such term is defined in the Company’s articles); or (c) the date that the number of Class B Restricted Voting Shares and Class A Subordinate Voting Shares beneficially owned by the Founder and the Founder Group, in the aggregate, is less than 30% of the aggregate number of Class B Restricted Voting Shares beneficially owned by the Founder and the Founder’s affiliates as of April 11, 2022, as adjusted to appropriately reflect any share split, consolidation, stock dividend, reorganization, recapitalization, or similar event approved by the Board of Directors and effected after the Effective Date affecting the number of outstanding Class B Restricted Voting Shares and/or Class A Subordinate Voting Shares;</w:t>
      </w:r>
    </w:p>
    <w:p>
      <w:pPr>
        <w:spacing w:after="0" w:line="77"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“Total Votes” means, as of the applicable record date, the number of votes that may be exercised by holders of all of the issued and outstanding Voting Shares (excluding the number of votes attached to the Founder Share);</w:t>
      </w:r>
    </w:p>
    <w:p>
      <w:pPr>
        <w:spacing w:after="0" w:line="4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“Variable Difference” means, as of the applicable record date, the number of votes which, when added together with the Founder Group MVS/SVS Votes, is equal to 49.9% of the number of votes that may be exercised by holders of all of the issued and outstanding Voting Shares (including the number of votes attached to the Founder Share);</w:t>
      </w:r>
    </w:p>
    <w:p>
      <w:pPr>
        <w:spacing w:after="0" w:line="64"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“Variable Number” means, as of the applicable record date, the number of votes which, when added together with the Founder MVS Votes, is equal to 40% of the number of votes that may be exercised by holders of all of the issued and outstanding Voting Shares (including the number of votes attached to the Founder Share);</w:t>
      </w:r>
    </w:p>
    <w:p>
      <w:pPr>
        <w:spacing w:after="0" w:line="64"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“Voting Control” with respect to a Voting Share means the exclusive power (whether directly or indirectly) to vote or direct the voting of such Voting Share by proxy, voting agreement or otherwise;</w:t>
      </w:r>
    </w:p>
    <w:p>
      <w:pPr>
        <w:spacing w:after="0" w:line="49"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“Voting Shares” means any outstanding shares of the Company carrying a voting right either under all circumstances or under some circumstances that have occurred and are continuing; and</w:t>
      </w:r>
    </w:p>
    <w:p>
      <w:pPr>
        <w:spacing w:after="0" w:line="49"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A Person is “controlled” by another Person or other Persons if: (a) in the case of a company or other body corporate wherever or however incorporated: (i) securities entitled to vote in the election of directors carrying in the aggregate at least a majority of the votes for the election of directors and representing in the aggregate at least a majority of the participating (equity) securities are held, other than by way of security only, directly or indirectly, by or solely for the benefit of the other Person or Persons; and (ii) the votes carried in the aggregate by such securities are entitled, if exercised, to elect a majority of the board of directors of such company or other body corporate; or (b) in the case of a Person that is not a company or other body corporate, at least a majority of the participating (equity) and voting interests of such Person are held, directly or indirectly, by or solely for the benefit of the other Person or Persons; and “controls,” “controlling” and “under common control with” shall be interpreted accordingly.</w:t>
      </w:r>
    </w:p>
    <w:p>
      <w:pPr>
        <w:spacing w:after="0" w:line="3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Certain Class Votes</w:t>
      </w:r>
    </w:p>
    <w:p>
      <w:pPr>
        <w:spacing w:after="0" w:line="11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The Founder Share will vote together with the Class B Restricted Voting Shares and the Class A Subordinate Voting Shares as a single class except as otherwise expressly provided in the Company’s restated articles of incorporation or as provided by law.</w:t>
      </w:r>
    </w:p>
    <w:p>
      <w:pPr>
        <w:spacing w:after="0" w:line="64" w:lineRule="exact"/>
        <w:rPr>
          <w:sz w:val="20"/>
          <w:szCs w:val="20"/>
          <w:color w:val="auto"/>
        </w:rPr>
      </w:pPr>
    </w:p>
    <w:p>
      <w:pPr>
        <w:jc w:val="both"/>
        <w:ind w:left="500" w:right="519" w:firstLine="342"/>
        <w:spacing w:after="0" w:line="260" w:lineRule="auto"/>
        <w:rPr>
          <w:sz w:val="20"/>
          <w:szCs w:val="20"/>
          <w:color w:val="auto"/>
        </w:rPr>
      </w:pPr>
      <w:r>
        <w:rPr>
          <w:rFonts w:ascii="Times New Roman" w:cs="Times New Roman" w:eastAsia="Times New Roman" w:hAnsi="Times New Roman"/>
          <w:sz w:val="17"/>
          <w:szCs w:val="17"/>
          <w:color w:val="auto"/>
        </w:rPr>
        <w:t>The holder of the Founder Share is not entitled to vote separately as a class (i) upon a proposal to amend the restated articles of incorporation of the Company in the case of an amendment referred to in paragraph (a) or (e) of subsection 176(1) of the CBCA or (ii) upon a proposal to amend the restated articles of incorporation of the Company in the case of an amendment referred to in paragraph (b) of subsection 176(1) of the CBCA unless such exchange, reclassification or cancellation affects only the holder of the Founder Share.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Subdivision or Consolidation</w:t>
      </w:r>
    </w:p>
    <w:p>
      <w:pPr>
        <w:spacing w:after="0" w:line="14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No subdivision or consolidation of the Founder Share may be carried out.</w:t>
      </w:r>
    </w:p>
    <w:p>
      <w:pPr>
        <w:spacing w:after="0" w:line="3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Redemption</w:t>
      </w:r>
    </w:p>
    <w:p>
      <w:pPr>
        <w:spacing w:after="0" w:line="119" w:lineRule="exact"/>
        <w:rPr>
          <w:sz w:val="20"/>
          <w:szCs w:val="20"/>
          <w:color w:val="auto"/>
        </w:rPr>
      </w:pPr>
    </w:p>
    <w:p>
      <w:pPr>
        <w:jc w:val="both"/>
        <w:ind w:left="500" w:right="519" w:firstLine="342"/>
        <w:spacing w:after="0" w:line="260" w:lineRule="auto"/>
        <w:rPr>
          <w:sz w:val="20"/>
          <w:szCs w:val="20"/>
          <w:color w:val="auto"/>
        </w:rPr>
      </w:pPr>
      <w:r>
        <w:rPr>
          <w:rFonts w:ascii="Times New Roman" w:cs="Times New Roman" w:eastAsia="Times New Roman" w:hAnsi="Times New Roman"/>
          <w:sz w:val="17"/>
          <w:szCs w:val="17"/>
          <w:color w:val="auto"/>
        </w:rPr>
        <w:t>Subject to the CBCA, the Company may, at any time on or after the Sunset Date, redeem the Founder Share by payment of C$10 to the holder of the Founder Share, and the holder of the Founder Share will be entitled, at such holder’s option, to require the Company to redeem the Founder Share at any time upon payment by the Company of C$10 to the holder of the Founder Share. From and after redemption, the holder of the Founder Share shall not be entitled to exercise any rights with respect to the Founder Share.</w:t>
      </w:r>
    </w:p>
    <w:p>
      <w:pPr>
        <w:spacing w:after="0" w:line="30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b w:val="1"/>
          <w:bCs w:val="1"/>
          <w:i w:val="1"/>
          <w:iCs w:val="1"/>
          <w:color w:val="auto"/>
        </w:rPr>
        <w:t>Founder Agreement</w:t>
      </w:r>
    </w:p>
    <w:p>
      <w:pPr>
        <w:spacing w:after="0" w:line="119"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In addition to the rights, privileges, restrictions and conditions attaching to the Founder Share, the Company entered into a founder agreement with the Founder and 7910240 Canada Inc., his affiliate, on the Effective Date (the “Founder Agreement”). Pursuant to the Founder Agreement, Mr. Lütke agreed not to Transfer (as such term is defined in the Founder Agreement), directly or indirectly, the Founder Share. Mr. Lütke and 7910240 Canada Inc. (and any additional affiliate who becomes a party to the Founder Agreement pursuant to its terms) also agreed not to Transfer any Class B Restricted Voting Shares if such Transfer would result in Mr. Lütke not retaining Voting Control over such shares, in which case such transferred Class B Restricted Voting Shares shall be caused to be converted into Class A Subordinate Voting Shares. The Founder Agreement also provides that Mr. Lütke and 7910240 Canada Inc. (and any additional affiliate who becomes a party to the Founder Agreement pursuant to its terms) are not entitled to receive, directly or indirectly, any economic premium, additional payment or collateral benefit in connection with certain transactions involving the elimination, consolidation or collapse of the Class B Restricted Voting Shares or the Founder Share.</w:t>
      </w:r>
    </w:p>
    <w:p>
      <w:pPr>
        <w:spacing w:after="0" w:line="74"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Pursuant to the Founder Agreement, Mr. Lütke and 7910240 Canada Inc. (and any additional affiliate who becomes a party to the Founder Agreement pursuant to its terms) also agreed following the occurrence of a Sunset Event to convert or cause to be converted all outstanding Class B Restricted Voting Shares held by them into Class A Subordinate Voting Shares on or before the Sunset Date. As a result, in addition to the automatic and permanent reduction of the Founder Share to one vote on the Sunset Date, following a transition period after the occurrence of a Sunset Event, Mr. Lütke and 7910240 Canada Inc. (and any additional affiliate who becomes a party to the Founder Agreement pursuant to its terms) will, pursuant to the Founder Agreement, be required to convert any Class B Restricted Voting Shares held by them following a Sunset Event into Class A Subordinate Voting Shares on or before the Sunset Date.</w:t>
      </w: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Preferred Shares</w:t>
      </w:r>
    </w:p>
    <w:p>
      <w:pPr>
        <w:spacing w:after="0" w:line="117" w:lineRule="exact"/>
        <w:rPr>
          <w:sz w:val="20"/>
          <w:szCs w:val="20"/>
          <w:color w:val="auto"/>
        </w:rPr>
      </w:pPr>
    </w:p>
    <w:p>
      <w:pPr>
        <w:jc w:val="both"/>
        <w:ind w:left="500" w:right="519" w:firstLine="342"/>
        <w:spacing w:after="0" w:line="254" w:lineRule="auto"/>
        <w:rPr>
          <w:sz w:val="20"/>
          <w:szCs w:val="20"/>
          <w:color w:val="auto"/>
        </w:rPr>
      </w:pPr>
      <w:r>
        <w:rPr>
          <w:rFonts w:ascii="Times New Roman" w:cs="Times New Roman" w:eastAsia="Times New Roman" w:hAnsi="Times New Roman"/>
          <w:sz w:val="17"/>
          <w:szCs w:val="17"/>
          <w:color w:val="auto"/>
        </w:rPr>
        <w:t>We are authorized to issue an unlimited number of Preferred Shares issuable in series. Each series of Preferred Shares shall consist of such number of shares and having such rights, privileges, restrictions and conditions as may be determined by our Board of Directors prior to the issuance thereof. Holders of Preferred Shares, except as otherwise provided in the terms specific to a series of Preferred Shares or as required by law, will not be entitled to receive notice of, or attend (and vote) at meetings of holders of shares, and will not be entitled to vote separately as a class upon a proposal to amend our restated articles of incorporation in the case of an amendment of the kind referred to in paragraph (a), (b) or (e) of subsection 176(1) of the CBCA. With respect to the payment of dividends and distribution of assets in the event of liquidation, dissolution or winding-up of the Company, whether voluntary or involuntary, or any other distribution of its assets among its shareholders for the purpose of winding-up its affairs, the Preferred Shares are entitled to preference over the Class A Subordinate Voting Shares, Class B Restricted Voting Shares and any other shares ranking junior to the Preferred Shares and may also be given such other preferences over Class A Subordinate Voting Shares, Class B Restricted Voting Shares and any other shares ranking junior to the Preferred Shares as may be determined at the time of creation of such series.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6" w:name="page17"/>
    <w:bookmarkEnd w:id="16"/>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17"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 xml:space="preserve">As of the date of this prospectus, the Company has no Debt Securities outstanding. The Company may issue Debt Securities, separately or together, with Class A Subordinate Voting Shares, Preferred Shares, Warrants, Subscription Receipts or Units or any combination thereof, as the case may be. The Debt Securities will be issued under an indenture, dated as of September 18, 2020, as amended or supplemented (the “Indenture”), by and among the Company and Computershare Trust Company, N.A., as trustee, and Computershare Trust Company of Canada, as co-trustee. The Indenture is subject to and governed by the </w:t>
      </w:r>
      <w:r>
        <w:rPr>
          <w:rFonts w:ascii="Times New Roman" w:cs="Times New Roman" w:eastAsia="Times New Roman" w:hAnsi="Times New Roman"/>
          <w:sz w:val="17"/>
          <w:szCs w:val="17"/>
          <w:i w:val="1"/>
          <w:iCs w:val="1"/>
          <w:color w:val="auto"/>
        </w:rPr>
        <w:t>U.S. Trust Indenture Act of 1939</w:t>
      </w:r>
      <w:r>
        <w:rPr>
          <w:rFonts w:ascii="Times New Roman" w:cs="Times New Roman" w:eastAsia="Times New Roman" w:hAnsi="Times New Roman"/>
          <w:sz w:val="17"/>
          <w:szCs w:val="17"/>
          <w:color w:val="auto"/>
        </w:rPr>
        <w:t>, as amended. A copy of the Indenture has been filed with the SEC and with the securities commissions or similar authorities in Canada. The description of certain provisions of the Indenture in this section does not purport to be complete and is qualified in its entirety by reference to the provisions of the Indenture. Terms used in this summary that are not otherwise defined herein have the meaning ascribed to them in the Indenture. The particular terms relating to Debt Securities offered by a prospectus supplement will be described in the related prospectus supplement. This description may include, but may not be limited to, any of the following, if applicable:</w:t>
      </w:r>
    </w:p>
    <w:p>
      <w:pPr>
        <w:spacing w:after="0" w:line="74" w:lineRule="exact"/>
        <w:rPr>
          <w:sz w:val="20"/>
          <w:szCs w:val="20"/>
          <w:color w:val="auto"/>
        </w:rPr>
      </w:pPr>
    </w:p>
    <w:p>
      <w:pPr>
        <w:jc w:val="both"/>
        <w:ind w:left="1180" w:right="519" w:hanging="338"/>
        <w:spacing w:after="0" w:line="263"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designation of the Debt Securities; any limit on the aggregate principal amount of the Debt Securities; the date or dates, if any, on which the Debt Securities will mature and the portion (if less than all of the principal amount) of the Debt Securities to be payable upon declaration of acceleration of maturity;</w:t>
      </w:r>
    </w:p>
    <w:p>
      <w:pPr>
        <w:spacing w:after="0" w:line="67" w:lineRule="exact"/>
        <w:rPr>
          <w:rFonts w:ascii="Times New Roman" w:cs="Times New Roman" w:eastAsia="Times New Roman" w:hAnsi="Times New Roman"/>
          <w:sz w:val="17"/>
          <w:szCs w:val="17"/>
          <w:color w:val="auto"/>
        </w:rPr>
      </w:pPr>
    </w:p>
    <w:p>
      <w:pPr>
        <w:jc w:val="both"/>
        <w:ind w:left="1180" w:right="519" w:hanging="338"/>
        <w:spacing w:after="0" w:line="268"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 that are in registered form;</w:t>
      </w:r>
    </w:p>
    <w:p>
      <w:pPr>
        <w:spacing w:after="0" w:line="63"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under which we may be obligated to redeem, repay or purchase the Debt Securities pursuant to any sinking fund or analogous provisions or otherwise;</w:t>
      </w:r>
    </w:p>
    <w:p>
      <w:pPr>
        <w:spacing w:after="0" w:line="49" w:lineRule="exact"/>
        <w:rPr>
          <w:rFonts w:ascii="Times New Roman" w:cs="Times New Roman" w:eastAsia="Times New Roman" w:hAnsi="Times New Roman"/>
          <w:sz w:val="17"/>
          <w:szCs w:val="17"/>
          <w:color w:val="auto"/>
        </w:rPr>
      </w:pPr>
    </w:p>
    <w:p>
      <w:pPr>
        <w:ind w:left="1180" w:right="519" w:hanging="338"/>
        <w:spacing w:after="0" w:line="262"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upon which we may redeem the Debt Securities, in whole or in part, at our option;</w:t>
      </w:r>
    </w:p>
    <w:p>
      <w:pPr>
        <w:spacing w:after="0" w:line="29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covenants applicable to the Debt Securities;</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for any conversion or exchange of the Debt Securities for any other securities;</w:t>
      </w:r>
    </w:p>
    <w:p>
      <w:pPr>
        <w:spacing w:after="0" w:line="112" w:lineRule="exact"/>
        <w:rPr>
          <w:rFonts w:ascii="Times New Roman" w:cs="Times New Roman" w:eastAsia="Times New Roman" w:hAnsi="Times New Roman"/>
          <w:sz w:val="17"/>
          <w:szCs w:val="17"/>
          <w:color w:val="auto"/>
        </w:rPr>
      </w:pPr>
    </w:p>
    <w:p>
      <w:pPr>
        <w:jc w:val="both"/>
        <w:ind w:left="1180" w:right="519" w:hanging="338"/>
        <w:spacing w:after="0" w:line="268"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issuable in registered form or bearer form or both, and, if issuable in bearer form, the restrictions as to the offer, sale and delivery of the Debt Securities which are in bearer form and as to exchanges between registered form and bearer form;</w:t>
      </w:r>
    </w:p>
    <w:p>
      <w:pPr>
        <w:spacing w:after="0" w:line="63"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issuable in the form of registered global securities (“Global Securities”), and, if so, the identity of the depositary for such registered Global Securities;</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registered Debt Securities will be issuable;</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office or agency where payments on the Debt Securities will be made and each office or agency where the Debt Securities may be presented for registration of transfer or exchange;</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U.S. dollars, the currency in which the Debt Securities are denominated or the currency in which we will make payments on the Debt Securities;</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Canadian federal income tax consequences and U.S. federal income tax consequences of owning the Debt Securities;</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index, formula or other method used to determine the amount of payments of principal of (and premium, if any) or interest, if any, on the Debt Securities; and</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Debt Securities which apply solely to the Debt Securities.</w:t>
      </w:r>
    </w:p>
    <w:p>
      <w:pPr>
        <w:spacing w:after="0" w:line="113"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If we denominate the purchase price of any of the Debt Securities in a currency or currencies other than U.S. dollars or a non-U.S. dollar unit or units, or if the principal of and any premium and interest on any Debt Securities is payable in a currency or currencies other than U.S. dollars or a non-U.S. dollar unit or units, we will provide investors with information on the restrictions, elections, general tax considerations, specific terms and other information with respect to that issue of Debt Securities and such non-U.S. dollar currency or currencies or non-U.S. dollar unit or units in the applicable prospectus supplement.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7" w:name="page18"/>
    <w:bookmarkEnd w:id="17"/>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The Company may issue Debt Securities with terms different from those of Debt Securities previously issued. Each series of Debt Securities may be issued at various times with different maturity dates, may bear interest at different rates and may otherwise vary.</w:t>
      </w:r>
    </w:p>
    <w:p>
      <w:pPr>
        <w:spacing w:after="0" w:line="64"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The terms on which a series of Debt Securities may be convertible into or exchangeable for Class A Subordinate Voting Shares or other securities of the Company will be described in the applicable prospectus supplement. These terms may include provisions as to whether conversion or exchange is mandatory, at the option of the holder or at the option of the Company, and may include provisions pursuant to which the number of Class A Subordinate Voting Shares or other securities to be received by the holders of such series of Debt Securities would be subject to adjustment.</w:t>
      </w:r>
    </w:p>
    <w:p>
      <w:pPr>
        <w:spacing w:after="0" w:line="74" w:lineRule="exact"/>
        <w:rPr>
          <w:sz w:val="20"/>
          <w:szCs w:val="20"/>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To the extent any Debt Securities are convertible into Class A Subordinate Voting Shares or other securities of the Company,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17"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As of the date of this prospectus, the Company has no Warrants outstanding. The Company may issue Warrants, separately or together, with Class A Subordinate Voting Shares, Preferred Shares, Debt Securities, Subscription Receipts or Units or any combination thereof, as the case may be. The Warrants would be issued under a separate Warrant agreement or indenture. The specific terms and provisions that will apply to any Warrants that may be offered by us pursuant to this prospectus will be set forth in the applicable prospectus supplement. This description will include, where applicable:</w:t>
      </w:r>
    </w:p>
    <w:p>
      <w:pPr>
        <w:spacing w:after="0" w:line="74" w:lineRule="exact"/>
        <w:rPr>
          <w:sz w:val="20"/>
          <w:szCs w:val="20"/>
          <w:color w:val="auto"/>
        </w:rPr>
      </w:pPr>
    </w:p>
    <w:p>
      <w:pPr>
        <w:ind w:left="1180" w:hanging="338"/>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Warrants offered;</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if any, at which the Warrants will be issued;</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in which the Warrants will be offered and in which the exercise price under the Warrants may be payable;</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exercise of the Warrant, the events or conditions under which the amount of Securities may be subject to adjustment;</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such Warrants shall commence and the date on which such right shall expire;</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identity of the Warrant agent;</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listed on any securities exchange;</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issued with any other Securities and, if so, the amount and terms of these Securities;</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minimum or maximum subscription amount;</w:t>
      </w:r>
    </w:p>
    <w:p>
      <w:pPr>
        <w:spacing w:after="0" w:line="112" w:lineRule="exact"/>
        <w:rPr>
          <w:rFonts w:ascii="Times New Roman" w:cs="Times New Roman" w:eastAsia="Times New Roman" w:hAnsi="Times New Roman"/>
          <w:sz w:val="17"/>
          <w:szCs w:val="17"/>
          <w:color w:val="auto"/>
        </w:rPr>
      </w:pPr>
    </w:p>
    <w:p>
      <w:pPr>
        <w:jc w:val="both"/>
        <w:ind w:left="1180" w:right="519" w:hanging="338"/>
        <w:spacing w:after="0" w:line="268"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are to be issued in registered form, “book-entry only” form, non-certificated inventory system form, bearer form or in the form of temporary or permanent global securities and the basis of exchange, transfer and ownership thereof;</w:t>
      </w:r>
    </w:p>
    <w:p>
      <w:pPr>
        <w:spacing w:after="0" w:line="63" w:lineRule="exact"/>
        <w:rPr>
          <w:rFonts w:ascii="Times New Roman" w:cs="Times New Roman" w:eastAsia="Times New Roman" w:hAnsi="Times New Roman"/>
          <w:sz w:val="17"/>
          <w:szCs w:val="17"/>
          <w:color w:val="auto"/>
        </w:rPr>
      </w:pPr>
    </w:p>
    <w:p>
      <w:pPr>
        <w:ind w:left="1180" w:right="899" w:hanging="338"/>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risk factors relating to such Warrants and the Securities to be issued upon exercise of the Warrants;</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rights, privileges, restrictions and conditions attaching to the Warrants and the Securities to be issued upon exercise of the Warrants;</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Canadian federal income tax consequences and U.S. federal income tax consequences of owning the Warrants and the Securities to be issued upon exchange of the Warrants; and</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material terms or conditions of the Warrants and the Securities to be issued upon exercise of the Warrants.</w:t>
      </w:r>
    </w:p>
    <w:p>
      <w:pPr>
        <w:spacing w:after="0" w:line="49"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The terms and provisions of any Warrants offered under a prospectus supplement may differ from the terms described above and may not be subject to or contain any or all of the terms described above.</w:t>
      </w:r>
    </w:p>
    <w:p>
      <w:pPr>
        <w:spacing w:after="0" w:line="4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Prior to the exercise of any Warrants, holders of such Warrants will not have any of the rights of holders of the securities purchasable upon such exercise, including the right to receive payments of dividends or the right to vote such underlying securities.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SUBSCRIPTION RECEIPTS</w:t>
      </w:r>
    </w:p>
    <w:p>
      <w:pPr>
        <w:spacing w:after="0" w:line="117"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As of the date of this prospectus, the Company has no Subscription Receipts outstanding. The Company may issue Subscription Receipts, separately or together, with Class A Subordinate Voting Shares, Preferred Shares, Debt Securities, Warrants, or Units or any combination thereof, as the case may be. The Subscription Receipts would be issued under an agreement or indenture. The specific terms and provisions that will apply to any Subscription Receipts that may be offered by us pursuant to this prospectus will be set forth in the applicable prospectus supplement. This description will include, where applicable:</w:t>
      </w:r>
    </w:p>
    <w:p>
      <w:pPr>
        <w:spacing w:after="0" w:line="74" w:lineRule="exact"/>
        <w:rPr>
          <w:sz w:val="20"/>
          <w:szCs w:val="20"/>
          <w:color w:val="auto"/>
        </w:rPr>
      </w:pPr>
    </w:p>
    <w:p>
      <w:pPr>
        <w:ind w:left="1180" w:hanging="338"/>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Subscription Receipts offered;</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if any, at which the Subscription Receipts will be issued;</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of determining the offering price(s);</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in which the Subscription Receipts will be offered and whether the price is payable in installments;</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into which the Subscription Receipts may be exchanged;</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to the exchange of Subscription Receipts into other Securities and the consequences of such conditions not being satisfied;</w:t>
      </w:r>
    </w:p>
    <w:p>
      <w:pPr>
        <w:spacing w:after="0" w:line="49" w:lineRule="exact"/>
        <w:rPr>
          <w:rFonts w:ascii="Times New Roman" w:cs="Times New Roman" w:eastAsia="Times New Roman" w:hAnsi="Times New Roman"/>
          <w:sz w:val="17"/>
          <w:szCs w:val="17"/>
          <w:color w:val="auto"/>
        </w:rPr>
      </w:pPr>
    </w:p>
    <w:p>
      <w:pPr>
        <w:jc w:val="both"/>
        <w:ind w:left="1180" w:right="519" w:hanging="338"/>
        <w:spacing w:after="0" w:line="263"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Securities that may be issued upon the exchange of each Subscription Receipt and the price per Security or the aggregate principal amount, denominations and terms of the series of Debt Securities that may be issued upon exchange of the Subscription Receipts, and the events or conditions under which the amount of Securities may be subject to adjustment;</w:t>
      </w:r>
    </w:p>
    <w:p>
      <w:pPr>
        <w:spacing w:after="0" w:line="67"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or periods during which the Subscription Receipts may be exchanged;</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circumstances, if any, which will cause the Subscription Receipts to be deemed to be automatically exchanged;</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applicable to any escrow of the gross or net proceeds from the sale of the Subscription Receipts plus any interest or income earned thereon, and for the release of such proceeds from such escrow;</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identity of the Subscription Receipt agent;</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Subscription Receipts will be listed on any securities exchange;</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Subscription Receipts will be issued with any other Securities and, if so, the amount and terms of these Securities;</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minimum or maximum subscription amount;</w:t>
      </w:r>
    </w:p>
    <w:p>
      <w:pPr>
        <w:spacing w:after="0" w:line="112" w:lineRule="exact"/>
        <w:rPr>
          <w:rFonts w:ascii="Times New Roman" w:cs="Times New Roman" w:eastAsia="Times New Roman" w:hAnsi="Times New Roman"/>
          <w:sz w:val="17"/>
          <w:szCs w:val="17"/>
          <w:color w:val="auto"/>
        </w:rPr>
      </w:pPr>
    </w:p>
    <w:p>
      <w:pPr>
        <w:jc w:val="both"/>
        <w:ind w:left="1180" w:right="519" w:hanging="338"/>
        <w:spacing w:after="0" w:line="268"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Subscription Receipts are to be issued in registered form, “book-entry only” form, non-certificated inventory system form, bearer form or in the form of temporary or permanent global securities and the basis of exchange, transfer and ownership thereof;</w:t>
      </w:r>
    </w:p>
    <w:p>
      <w:pPr>
        <w:spacing w:after="0" w:line="63"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risk factors relating to such Subscription Receipts and the Securities to be issued upon exchange of the Subscription Receipts;</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Canadian federal income tax consequences and U.S. federal income tax consequences of owning the Subscription Receipts and the Securities to be issued upon exchange of the Subscription Receipts;</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rights, privileges, restrictions and conditions attaching to the Subscription Receipts and the Securities to be issued upon exchange of the Subscription Receipts; and</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material terms or conditions of the Subscription Receipts and the Securities to be issued upon exchange of the Subscription Receipts.</w:t>
      </w:r>
    </w:p>
    <w:p>
      <w:pPr>
        <w:spacing w:after="0" w:line="49"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The terms and provisions of any Subscription Receipts offered under a prospectus supplement may differ from the terms described above and may not be subject to or contain any or all of the terms described above.</w:t>
      </w:r>
    </w:p>
    <w:p>
      <w:pPr>
        <w:spacing w:after="0" w:line="4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Prior to the exchange of any Subscription Receipts, holders of such Subscription Receipts will not have any of the rights of holders of the securities for which the Subscription Receipts may be exchanged, including the right to receive payments of dividends or the right to vote such underlying securities.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117" w:lineRule="exact"/>
        <w:rPr>
          <w:sz w:val="20"/>
          <w:szCs w:val="20"/>
          <w:color w:val="auto"/>
        </w:rPr>
      </w:pPr>
    </w:p>
    <w:p>
      <w:pPr>
        <w:jc w:val="both"/>
        <w:ind w:left="500" w:right="519" w:firstLine="342"/>
        <w:spacing w:after="0" w:line="257" w:lineRule="auto"/>
        <w:rPr>
          <w:sz w:val="20"/>
          <w:szCs w:val="20"/>
          <w:color w:val="auto"/>
        </w:rPr>
      </w:pPr>
      <w:r>
        <w:rPr>
          <w:rFonts w:ascii="Times New Roman" w:cs="Times New Roman" w:eastAsia="Times New Roman" w:hAnsi="Times New Roman"/>
          <w:sz w:val="17"/>
          <w:szCs w:val="17"/>
          <w:color w:val="auto"/>
        </w:rPr>
        <w:t>As of the date of this prospectus, the Company has no Units outstanding. The Company may issue Units, separately or together, with Class A Subordinate Voting Shares, Preferred Shares, Debt Securities, Warrants, or Subscription Receipts or any combination thereof, as the case may be. Each Unit would be issued so that the holder of the Unit is also the holder of each Security comprising the Unit. Thus, the holder of a Unit will have the rights and obligations of a holder of each applicable Security. The specific terms and provisions that will apply to any Units that may be offered by us pursuant to this prospectus will be set forth in the applicable prospectus supplement. This description will include, where applicable:</w:t>
      </w:r>
    </w:p>
    <w:p>
      <w:pPr>
        <w:spacing w:after="0" w:line="75" w:lineRule="exact"/>
        <w:rPr>
          <w:sz w:val="20"/>
          <w:szCs w:val="20"/>
          <w:color w:val="auto"/>
        </w:rPr>
      </w:pPr>
    </w:p>
    <w:p>
      <w:pPr>
        <w:ind w:left="1180" w:hanging="338"/>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Units offered;</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if any, at which the Units will be issued;</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of determining the offering price(s);</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in which the Units will be offered;</w:t>
      </w:r>
    </w:p>
    <w:p>
      <w:pPr>
        <w:spacing w:after="0" w:line="112"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comprising the Units;</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Units will be issued with any other Securities and, if so, the amount and terms of these Securities;</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minimum or maximum subscription amount;</w:t>
      </w:r>
    </w:p>
    <w:p>
      <w:pPr>
        <w:spacing w:after="0" w:line="112" w:lineRule="exact"/>
        <w:rPr>
          <w:rFonts w:ascii="Times New Roman" w:cs="Times New Roman" w:eastAsia="Times New Roman" w:hAnsi="Times New Roman"/>
          <w:sz w:val="17"/>
          <w:szCs w:val="17"/>
          <w:color w:val="auto"/>
        </w:rPr>
      </w:pPr>
    </w:p>
    <w:p>
      <w:pPr>
        <w:jc w:val="both"/>
        <w:ind w:left="1180" w:right="519" w:hanging="338"/>
        <w:spacing w:after="0" w:line="268"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Units and the Securities comprising the Units are to be issued in registered form, “book-entry only” form, non-certificated inventory system form, bearer form or in the form of temporary or permanent global securities and the basis of exchange, transfer and ownership thereof;</w:t>
      </w:r>
    </w:p>
    <w:p>
      <w:pPr>
        <w:spacing w:after="0" w:line="63"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risk factors relating to such Units or the Securities comprising the Units;</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Canadian federal income tax consequences and U.S. federal income tax consequences of owning the Securities comprising the Units;</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rights, privileges, restrictions and conditions attaching to the Units or the Securities comprising the Units; and</w:t>
      </w:r>
    </w:p>
    <w:p>
      <w:pPr>
        <w:spacing w:after="0" w:line="49" w:lineRule="exact"/>
        <w:rPr>
          <w:rFonts w:ascii="Times New Roman" w:cs="Times New Roman" w:eastAsia="Times New Roman" w:hAnsi="Times New Roman"/>
          <w:sz w:val="17"/>
          <w:szCs w:val="17"/>
          <w:color w:val="auto"/>
        </w:rPr>
      </w:pPr>
    </w:p>
    <w:p>
      <w:pPr>
        <w:jc w:val="both"/>
        <w:ind w:left="1180" w:right="519" w:hanging="338"/>
        <w:spacing w:after="0" w:line="268"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material terms or conditions of the Units or the Securities comprising the Units, including whether and under what circumstances the Securities comprising the Units may be held or transferred separately.</w:t>
      </w:r>
    </w:p>
    <w:p>
      <w:pPr>
        <w:spacing w:after="0" w:line="64" w:lineRule="exact"/>
        <w:rPr>
          <w:sz w:val="20"/>
          <w:szCs w:val="20"/>
          <w:color w:val="auto"/>
        </w:rPr>
      </w:pPr>
    </w:p>
    <w:p>
      <w:pPr>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The terms and provisions of any Units offered under a prospectus supplement may differ from the terms described above and may not be subject to or contain any or all of the terms described above.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7"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We may offer and sell Securities directly to one or more purchasers, through agents, or through underwriters or dealers designated by us from time to time. We may distribute the Securities from time to time in one or more transactions at a fixed price or prices (which may be changed from time to time), at market prices prevailing at the times of sale, at prices related to prevailing market prices or at negotiated prices. A description of such pricing will be disclosed in the applicable prospectus supplement. We may offer Securities in the same offering, or we may offer Securities in separate offerings.</w:t>
      </w:r>
    </w:p>
    <w:p>
      <w:pPr>
        <w:spacing w:after="0" w:line="74" w:lineRule="exact"/>
        <w:rPr>
          <w:sz w:val="20"/>
          <w:szCs w:val="20"/>
          <w:color w:val="auto"/>
        </w:rPr>
      </w:pPr>
    </w:p>
    <w:p>
      <w:pPr>
        <w:jc w:val="both"/>
        <w:ind w:left="500" w:right="519" w:firstLine="342"/>
        <w:spacing w:after="0" w:line="260" w:lineRule="auto"/>
        <w:rPr>
          <w:sz w:val="20"/>
          <w:szCs w:val="20"/>
          <w:color w:val="auto"/>
        </w:rPr>
      </w:pPr>
      <w:r>
        <w:rPr>
          <w:rFonts w:ascii="Times New Roman" w:cs="Times New Roman" w:eastAsia="Times New Roman" w:hAnsi="Times New Roman"/>
          <w:sz w:val="17"/>
          <w:szCs w:val="17"/>
          <w:color w:val="auto"/>
        </w:rPr>
        <w:t>This prospectus may also, from time to time, relate to the offering of our Securities by certain selling securityholders. The selling securityholders may sell all or a portion of our Securities beneficially owned by them and offered thereby from time to time directly or through one or more underwriters, broker-dealers or agents. Our Securities may be sold by the selling securityholders in one or more transactions at fixed prices, at prevailing market prices at the time of the sale, at varying prices determined at the time of sale, or at negotiated prices.</w:t>
      </w:r>
    </w:p>
    <w:p>
      <w:pPr>
        <w:spacing w:after="0" w:line="71" w:lineRule="exact"/>
        <w:rPr>
          <w:sz w:val="20"/>
          <w:szCs w:val="20"/>
          <w:color w:val="auto"/>
        </w:rPr>
      </w:pPr>
    </w:p>
    <w:p>
      <w:pPr>
        <w:jc w:val="both"/>
        <w:ind w:left="500" w:right="519" w:firstLine="342"/>
        <w:spacing w:after="0" w:line="257" w:lineRule="auto"/>
        <w:rPr>
          <w:sz w:val="20"/>
          <w:szCs w:val="20"/>
          <w:color w:val="auto"/>
        </w:rPr>
      </w:pPr>
      <w:r>
        <w:rPr>
          <w:rFonts w:ascii="Times New Roman" w:cs="Times New Roman" w:eastAsia="Times New Roman" w:hAnsi="Times New Roman"/>
          <w:sz w:val="17"/>
          <w:szCs w:val="17"/>
          <w:color w:val="auto"/>
        </w:rPr>
        <w:t>A prospectus supplement will describe the terms of each specific offering of Securities, including (i) the terms of the Securities to which the prospectus supplement relates, including the type of Security being offered; (ii) the name or names of any agents, underwriters or dealers involved in such offering of Securities; (iii) the name or names of any selling securityholders; (iv) the purchase price of the Securities offered thereby and the proceeds to, and the portion of expenses borne by, the Company from the sale of such Securities; (v) any agents’ commission, underwriting discounts and other items constituting compensation payable to agents, underwriters or dealers; and (vi) any discounts or concessions allowed or re-allowed or paid to agents, underwriters or dealers.</w:t>
      </w:r>
    </w:p>
    <w:p>
      <w:pPr>
        <w:spacing w:after="0" w:line="75"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If underwriters are used in an offering, the Securities offered thereby will be acquired by the underwriters for their own account and may be resold from time to time in one or more transactions at a fixed public offering price or at varying prices determined at the time of sale. Securities may be either offered to the public through underwriting syndicates represented by managing underwriters or by underwriters without a syndicate. Only underwriters named in a prospectus supplement are deemed to be underwriters in connection with the Securities offered thereby. The obligations of the underwriters to purchase Securities will be subject to the conditions precedent agreed upon by the parties and the underwriters will be obligated to purchase all Securities under that offering if any are purchased. Any public offering price and any discounts or concessions allowed or re-allowed or paid to agents, underwriters or dealers may be changed from time to time.</w:t>
      </w:r>
    </w:p>
    <w:p>
      <w:pPr>
        <w:spacing w:after="0" w:line="74"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The Securities may also be sold: (i) directly by the Company or the selling securityholders at such prices and upon such terms as agreed to; or (ii) through agents designated by the Company or the selling securityholders from time to time. Any agent involved in the offering and sale of the Securities in respect of which this prospectus is delivered will be named, and any commissions payable by the Company and/or selling securityholder to such agent will be set forth, in the prospectus supplement. Unless otherwise indicated in the prospectus supplement, any agent is acting on a “best efforts” basis for the period of its appointment.</w:t>
      </w:r>
    </w:p>
    <w:p>
      <w:pPr>
        <w:spacing w:after="0" w:line="74"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We and/or the selling securityholders may agree to pay the underwriters a commission for various services relating to the issue and sale of any Securities offered under any prospectus supplement. Agents, underwriters or dealers who participate in the distribution of the Securities may be entitled under agreements to be entered into with the Company and/or the selling securityholders to indemnification by the Company and/or the selling securityholders against certain liabilities, including liabilities under securities legislation, or to contribution with respect to payments which such underwriters, dealers or agents may be required to make in respect thereof.</w:t>
      </w:r>
    </w:p>
    <w:p>
      <w:pPr>
        <w:spacing w:after="0" w:line="74" w:lineRule="exact"/>
        <w:rPr>
          <w:sz w:val="20"/>
          <w:szCs w:val="20"/>
          <w:color w:val="auto"/>
        </w:rPr>
      </w:pPr>
    </w:p>
    <w:p>
      <w:pPr>
        <w:jc w:val="both"/>
        <w:ind w:left="500" w:right="519" w:firstLine="342"/>
        <w:spacing w:after="0" w:line="255" w:lineRule="auto"/>
        <w:rPr>
          <w:sz w:val="20"/>
          <w:szCs w:val="20"/>
          <w:color w:val="auto"/>
        </w:rPr>
      </w:pPr>
      <w:r>
        <w:rPr>
          <w:rFonts w:ascii="Times New Roman" w:cs="Times New Roman" w:eastAsia="Times New Roman" w:hAnsi="Times New Roman"/>
          <w:sz w:val="17"/>
          <w:szCs w:val="17"/>
          <w:color w:val="auto"/>
        </w:rPr>
        <w:t>Agents, underwriters or dealers may make sales of Securities in privately negotiated transactions and/or any other method permitted by law, including sales deemed to be an “at-the-market” offering as defined in and subject to limitations imposed by applicable Canadian securities laws which includes sales made directly on an existing trading market for the Class A Subordinate Voting Shares, or sales made to or through a market maker other than on an exchange. In connection with any offering of Securities, except with respect to “at-the-market” offerings, underwriters may over-allot or effect transactions which stabilize or maintain the market price of the offered Securities at a level above that which might otherwise prevail in the open market. Such transactions may be commenced, interrupted or discontinued at any time. No underwriter or dealer involved in an “at-the-market” offering, as defined under applicable Canadian securities laws, no affiliate of such an underwriter or dealer and no person or company acting jointly or in concert with such an underwriter or dealer may enter into any transaction that is intended to stabilize or</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500" w:right="519"/>
        <w:spacing w:after="0" w:line="268" w:lineRule="auto"/>
        <w:rPr>
          <w:sz w:val="20"/>
          <w:szCs w:val="20"/>
          <w:color w:val="auto"/>
        </w:rPr>
      </w:pPr>
      <w:r>
        <w:rPr>
          <w:rFonts w:ascii="Times New Roman" w:cs="Times New Roman" w:eastAsia="Times New Roman" w:hAnsi="Times New Roman"/>
          <w:sz w:val="17"/>
          <w:szCs w:val="17"/>
          <w:color w:val="auto"/>
        </w:rPr>
        <w:t>maintain the market price of the Securities or Securities of the same class as the Securities distributed under the applicable prospectus supplement, including selling an aggregate number or principal amount of Securities that would result in the underwriter or dealer creating an over-allocation position in the Securities.</w:t>
      </w:r>
    </w:p>
    <w:p>
      <w:pPr>
        <w:spacing w:after="0" w:line="64" w:lineRule="exact"/>
        <w:rPr>
          <w:sz w:val="20"/>
          <w:szCs w:val="20"/>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We may authorize agents or underwriters to solicit offers by eligible institutions to purchase Securities from us at the public offering price set forth in the applicable prospectus supplement under delayed delivery contracts providing for payment and delivery on a specified date in the future. The conditions to these contracts and the commissions payable for solicitation of these contracts will be set forth in the applicable prospectus supplement.</w:t>
      </w:r>
    </w:p>
    <w:p>
      <w:pPr>
        <w:spacing w:after="0" w:line="67" w:lineRule="exact"/>
        <w:rPr>
          <w:sz w:val="20"/>
          <w:szCs w:val="20"/>
          <w:color w:val="auto"/>
        </w:rPr>
      </w:pPr>
    </w:p>
    <w:p>
      <w:pPr>
        <w:jc w:val="both"/>
        <w:ind w:left="500" w:right="519" w:firstLine="342"/>
        <w:spacing w:after="0" w:line="254" w:lineRule="auto"/>
        <w:rPr>
          <w:sz w:val="20"/>
          <w:szCs w:val="20"/>
          <w:color w:val="auto"/>
        </w:rPr>
      </w:pPr>
      <w:r>
        <w:rPr>
          <w:rFonts w:ascii="Times New Roman" w:cs="Times New Roman" w:eastAsia="Times New Roman" w:hAnsi="Times New Roman"/>
          <w:sz w:val="17"/>
          <w:szCs w:val="17"/>
          <w:color w:val="auto"/>
        </w:rPr>
        <w:t xml:space="preserve">Each class or series of Securities, other than the Class A Subordinate Voting Shares, that is not a secondary offering will be a new issue of Securities with no established trading market. Unless otherwise specified in the applicable prospectus supplement, the Preferred Shares, Debt Securities, Warrants, Subscription Receipts or Units will not be listed on any securities exchange. </w:t>
      </w:r>
      <w:r>
        <w:rPr>
          <w:rFonts w:ascii="Times New Roman" w:cs="Times New Roman" w:eastAsia="Times New Roman" w:hAnsi="Times New Roman"/>
          <w:sz w:val="17"/>
          <w:szCs w:val="17"/>
          <w:b w:val="1"/>
          <w:bCs w:val="1"/>
          <w:color w:val="auto"/>
        </w:rPr>
        <w:t>Unless otherwise specified in the applicable prospectus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supplement, there is no market through which the Preferred Shares, Debt Securities, Warrants, Subscription Receipts or Units may be sold and purchasers may not be able to resell Preferred Shares, Debt Securities, Warrants, Subscription Receipts or Units purchased under this prospectus or any prospectus supplement. This may affect the pricing of the Preferred Shares, Debt Securities, Warrants, Subscription Receipts or Units in the secondary market, the transparency and availability of trading prices, the liquidity of the securities, and the extent of issuer regulation. </w:t>
      </w:r>
      <w:r>
        <w:rPr>
          <w:rFonts w:ascii="Times New Roman" w:cs="Times New Roman" w:eastAsia="Times New Roman" w:hAnsi="Times New Roman"/>
          <w:sz w:val="17"/>
          <w:szCs w:val="17"/>
          <w:color w:val="auto"/>
        </w:rPr>
        <w:t>Subject to applicable laws, certain dealers may make a market in the Preferred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Debt Securities, Warrants, Subscription Receipts or Units, as applicable, but will not be obligated to do so and may discontinue any market making at any time without notice. No assurance can be given that any dealer will make a market in the Preferred Shares, Debt Securities, Warrants, Subscription Receipts or Units or as to the liquidity of the trading market, if any, for the Preferred Shares, Debt Securities, Warrants, Subscription Receipts or Units.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2" w:name="page23"/>
    <w:bookmarkEnd w:id="22"/>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MATERIAL INCOME TAX CONSIDERATIONS</w:t>
      </w:r>
    </w:p>
    <w:p>
      <w:pPr>
        <w:spacing w:after="0" w:line="117"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Information regarding material Canadian and U.S. federal income tax consequences to persons investing in the Securities offered by this prospectus will be set forth in an applicable prospectus supplement. You should consult your own tax advisors prior to any acquisition of our Securities.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ENFORCEABILITY OF CIVIL LIABILITIES</w:t>
      </w:r>
    </w:p>
    <w:p>
      <w:pPr>
        <w:spacing w:after="0" w:line="117"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We are a corporation incorporated under and governed by the CBCA. Certain of our directors and officers reside principally in Canada, and the majority of our assets and all or a substantial portion of the assets of these persons are located outside the United States. The Company has appointed an agent for service of process in the United States; however it may nevertheless be difficult for investors who reside in the United States to effect service of process in the United States upon the Company or any such persons, or to enforce a U.S. court judgment predicated upon the civil liability provisions of the U.S. federal securities laws against the Company or any such persons. There is substantial doubt whether an action could be brought in Canada in the first instance predicated solely upon U.S. federal securities laws.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3" w:name="page24"/>
    <w:bookmarkEnd w:id="23"/>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7"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The validity of the securities in respect of which this prospectus is being delivered will be passed upon for us by Stikeman Elliott LLP with respect to matters of Canadian law, and Skadden, Arps, Slate, Meagher &amp; Flom LLP with respect to matters of New York and U.S. federal law.</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7" w:lineRule="exact"/>
        <w:rPr>
          <w:sz w:val="20"/>
          <w:szCs w:val="20"/>
          <w:color w:val="auto"/>
        </w:rPr>
      </w:pPr>
    </w:p>
    <w:p>
      <w:pPr>
        <w:jc w:val="both"/>
        <w:ind w:left="500" w:right="519" w:firstLine="342"/>
        <w:spacing w:after="0" w:line="260" w:lineRule="auto"/>
        <w:rPr>
          <w:sz w:val="20"/>
          <w:szCs w:val="20"/>
          <w:color w:val="auto"/>
        </w:rPr>
      </w:pPr>
      <w:r>
        <w:rPr>
          <w:rFonts w:ascii="Times New Roman" w:cs="Times New Roman" w:eastAsia="Times New Roman" w:hAnsi="Times New Roman"/>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our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AUDITORS, TRANSFER AGENT AND REGISTRAR</w:t>
      </w:r>
    </w:p>
    <w:p>
      <w:pPr>
        <w:spacing w:after="0" w:line="117" w:lineRule="exact"/>
        <w:rPr>
          <w:sz w:val="20"/>
          <w:szCs w:val="20"/>
          <w:color w:val="auto"/>
        </w:rPr>
      </w:pPr>
    </w:p>
    <w:p>
      <w:pPr>
        <w:jc w:val="both"/>
        <w:ind w:left="500" w:right="519" w:firstLine="342"/>
        <w:spacing w:after="0" w:line="285" w:lineRule="auto"/>
        <w:rPr>
          <w:sz w:val="20"/>
          <w:szCs w:val="20"/>
          <w:color w:val="auto"/>
        </w:rPr>
      </w:pPr>
      <w:r>
        <w:rPr>
          <w:rFonts w:ascii="Times New Roman" w:cs="Times New Roman" w:eastAsia="Times New Roman" w:hAnsi="Times New Roman"/>
          <w:sz w:val="17"/>
          <w:szCs w:val="17"/>
          <w:color w:val="auto"/>
        </w:rPr>
        <w:t>The independent registered public accounting firm of the Company is PricewaterhouseCoopers LLP, Chartered Professional Accountants, Licensed Public Accountants, at its office in Ottawa, Ontario.</w:t>
      </w:r>
    </w:p>
    <w:p>
      <w:pPr>
        <w:spacing w:after="0" w:line="49"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The transfer agent and registrar of our Class A Subordinate Voting Shares in the United States is Computershare Trust Company, N.A. at its principal office in Canton, Massachusetts, and in Canada is Computershare Investor Services Inc. at its principal office in Toronto, Ontario.</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92710</wp:posOffset>
            </wp:positionV>
            <wp:extent cx="49549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4954905" cy="1651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157480</wp:posOffset>
            </wp:positionV>
            <wp:extent cx="49549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SHOPIFY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168275</wp:posOffset>
            </wp:positionV>
            <wp:extent cx="2184400" cy="627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2184400" cy="62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w:t>
      </w:r>
    </w:p>
    <w:p>
      <w:pPr>
        <w:spacing w:after="0" w:line="344"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21"/>
          <w:szCs w:val="21"/>
          <w:b w:val="1"/>
          <w:bCs w:val="1"/>
          <w:color w:val="auto"/>
        </w:rPr>
        <w:t>CLASS A SUBORDINATE VOTING SHARES</w:t>
      </w:r>
    </w:p>
    <w:p>
      <w:pPr>
        <w:spacing w:after="0" w:line="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b w:val="1"/>
          <w:bCs w:val="1"/>
          <w:color w:val="auto"/>
        </w:rPr>
        <w:t>PREFERRED SHARES</w:t>
      </w:r>
    </w:p>
    <w:p>
      <w:pPr>
        <w:ind w:left="3580"/>
        <w:spacing w:after="0" w:line="229" w:lineRule="auto"/>
        <w:rPr>
          <w:sz w:val="20"/>
          <w:szCs w:val="20"/>
          <w:color w:val="auto"/>
        </w:rPr>
      </w:pPr>
      <w:r>
        <w:rPr>
          <w:rFonts w:ascii="Times New Roman" w:cs="Times New Roman" w:eastAsia="Times New Roman" w:hAnsi="Times New Roman"/>
          <w:sz w:val="21"/>
          <w:szCs w:val="21"/>
          <w:b w:val="1"/>
          <w:bCs w:val="1"/>
          <w:color w:val="auto"/>
        </w:rPr>
        <w:t>DEBT SECURITIES</w:t>
      </w:r>
    </w:p>
    <w:p>
      <w:pPr>
        <w:ind w:left="3920"/>
        <w:spacing w:after="0" w:line="230" w:lineRule="auto"/>
        <w:rPr>
          <w:sz w:val="20"/>
          <w:szCs w:val="20"/>
          <w:color w:val="auto"/>
        </w:rPr>
      </w:pPr>
      <w:r>
        <w:rPr>
          <w:rFonts w:ascii="Times New Roman" w:cs="Times New Roman" w:eastAsia="Times New Roman" w:hAnsi="Times New Roman"/>
          <w:sz w:val="21"/>
          <w:szCs w:val="21"/>
          <w:b w:val="1"/>
          <w:bCs w:val="1"/>
          <w:color w:val="auto"/>
        </w:rPr>
        <w:t>WARRANTS</w:t>
      </w:r>
    </w:p>
    <w:p>
      <w:pPr>
        <w:ind w:left="3200"/>
        <w:spacing w:after="0" w:line="229" w:lineRule="auto"/>
        <w:rPr>
          <w:sz w:val="20"/>
          <w:szCs w:val="20"/>
          <w:color w:val="auto"/>
        </w:rPr>
      </w:pPr>
      <w:r>
        <w:rPr>
          <w:rFonts w:ascii="Times New Roman" w:cs="Times New Roman" w:eastAsia="Times New Roman" w:hAnsi="Times New Roman"/>
          <w:sz w:val="21"/>
          <w:szCs w:val="21"/>
          <w:b w:val="1"/>
          <w:bCs w:val="1"/>
          <w:color w:val="auto"/>
        </w:rPr>
        <w:t>SUBSCRIPTION RECEIPTS</w:t>
      </w:r>
    </w:p>
    <w:p>
      <w:pPr>
        <w:ind w:left="4200"/>
        <w:spacing w:after="0" w:line="230" w:lineRule="auto"/>
        <w:rPr>
          <w:sz w:val="20"/>
          <w:szCs w:val="20"/>
          <w:color w:val="auto"/>
        </w:rPr>
      </w:pPr>
      <w:r>
        <w:rPr>
          <w:rFonts w:ascii="Times New Roman" w:cs="Times New Roman" w:eastAsia="Times New Roman" w:hAnsi="Times New Roman"/>
          <w:sz w:val="21"/>
          <w:szCs w:val="21"/>
          <w:b w:val="1"/>
          <w:bCs w:val="1"/>
          <w:color w:val="auto"/>
        </w:rPr>
        <w:t>UNITS</w:t>
      </w:r>
    </w:p>
    <w:p>
      <w:pPr>
        <w:ind w:left="4380"/>
        <w:spacing w:after="0" w:line="229" w:lineRule="auto"/>
        <w:rPr>
          <w:sz w:val="20"/>
          <w:szCs w:val="20"/>
          <w:color w:val="auto"/>
        </w:rPr>
      </w:pPr>
      <w:r>
        <w:rPr>
          <w:rFonts w:ascii="Times New Roman" w:cs="Times New Roman" w:eastAsia="Times New Roman" w:hAnsi="Times New Roman"/>
          <w:sz w:val="21"/>
          <w:szCs w:val="21"/>
          <w:b w:val="1"/>
          <w:bCs w:val="1"/>
          <w:color w:val="auto"/>
        </w:rPr>
        <w:t> </w:t>
      </w:r>
    </w:p>
    <w:p>
      <w:pPr>
        <w:spacing w:after="0" w:line="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149860</wp:posOffset>
            </wp:positionV>
            <wp:extent cx="49549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495490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206375</wp:posOffset>
            </wp:positionV>
            <wp:extent cx="49549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4954905" cy="16510"/>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337185</wp:posOffset>
            </wp:positionV>
            <wp:extent cx="665035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5" w:name="page26"/>
    <w:bookmarkEnd w:id="25"/>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ITEM 14.  Other Expenses of Issuance and Distribution</w:t>
      </w:r>
    </w:p>
    <w:p>
      <w:pPr>
        <w:spacing w:after="0" w:line="117"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The following is a statement of the estimated expenses, other than any underwriting discounts and commissions, that we expect to incur in connection with the issuance and distribution of the Securities registered under this Registration Statement:</w:t>
      </w:r>
    </w:p>
    <w:p>
      <w:pPr>
        <w:spacing w:after="0" w:line="119" w:lineRule="exact"/>
        <w:rPr>
          <w:sz w:val="20"/>
          <w:szCs w:val="20"/>
          <w:color w:val="auto"/>
        </w:rPr>
      </w:pPr>
    </w:p>
    <w:tbl>
      <w:tblPr>
        <w:tblLayout w:type="fixed"/>
        <w:tblInd w:w="500" w:type="dxa"/>
        <w:tblCellMar>
          <w:top w:w="0" w:type="dxa"/>
          <w:left w:w="0" w:type="dxa"/>
          <w:bottom w:w="0" w:type="dxa"/>
          <w:right w:w="0" w:type="dxa"/>
        </w:tblCellMar>
      </w:tblPr>
      <w:tr>
        <w:trPr>
          <w:trHeight w:val="321"/>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7"/>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Printing expenses</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5"/>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7"/>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Accountants’ fees and expenses</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5"/>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agent and registrar fees</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7"/>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Trustees’ fees and expenses</w:t>
            </w:r>
          </w:p>
        </w:tc>
        <w:tc>
          <w:tcPr>
            <w:tcW w:w="20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1"/>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0"/>
        </w:trPr>
        <w:tc>
          <w:tcPr>
            <w:tcW w:w="7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000000"/>
          </w:tcPr>
          <w:p>
            <w:pPr>
              <w:spacing w:after="0"/>
              <w:rPr>
                <w:sz w:val="2"/>
                <w:szCs w:val="2"/>
                <w:color w:val="auto"/>
              </w:rPr>
            </w:pPr>
          </w:p>
        </w:tc>
      </w:tr>
      <w:tr>
        <w:trPr>
          <w:trHeight w:val="244"/>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7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138430</wp:posOffset>
            </wp:positionV>
            <wp:extent cx="78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242" w:lineRule="exact"/>
        <w:rPr>
          <w:sz w:val="20"/>
          <w:szCs w:val="20"/>
          <w:color w:val="auto"/>
        </w:rPr>
      </w:pPr>
    </w:p>
    <w:p>
      <w:pPr>
        <w:ind w:left="840" w:right="519" w:hanging="340"/>
        <w:spacing w:after="0" w:line="236" w:lineRule="auto"/>
        <w:tabs>
          <w:tab w:leader="none" w:pos="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$1,531,000.00 has been paid to the SEC and may be used to pay for securities offered pursuant to this prospectus. The payment of any additional fees has been deferred in accordance with Rule 456(b) and 457(r) of the Securities Act.</w:t>
      </w:r>
    </w:p>
    <w:p>
      <w:pPr>
        <w:spacing w:after="0" w:line="17" w:lineRule="exact"/>
        <w:rPr>
          <w:rFonts w:ascii="Times New Roman" w:cs="Times New Roman" w:eastAsia="Times New Roman" w:hAnsi="Times New Roman"/>
          <w:sz w:val="14"/>
          <w:szCs w:val="14"/>
          <w:color w:val="auto"/>
        </w:rPr>
      </w:pPr>
    </w:p>
    <w:p>
      <w:pPr>
        <w:jc w:val="both"/>
        <w:ind w:left="840" w:right="519" w:hanging="340"/>
        <w:spacing w:after="0" w:line="223" w:lineRule="auto"/>
        <w:tabs>
          <w:tab w:leader="none" w:pos="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Registration Statement relates to an unspecified aggregate offering price or number of the securities of each class identified in the fee table included as Exhibit 107 to this Registration Statement. Because these aggregate amounts are not known, the expenses cannot be estimated. The applicable prospectus supplement will set forth the estimated aggregate amount of expenses payable in respect of any offering of securities.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ITEM 15.  Indemnification of Directors and Officers</w:t>
      </w:r>
    </w:p>
    <w:p>
      <w:pPr>
        <w:spacing w:after="0" w:line="117" w:lineRule="exact"/>
        <w:rPr>
          <w:sz w:val="20"/>
          <w:szCs w:val="20"/>
          <w:color w:val="auto"/>
        </w:rPr>
      </w:pPr>
    </w:p>
    <w:p>
      <w:pPr>
        <w:jc w:val="both"/>
        <w:ind w:left="500" w:right="519" w:firstLine="342"/>
        <w:spacing w:after="0" w:line="256" w:lineRule="auto"/>
        <w:rPr>
          <w:sz w:val="20"/>
          <w:szCs w:val="20"/>
          <w:color w:val="auto"/>
        </w:rPr>
      </w:pPr>
      <w:r>
        <w:rPr>
          <w:rFonts w:ascii="Times New Roman" w:cs="Times New Roman" w:eastAsia="Times New Roman" w:hAnsi="Times New Roman"/>
          <w:sz w:val="17"/>
          <w:szCs w:val="17"/>
          <w:color w:val="auto"/>
        </w:rPr>
        <w:t>Under the CBCA, we may indemnify our current or former directors or officers or another individual who acts or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another entity. The CBCA also provides that we may advance moneys to a director, officer or other individual for costs, charges and expenses reasonably incurred in connection with such a proceeding; provided that such individual shall repay the moneys if the individual does not fulfill the conditions described below.</w:t>
      </w:r>
    </w:p>
    <w:p>
      <w:pPr>
        <w:spacing w:after="0" w:line="1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However, indemnification is prohibited under the CBCA unless the individual:</w:t>
      </w:r>
    </w:p>
    <w:p>
      <w:pPr>
        <w:spacing w:after="0" w:line="113" w:lineRule="exact"/>
        <w:rPr>
          <w:sz w:val="20"/>
          <w:szCs w:val="20"/>
          <w:color w:val="auto"/>
        </w:rPr>
      </w:pPr>
    </w:p>
    <w:p>
      <w:pPr>
        <w:ind w:left="1180" w:right="519" w:hanging="338"/>
        <w:spacing w:after="0" w:line="285"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acted honestly and in good faith with a view to our best interests, or the best interests of the other entity for which the individual acted as director or officer or in a similar capacity at our request; and</w:t>
      </w:r>
    </w:p>
    <w:p>
      <w:pPr>
        <w:spacing w:after="0" w:line="49"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criminal or administrative action or proceeding that is enforced by a monetary penalty, the individual had reasonable grounds for believing that his or her conduct was lawful.</w:t>
      </w:r>
    </w:p>
    <w:p>
      <w:pPr>
        <w:spacing w:after="0" w:line="49" w:lineRule="exact"/>
        <w:rPr>
          <w:sz w:val="20"/>
          <w:szCs w:val="20"/>
          <w:color w:val="auto"/>
        </w:rPr>
      </w:pPr>
    </w:p>
    <w:p>
      <w:pPr>
        <w:jc w:val="both"/>
        <w:ind w:left="500" w:right="519" w:firstLine="342"/>
        <w:spacing w:after="0" w:line="258" w:lineRule="auto"/>
        <w:rPr>
          <w:sz w:val="20"/>
          <w:szCs w:val="20"/>
          <w:color w:val="auto"/>
        </w:rPr>
      </w:pPr>
      <w:r>
        <w:rPr>
          <w:rFonts w:ascii="Times New Roman" w:cs="Times New Roman" w:eastAsia="Times New Roman" w:hAnsi="Times New Roman"/>
          <w:sz w:val="17"/>
          <w:szCs w:val="17"/>
          <w:color w:val="auto"/>
        </w:rPr>
        <w:t>Our by-laws require us to indemnify to the fullest extent permitted by the CBCA each of our current or former directors or officers and each individual who acts or acted at our request as a director or officer, or an individual acting in a similar capacity, of another entity, against all costs, charges and expenses, including, without limitation, an amount paid to settle an action or satisfy a judgment, reasonably incurred by the individual in respect of any civil, criminal, administrative, investigative or other proceeding in which the individual is involved because of his or her association with us or another entity.</w:t>
      </w:r>
    </w:p>
    <w:p>
      <w:pPr>
        <w:spacing w:after="0" w:line="74"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Our by-laws authorize us to purchase and maintain insurance for the benefit of each of our current or former directors or officers and each person who acts or acted at our request as a director or officer, or an individual acting in a similar capacity, of another entity.</w:t>
      </w:r>
    </w:p>
    <w:p>
      <w:pPr>
        <w:spacing w:after="0" w:line="64" w:lineRule="exact"/>
        <w:rPr>
          <w:sz w:val="20"/>
          <w:szCs w:val="20"/>
          <w:color w:val="auto"/>
        </w:rPr>
      </w:pPr>
    </w:p>
    <w:p>
      <w:pPr>
        <w:jc w:val="both"/>
        <w:ind w:left="500" w:right="519" w:firstLine="342"/>
        <w:spacing w:after="0" w:line="263" w:lineRule="auto"/>
        <w:rPr>
          <w:sz w:val="20"/>
          <w:szCs w:val="20"/>
          <w:color w:val="auto"/>
        </w:rPr>
      </w:pPr>
      <w:r>
        <w:rPr>
          <w:rFonts w:ascii="Times New Roman" w:cs="Times New Roman" w:eastAsia="Times New Roman" w:hAnsi="Times New Roman"/>
          <w:sz w:val="17"/>
          <w:szCs w:val="17"/>
          <w:color w:val="auto"/>
        </w:rPr>
        <w:t>We have entered into indemnity agreements with our directors and certain officers which provide, among other things, that we will indemnify him or her to the fullest extent permitted by law from and against all liabilities, costs, charges and expenses incurred as a result of his or her actions in the exercise of his or her duties as a director or officer.</w:t>
      </w:r>
    </w:p>
    <w:p>
      <w:pPr>
        <w:spacing w:after="0" w:line="67" w:lineRule="exact"/>
        <w:rPr>
          <w:sz w:val="20"/>
          <w:szCs w:val="20"/>
          <w:color w:val="auto"/>
        </w:rPr>
      </w:pPr>
    </w:p>
    <w:p>
      <w:pPr>
        <w:jc w:val="both"/>
        <w:ind w:left="500" w:right="519" w:firstLine="342"/>
        <w:spacing w:after="0" w:line="268" w:lineRule="auto"/>
        <w:rPr>
          <w:sz w:val="20"/>
          <w:szCs w:val="20"/>
          <w:color w:val="auto"/>
        </w:rPr>
      </w:pPr>
      <w:r>
        <w:rPr>
          <w:rFonts w:ascii="Times New Roman" w:cs="Times New Roman" w:eastAsia="Times New Roman" w:hAnsi="Times New Roman"/>
          <w:sz w:val="17"/>
          <w:szCs w:val="17"/>
          <w:color w:val="auto"/>
        </w:rPr>
        <w:t>Underwriting agreements in respect of offerings of securities under this Registration Statement may contain provisions by which the underwriters agree to indemnify the Registrant, each of the respective directors and officers of</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500" w:right="519"/>
        <w:spacing w:after="0" w:line="285" w:lineRule="auto"/>
        <w:rPr>
          <w:sz w:val="20"/>
          <w:szCs w:val="20"/>
          <w:color w:val="auto"/>
        </w:rPr>
      </w:pPr>
      <w:r>
        <w:rPr>
          <w:rFonts w:ascii="Times New Roman" w:cs="Times New Roman" w:eastAsia="Times New Roman" w:hAnsi="Times New Roman"/>
          <w:sz w:val="17"/>
          <w:szCs w:val="17"/>
          <w:color w:val="auto"/>
        </w:rPr>
        <w:t>the Registrant and each person who controls the Registrant within the meaning of the Securities Act with respect to information furnished by the underwriters for use in the Registration Statement.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ITEM 16.  Exhibits</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The following exhibits have been filed as part of this Registration Statement:</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080" w:type="dxa"/>
            <w:vAlign w:val="bottom"/>
            <w:vMerge w:val="restart"/>
          </w:tcPr>
          <w:p>
            <w:pPr>
              <w:ind w:left="3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180"/>
        </w:trPr>
        <w:tc>
          <w:tcPr>
            <w:tcW w:w="300" w:type="dxa"/>
            <w:vAlign w:val="bottom"/>
            <w:gridSpan w:val="2"/>
          </w:tcPr>
          <w:p>
            <w:pPr>
              <w:spacing w:after="0" w:line="180" w:lineRule="exact"/>
              <w:rPr>
                <w:rFonts w:ascii="Times New Roman" w:cs="Times New Roman" w:eastAsia="Times New Roman" w:hAnsi="Times New Roman"/>
                <w:sz w:val="17"/>
                <w:szCs w:val="17"/>
                <w:color w:val="0000EE"/>
              </w:rPr>
            </w:pPr>
            <w:hyperlink r:id="rId56">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3"/>
                <w:szCs w:val="13"/>
                <w:color w:val="auto"/>
              </w:rPr>
              <w:t>Specimen Class A Subordinate Voting Share Certificate</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31"/>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20" w:type="dxa"/>
            <w:vAlign w:val="bottom"/>
            <w:tcBorders>
              <w:bottom w:val="single" w:sz="8" w:color="0000EE"/>
            </w:tcBorders>
            <w:shd w:val="clear" w:color="auto" w:fill="CCEEFF"/>
          </w:tcPr>
          <w:p>
            <w:pPr>
              <w:spacing w:after="0" w:line="180" w:lineRule="exact"/>
              <w:rPr>
                <w:rFonts w:ascii="Times New Roman" w:cs="Times New Roman" w:eastAsia="Times New Roman" w:hAnsi="Times New Roman"/>
                <w:sz w:val="17"/>
                <w:szCs w:val="17"/>
                <w:color w:val="0000EE"/>
                <w:w w:val="93"/>
              </w:rPr>
            </w:pPr>
            <w:hyperlink r:id="rId57">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2</w:t>
              </w:r>
            </w:hyperlink>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180" w:type="dxa"/>
            <w:vAlign w:val="bottom"/>
            <w:tcBorders>
              <w:bottom w:val="single" w:sz="8" w:color="CCEEFF"/>
            </w:tcBorders>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3"/>
                <w:szCs w:val="13"/>
                <w:color w:val="auto"/>
              </w:rPr>
              <w:t>Specimen Class B Multiple Voting Share Certificate</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27"/>
        </w:trPr>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of Preferred Share Certificate</w:t>
            </w:r>
          </w:p>
        </w:tc>
        <w:tc>
          <w:tcPr>
            <w:tcW w:w="0" w:type="dxa"/>
            <w:vAlign w:val="bottom"/>
          </w:tcPr>
          <w:p>
            <w:pPr>
              <w:spacing w:after="0"/>
              <w:rPr>
                <w:sz w:val="1"/>
                <w:szCs w:val="1"/>
                <w:color w:val="auto"/>
              </w:rPr>
            </w:pPr>
          </w:p>
        </w:tc>
      </w:tr>
      <w:tr>
        <w:trPr>
          <w:trHeight w:val="184"/>
        </w:trPr>
        <w:tc>
          <w:tcPr>
            <w:tcW w:w="300" w:type="dxa"/>
            <w:vAlign w:val="bottom"/>
            <w:gridSpan w:val="2"/>
            <w:shd w:val="clear" w:color="auto" w:fill="CCEEFF"/>
          </w:tcPr>
          <w:p>
            <w:pPr>
              <w:spacing w:after="0" w:line="184" w:lineRule="exact"/>
              <w:rPr>
                <w:rFonts w:ascii="Times New Roman" w:cs="Times New Roman" w:eastAsia="Times New Roman" w:hAnsi="Times New Roman"/>
                <w:sz w:val="17"/>
                <w:szCs w:val="17"/>
                <w:color w:val="0000EE"/>
              </w:rPr>
            </w:pPr>
            <w:hyperlink r:id="rId58">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4</w:t>
              </w:r>
            </w:hyperlink>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18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Trust Indenture, dated as of September 18, 2020, by and among the Company, Computershare Trust</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7180" w:type="dxa"/>
            <w:vAlign w:val="bottom"/>
            <w:tcBorders>
              <w:top w:val="single" w:sz="8" w:color="CCEEFF"/>
            </w:tcBorders>
            <w:gridSpan w:val="2"/>
            <w:shd w:val="clear" w:color="auto" w:fill="CCEEFF"/>
          </w:tcPr>
          <w:p>
            <w:pPr>
              <w:ind w:left="100"/>
              <w:spacing w:after="0" w:line="236" w:lineRule="exact"/>
              <w:rPr>
                <w:sz w:val="20"/>
                <w:szCs w:val="20"/>
                <w:color w:val="auto"/>
              </w:rPr>
            </w:pPr>
            <w:r>
              <w:rPr>
                <w:rFonts w:ascii="Times New Roman" w:cs="Times New Roman" w:eastAsia="Times New Roman" w:hAnsi="Times New Roman"/>
                <w:sz w:val="17"/>
                <w:szCs w:val="17"/>
                <w:color w:val="auto"/>
              </w:rPr>
              <w:t>Company, N.A. and Computershare Trust Company of Canada</w:t>
            </w:r>
            <w:r>
              <w:rPr>
                <w:rFonts w:ascii="Times New Roman" w:cs="Times New Roman" w:eastAsia="Times New Roman" w:hAnsi="Times New Roman"/>
                <w:sz w:val="27"/>
                <w:szCs w:val="27"/>
                <w:color w:val="auto"/>
                <w:vertAlign w:val="superscript"/>
              </w:rPr>
              <w:t>(2)</w:t>
            </w:r>
          </w:p>
        </w:tc>
        <w:tc>
          <w:tcPr>
            <w:tcW w:w="0" w:type="dxa"/>
            <w:vAlign w:val="bottom"/>
          </w:tcPr>
          <w:p>
            <w:pPr>
              <w:spacing w:after="0"/>
              <w:rPr>
                <w:sz w:val="1"/>
                <w:szCs w:val="1"/>
                <w:color w:val="auto"/>
              </w:rPr>
            </w:pPr>
          </w:p>
        </w:tc>
      </w:tr>
      <w:tr>
        <w:trPr>
          <w:trHeight w:val="180"/>
        </w:trPr>
        <w:tc>
          <w:tcPr>
            <w:tcW w:w="300" w:type="dxa"/>
            <w:vAlign w:val="bottom"/>
            <w:gridSpan w:val="2"/>
          </w:tcPr>
          <w:p>
            <w:pPr>
              <w:spacing w:after="0" w:line="180" w:lineRule="exact"/>
              <w:rPr>
                <w:rFonts w:ascii="Times New Roman" w:cs="Times New Roman" w:eastAsia="Times New Roman" w:hAnsi="Times New Roman"/>
                <w:sz w:val="17"/>
                <w:szCs w:val="17"/>
                <w:color w:val="0000EE"/>
              </w:rPr>
            </w:pPr>
            <w:hyperlink r:id="rId58">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5</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7"/>
                <w:szCs w:val="17"/>
                <w:color w:val="auto"/>
              </w:rPr>
              <w:t>Form of Debt Securities (Included in Exhibit 4.4)</w:t>
            </w:r>
          </w:p>
        </w:tc>
        <w:tc>
          <w:tcPr>
            <w:tcW w:w="0" w:type="dxa"/>
            <w:vAlign w:val="bottom"/>
          </w:tcPr>
          <w:p>
            <w:pPr>
              <w:spacing w:after="0"/>
              <w:rPr>
                <w:sz w:val="1"/>
                <w:szCs w:val="1"/>
                <w:color w:val="auto"/>
              </w:rPr>
            </w:pPr>
          </w:p>
        </w:tc>
      </w:tr>
      <w:tr>
        <w:trPr>
          <w:trHeight w:val="31"/>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Warrant Agreement</w:t>
            </w:r>
          </w:p>
        </w:tc>
        <w:tc>
          <w:tcPr>
            <w:tcW w:w="0" w:type="dxa"/>
            <w:vAlign w:val="bottom"/>
          </w:tcPr>
          <w:p>
            <w:pPr>
              <w:spacing w:after="0"/>
              <w:rPr>
                <w:sz w:val="1"/>
                <w:szCs w:val="1"/>
                <w:color w:val="auto"/>
              </w:rPr>
            </w:pPr>
          </w:p>
        </w:tc>
      </w:tr>
      <w:tr>
        <w:trPr>
          <w:trHeight w:val="227"/>
        </w:trPr>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of Warrant Certificate</w:t>
            </w:r>
          </w:p>
        </w:tc>
        <w:tc>
          <w:tcPr>
            <w:tcW w:w="0" w:type="dxa"/>
            <w:vAlign w:val="bottom"/>
          </w:tcPr>
          <w:p>
            <w:pPr>
              <w:spacing w:after="0"/>
              <w:rPr>
                <w:sz w:val="1"/>
                <w:szCs w:val="1"/>
                <w:color w:val="auto"/>
              </w:rPr>
            </w:pPr>
          </w:p>
        </w:tc>
      </w:tr>
      <w:tr>
        <w:trPr>
          <w:trHeight w:val="235"/>
        </w:trPr>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Subscription Receipt Agreement</w:t>
            </w:r>
          </w:p>
        </w:tc>
        <w:tc>
          <w:tcPr>
            <w:tcW w:w="0" w:type="dxa"/>
            <w:vAlign w:val="bottom"/>
          </w:tcPr>
          <w:p>
            <w:pPr>
              <w:spacing w:after="0"/>
              <w:rPr>
                <w:sz w:val="1"/>
                <w:szCs w:val="1"/>
                <w:color w:val="auto"/>
              </w:rPr>
            </w:pPr>
          </w:p>
        </w:tc>
      </w:tr>
      <w:tr>
        <w:trPr>
          <w:trHeight w:val="227"/>
        </w:trPr>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of Subscription Receipt Certificate</w:t>
            </w:r>
          </w:p>
        </w:tc>
        <w:tc>
          <w:tcPr>
            <w:tcW w:w="0" w:type="dxa"/>
            <w:vAlign w:val="bottom"/>
          </w:tcPr>
          <w:p>
            <w:pPr>
              <w:spacing w:after="0"/>
              <w:rPr>
                <w:sz w:val="1"/>
                <w:szCs w:val="1"/>
                <w:color w:val="auto"/>
              </w:rPr>
            </w:pPr>
          </w:p>
        </w:tc>
      </w:tr>
      <w:tr>
        <w:trPr>
          <w:trHeight w:val="235"/>
        </w:trPr>
        <w:tc>
          <w:tcPr>
            <w:tcW w:w="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4.10*</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Unit Agreement</w:t>
            </w:r>
          </w:p>
        </w:tc>
        <w:tc>
          <w:tcPr>
            <w:tcW w:w="0" w:type="dxa"/>
            <w:vAlign w:val="bottom"/>
          </w:tcPr>
          <w:p>
            <w:pPr>
              <w:spacing w:after="0"/>
              <w:rPr>
                <w:sz w:val="1"/>
                <w:szCs w:val="1"/>
                <w:color w:val="auto"/>
              </w:rPr>
            </w:pPr>
          </w:p>
        </w:tc>
      </w:tr>
      <w:tr>
        <w:trPr>
          <w:trHeight w:val="227"/>
        </w:trPr>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3"/>
              </w:rPr>
              <w:t>4.11*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of Unit Certificate</w:t>
            </w:r>
          </w:p>
        </w:tc>
        <w:tc>
          <w:tcPr>
            <w:tcW w:w="0" w:type="dxa"/>
            <w:vAlign w:val="bottom"/>
          </w:tcPr>
          <w:p>
            <w:pPr>
              <w:spacing w:after="0"/>
              <w:rPr>
                <w:sz w:val="1"/>
                <w:szCs w:val="1"/>
                <w:color w:val="auto"/>
              </w:rPr>
            </w:pPr>
          </w:p>
        </w:tc>
      </w:tr>
      <w:tr>
        <w:trPr>
          <w:trHeight w:val="184"/>
        </w:trPr>
        <w:tc>
          <w:tcPr>
            <w:tcW w:w="380" w:type="dxa"/>
            <w:vAlign w:val="bottom"/>
            <w:gridSpan w:val="3"/>
            <w:shd w:val="clear" w:color="auto" w:fill="CCEEFF"/>
          </w:tcPr>
          <w:p>
            <w:pPr>
              <w:spacing w:after="0" w:line="184" w:lineRule="exact"/>
              <w:rPr>
                <w:rFonts w:ascii="Times New Roman" w:cs="Times New Roman" w:eastAsia="Times New Roman" w:hAnsi="Times New Roman"/>
                <w:sz w:val="17"/>
                <w:szCs w:val="17"/>
                <w:color w:val="0000EE"/>
              </w:rPr>
            </w:pPr>
            <w:hyperlink r:id="rId59">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12</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18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Coattail Agreement, dated May 27, 2015, in connection with the Company’s Class B restricted voting</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7180" w:type="dxa"/>
            <w:vAlign w:val="bottom"/>
            <w:tcBorders>
              <w:top w:val="single" w:sz="8" w:color="CCEEFF"/>
            </w:tcBorders>
            <w:gridSpan w:val="2"/>
            <w:shd w:val="clear" w:color="auto" w:fill="CCEEFF"/>
          </w:tcPr>
          <w:p>
            <w:pPr>
              <w:ind w:left="100"/>
              <w:spacing w:after="0" w:line="236" w:lineRule="exact"/>
              <w:rPr>
                <w:sz w:val="20"/>
                <w:szCs w:val="20"/>
                <w:color w:val="auto"/>
              </w:rPr>
            </w:pPr>
            <w:r>
              <w:rPr>
                <w:rFonts w:ascii="Times New Roman" w:cs="Times New Roman" w:eastAsia="Times New Roman" w:hAnsi="Times New Roman"/>
                <w:sz w:val="17"/>
                <w:szCs w:val="17"/>
                <w:color w:val="auto"/>
              </w:rPr>
              <w:t>shares</w:t>
            </w:r>
            <w:r>
              <w:rPr>
                <w:rFonts w:ascii="Times New Roman" w:cs="Times New Roman" w:eastAsia="Times New Roman" w:hAnsi="Times New Roman"/>
                <w:sz w:val="27"/>
                <w:szCs w:val="27"/>
                <w:color w:val="auto"/>
                <w:vertAlign w:val="superscript"/>
              </w:rPr>
              <w:t>(3)</w:t>
            </w:r>
          </w:p>
        </w:tc>
        <w:tc>
          <w:tcPr>
            <w:tcW w:w="0" w:type="dxa"/>
            <w:vAlign w:val="bottom"/>
          </w:tcPr>
          <w:p>
            <w:pPr>
              <w:spacing w:after="0"/>
              <w:rPr>
                <w:sz w:val="1"/>
                <w:szCs w:val="1"/>
                <w:color w:val="auto"/>
              </w:rPr>
            </w:pPr>
          </w:p>
        </w:tc>
      </w:tr>
      <w:tr>
        <w:trPr>
          <w:trHeight w:val="180"/>
        </w:trPr>
        <w:tc>
          <w:tcPr>
            <w:tcW w:w="380" w:type="dxa"/>
            <w:vAlign w:val="bottom"/>
            <w:gridSpan w:val="3"/>
          </w:tcPr>
          <w:p>
            <w:pPr>
              <w:spacing w:after="0" w:line="180" w:lineRule="exact"/>
              <w:rPr>
                <w:rFonts w:ascii="Times New Roman" w:cs="Times New Roman" w:eastAsia="Times New Roman" w:hAnsi="Times New Roman"/>
                <w:sz w:val="17"/>
                <w:szCs w:val="17"/>
                <w:color w:val="0000EE"/>
              </w:rPr>
            </w:pPr>
            <w:hyperlink r:id="rId60">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13</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3"/>
                <w:szCs w:val="13"/>
                <w:color w:val="auto"/>
              </w:rPr>
              <w:t>Third Amended and Restated Investors’ Rights Agreement dated May 27, 2015</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31"/>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00" w:type="dxa"/>
            <w:vAlign w:val="bottom"/>
            <w:tcBorders>
              <w:bottom w:val="single" w:sz="8" w:color="0000EE"/>
            </w:tcBorders>
            <w:gridSpan w:val="2"/>
            <w:shd w:val="clear" w:color="auto" w:fill="CCEEFF"/>
          </w:tcPr>
          <w:p>
            <w:pPr>
              <w:spacing w:after="0" w:line="180" w:lineRule="exact"/>
              <w:rPr>
                <w:rFonts w:ascii="Times New Roman" w:cs="Times New Roman" w:eastAsia="Times New Roman" w:hAnsi="Times New Roman"/>
                <w:sz w:val="17"/>
                <w:szCs w:val="17"/>
                <w:color w:val="0000EE"/>
                <w:w w:val="93"/>
              </w:rPr>
            </w:pPr>
            <w:hyperlink r:id="rId61">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14</w:t>
              </w:r>
            </w:hyperlink>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180" w:type="dxa"/>
            <w:vAlign w:val="bottom"/>
            <w:tcBorders>
              <w:bottom w:val="single" w:sz="8" w:color="CCEEFF"/>
            </w:tcBorders>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3"/>
                <w:szCs w:val="13"/>
                <w:color w:val="auto"/>
              </w:rPr>
              <w:t>Founder Agreement, dated June 9, 2022, in connection with the Founder Share</w:t>
            </w:r>
            <w:r>
              <w:rPr>
                <w:rFonts w:ascii="Times New Roman" w:cs="Times New Roman" w:eastAsia="Times New Roman" w:hAnsi="Times New Roman"/>
                <w:sz w:val="20"/>
                <w:szCs w:val="20"/>
                <w:color w:val="auto"/>
                <w:vertAlign w:val="superscript"/>
              </w:rPr>
              <w:t>(4)</w:t>
            </w:r>
          </w:p>
        </w:tc>
        <w:tc>
          <w:tcPr>
            <w:tcW w:w="0" w:type="dxa"/>
            <w:vAlign w:val="bottom"/>
          </w:tcPr>
          <w:p>
            <w:pPr>
              <w:spacing w:after="0"/>
              <w:rPr>
                <w:sz w:val="1"/>
                <w:szCs w:val="1"/>
                <w:color w:val="auto"/>
              </w:rPr>
            </w:pPr>
          </w:p>
        </w:tc>
      </w:tr>
      <w:tr>
        <w:trPr>
          <w:trHeight w:val="180"/>
        </w:trPr>
        <w:tc>
          <w:tcPr>
            <w:tcW w:w="420" w:type="dxa"/>
            <w:vAlign w:val="bottom"/>
            <w:gridSpan w:val="4"/>
          </w:tcPr>
          <w:p>
            <w:pPr>
              <w:spacing w:after="0" w:line="180"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1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7"/>
                <w:szCs w:val="17"/>
                <w:color w:val="auto"/>
              </w:rPr>
              <w:t>Opinion of Stikeman Elliott LLP</w:t>
            </w:r>
          </w:p>
        </w:tc>
        <w:tc>
          <w:tcPr>
            <w:tcW w:w="0" w:type="dxa"/>
            <w:vAlign w:val="bottom"/>
          </w:tcPr>
          <w:p>
            <w:pPr>
              <w:spacing w:after="0"/>
              <w:rPr>
                <w:sz w:val="1"/>
                <w:szCs w:val="1"/>
                <w:color w:val="auto"/>
              </w:rPr>
            </w:pPr>
          </w:p>
        </w:tc>
      </w:tr>
      <w:tr>
        <w:trPr>
          <w:trHeight w:val="31"/>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2**</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18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7"/>
                <w:szCs w:val="17"/>
                <w:color w:val="auto"/>
              </w:rPr>
              <w:t>Opinion of Skadden, Arps, Slate, Meagher &amp; Flom LLP</w:t>
            </w:r>
          </w:p>
        </w:tc>
        <w:tc>
          <w:tcPr>
            <w:tcW w:w="0" w:type="dxa"/>
            <w:vAlign w:val="bottom"/>
          </w:tcPr>
          <w:p>
            <w:pPr>
              <w:spacing w:after="0"/>
              <w:rPr>
                <w:sz w:val="1"/>
                <w:szCs w:val="1"/>
                <w:color w:val="auto"/>
              </w:rPr>
            </w:pPr>
          </w:p>
        </w:tc>
      </w:tr>
      <w:tr>
        <w:trPr>
          <w:trHeight w:val="31"/>
        </w:trPr>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0" w:type="dxa"/>
            <w:vAlign w:val="bottom"/>
            <w:gridSpan w:val="6"/>
          </w:tcPr>
          <w:p>
            <w:pPr>
              <w:spacing w:after="0" w:line="180"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71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7"/>
                <w:szCs w:val="17"/>
                <w:color w:val="auto"/>
              </w:rPr>
              <w:t>Consent of PricewaterhouseCoopers LLP</w:t>
            </w:r>
          </w:p>
        </w:tc>
        <w:tc>
          <w:tcPr>
            <w:tcW w:w="0" w:type="dxa"/>
            <w:vAlign w:val="bottom"/>
          </w:tcPr>
          <w:p>
            <w:pPr>
              <w:spacing w:after="0"/>
              <w:rPr>
                <w:sz w:val="1"/>
                <w:szCs w:val="1"/>
                <w:color w:val="auto"/>
              </w:rPr>
            </w:pPr>
          </w:p>
        </w:tc>
      </w:tr>
      <w:tr>
        <w:trPr>
          <w:trHeight w:val="31"/>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80" w:type="dxa"/>
            <w:vAlign w:val="bottom"/>
            <w:tcBorders>
              <w:bottom w:val="single" w:sz="8" w:color="0000EE"/>
            </w:tcBorders>
            <w:gridSpan w:val="5"/>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8"/>
              </w:rPr>
              <w:t>23.</w:t>
            </w:r>
            <w:r>
              <w:rPr>
                <w:rFonts w:ascii="Times New Roman" w:cs="Times New Roman" w:eastAsia="Times New Roman" w:hAnsi="Times New Roman"/>
                <w:sz w:val="17"/>
                <w:szCs w:val="17"/>
                <w:u w:val="single" w:color="auto"/>
                <w:color w:val="0000EE"/>
                <w:w w:val="98"/>
              </w:rPr>
              <w:t>2**</w:t>
            </w:r>
          </w:p>
        </w:tc>
        <w:tc>
          <w:tcPr>
            <w:tcW w:w="340" w:type="dxa"/>
            <w:vAlign w:val="bottom"/>
            <w:tcBorders>
              <w:bottom w:val="single" w:sz="8" w:color="CCEEFF"/>
            </w:tcBorders>
            <w:shd w:val="clear" w:color="auto" w:fill="CCEEFF"/>
          </w:tcPr>
          <w:p>
            <w:pPr>
              <w:spacing w:after="0"/>
              <w:rPr>
                <w:sz w:val="18"/>
                <w:szCs w:val="18"/>
                <w:color w:val="auto"/>
              </w:rPr>
            </w:pPr>
          </w:p>
        </w:tc>
        <w:tc>
          <w:tcPr>
            <w:tcW w:w="7180" w:type="dxa"/>
            <w:vAlign w:val="bottom"/>
            <w:tcBorders>
              <w:bottom w:val="single" w:sz="8" w:color="CCEEFF"/>
            </w:tcBorders>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7"/>
                <w:szCs w:val="17"/>
                <w:color w:val="auto"/>
              </w:rPr>
              <w:t>Consent of Stikeman Elliott LLP (included in Exhibit 5.1)</w:t>
            </w:r>
          </w:p>
        </w:tc>
        <w:tc>
          <w:tcPr>
            <w:tcW w:w="0" w:type="dxa"/>
            <w:vAlign w:val="bottom"/>
          </w:tcPr>
          <w:p>
            <w:pPr>
              <w:spacing w:after="0"/>
              <w:rPr>
                <w:sz w:val="1"/>
                <w:szCs w:val="1"/>
                <w:color w:val="auto"/>
              </w:rPr>
            </w:pPr>
          </w:p>
        </w:tc>
      </w:tr>
      <w:tr>
        <w:trPr>
          <w:trHeight w:val="180"/>
        </w:trPr>
        <w:tc>
          <w:tcPr>
            <w:tcW w:w="820" w:type="dxa"/>
            <w:vAlign w:val="bottom"/>
            <w:gridSpan w:val="6"/>
          </w:tcPr>
          <w:p>
            <w:pPr>
              <w:spacing w:after="0" w:line="180"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3**</w:t>
            </w:r>
          </w:p>
        </w:tc>
        <w:tc>
          <w:tcPr>
            <w:tcW w:w="71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7"/>
                <w:szCs w:val="17"/>
                <w:color w:val="auto"/>
              </w:rPr>
              <w:t>Consent of Skadden, Arps, Slate, Meagher &amp; Flom LLP (included in Exhibit 5.2)</w:t>
            </w:r>
          </w:p>
        </w:tc>
        <w:tc>
          <w:tcPr>
            <w:tcW w:w="0" w:type="dxa"/>
            <w:vAlign w:val="bottom"/>
          </w:tcPr>
          <w:p>
            <w:pPr>
              <w:spacing w:after="0"/>
              <w:rPr>
                <w:sz w:val="1"/>
                <w:szCs w:val="1"/>
                <w:color w:val="auto"/>
              </w:rPr>
            </w:pPr>
          </w:p>
        </w:tc>
      </w:tr>
      <w:tr>
        <w:trPr>
          <w:trHeight w:val="31"/>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80" w:type="dxa"/>
            <w:vAlign w:val="bottom"/>
            <w:tcBorders>
              <w:bottom w:val="single" w:sz="8" w:color="0000EE"/>
            </w:tcBorders>
            <w:gridSpan w:val="5"/>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w w:val="98"/>
              </w:rPr>
              <w:t>24.</w:t>
            </w:r>
            <w:r>
              <w:rPr>
                <w:rFonts w:ascii="Times New Roman" w:cs="Times New Roman" w:eastAsia="Times New Roman" w:hAnsi="Times New Roman"/>
                <w:sz w:val="17"/>
                <w:szCs w:val="17"/>
                <w:u w:val="single" w:color="auto"/>
                <w:color w:val="0000EE"/>
                <w:w w:val="98"/>
              </w:rPr>
              <w:t>1**</w:t>
            </w:r>
          </w:p>
        </w:tc>
        <w:tc>
          <w:tcPr>
            <w:tcW w:w="340" w:type="dxa"/>
            <w:vAlign w:val="bottom"/>
            <w:tcBorders>
              <w:bottom w:val="single" w:sz="8" w:color="CCEEFF"/>
            </w:tcBorders>
            <w:shd w:val="clear" w:color="auto" w:fill="CCEEFF"/>
          </w:tcPr>
          <w:p>
            <w:pPr>
              <w:spacing w:after="0"/>
              <w:rPr>
                <w:sz w:val="18"/>
                <w:szCs w:val="18"/>
                <w:color w:val="auto"/>
              </w:rPr>
            </w:pPr>
          </w:p>
        </w:tc>
        <w:tc>
          <w:tcPr>
            <w:tcW w:w="7180" w:type="dxa"/>
            <w:vAlign w:val="bottom"/>
            <w:tcBorders>
              <w:bottom w:val="single" w:sz="8" w:color="CCEEFF"/>
            </w:tcBorders>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7"/>
                <w:szCs w:val="17"/>
                <w:color w:val="auto"/>
              </w:rPr>
              <w:t>Power of Attorney (included on the signature page hereto)</w:t>
            </w:r>
          </w:p>
        </w:tc>
        <w:tc>
          <w:tcPr>
            <w:tcW w:w="0" w:type="dxa"/>
            <w:vAlign w:val="bottom"/>
          </w:tcPr>
          <w:p>
            <w:pPr>
              <w:spacing w:after="0"/>
              <w:rPr>
                <w:sz w:val="1"/>
                <w:szCs w:val="1"/>
                <w:color w:val="auto"/>
              </w:rPr>
            </w:pPr>
          </w:p>
        </w:tc>
      </w:tr>
      <w:tr>
        <w:trPr>
          <w:trHeight w:val="180"/>
        </w:trPr>
        <w:tc>
          <w:tcPr>
            <w:tcW w:w="820" w:type="dxa"/>
            <w:vAlign w:val="bottom"/>
            <w:gridSpan w:val="6"/>
          </w:tcPr>
          <w:p>
            <w:pPr>
              <w:spacing w:after="0" w:line="180" w:lineRule="exact"/>
              <w:rPr>
                <w:sz w:val="20"/>
                <w:szCs w:val="20"/>
                <w:color w:val="auto"/>
              </w:rPr>
            </w:pPr>
            <w:r>
              <w:rPr>
                <w:rFonts w:ascii="Times New Roman" w:cs="Times New Roman" w:eastAsia="Times New Roman" w:hAnsi="Times New Roman"/>
                <w:sz w:val="17"/>
                <w:szCs w:val="17"/>
                <w:color w:val="0000EE"/>
              </w:rPr>
              <w:t>25.</w:t>
            </w:r>
            <w:r>
              <w:rPr>
                <w:rFonts w:ascii="Times New Roman" w:cs="Times New Roman" w:eastAsia="Times New Roman" w:hAnsi="Times New Roman"/>
                <w:sz w:val="17"/>
                <w:szCs w:val="17"/>
                <w:u w:val="single" w:color="auto"/>
                <w:color w:val="0000EE"/>
              </w:rPr>
              <w:t>1**</w:t>
            </w:r>
          </w:p>
        </w:tc>
        <w:tc>
          <w:tcPr>
            <w:tcW w:w="718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7"/>
                <w:szCs w:val="17"/>
                <w:color w:val="auto"/>
              </w:rPr>
              <w:t>Statement of Eligibility of the Trustee for the Indenture referenced in Exhibit 4.4, Computershare Trust</w:t>
            </w:r>
          </w:p>
        </w:tc>
        <w:tc>
          <w:tcPr>
            <w:tcW w:w="0" w:type="dxa"/>
            <w:vAlign w:val="bottom"/>
          </w:tcPr>
          <w:p>
            <w:pPr>
              <w:spacing w:after="0"/>
              <w:rPr>
                <w:sz w:val="1"/>
                <w:szCs w:val="1"/>
                <w:color w:val="auto"/>
              </w:rPr>
            </w:pPr>
          </w:p>
        </w:tc>
      </w:tr>
      <w:tr>
        <w:trPr>
          <w:trHeight w:val="231"/>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7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Company, N.A., on Form T-1</w:t>
            </w:r>
          </w:p>
        </w:tc>
        <w:tc>
          <w:tcPr>
            <w:tcW w:w="0" w:type="dxa"/>
            <w:vAlign w:val="bottom"/>
          </w:tcPr>
          <w:p>
            <w:pPr>
              <w:spacing w:after="0"/>
              <w:rPr>
                <w:sz w:val="1"/>
                <w:szCs w:val="1"/>
                <w:color w:val="auto"/>
              </w:rPr>
            </w:pPr>
          </w:p>
        </w:tc>
      </w:tr>
      <w:tr>
        <w:trPr>
          <w:trHeight w:val="186"/>
        </w:trPr>
        <w:tc>
          <w:tcPr>
            <w:tcW w:w="48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0000EE"/>
              </w:rPr>
              <w:t>107**</w:t>
            </w:r>
          </w:p>
        </w:tc>
        <w:tc>
          <w:tcPr>
            <w:tcW w:w="340" w:type="dxa"/>
            <w:vAlign w:val="bottom"/>
            <w:shd w:val="clear" w:color="auto" w:fill="CCEEFF"/>
          </w:tcPr>
          <w:p>
            <w:pPr>
              <w:spacing w:after="0"/>
              <w:rPr>
                <w:sz w:val="16"/>
                <w:szCs w:val="16"/>
                <w:color w:val="auto"/>
              </w:rPr>
            </w:pPr>
          </w:p>
        </w:tc>
        <w:tc>
          <w:tcPr>
            <w:tcW w:w="7180" w:type="dxa"/>
            <w:vAlign w:val="bottom"/>
            <w:gridSpan w:val="2"/>
            <w:shd w:val="clear" w:color="auto" w:fill="CCEEFF"/>
          </w:tcPr>
          <w:p>
            <w:pPr>
              <w:ind w:left="100"/>
              <w:spacing w:after="0" w:line="186" w:lineRule="exact"/>
              <w:rPr>
                <w:sz w:val="20"/>
                <w:szCs w:val="20"/>
                <w:color w:val="auto"/>
              </w:rPr>
            </w:pPr>
            <w:r>
              <w:rPr>
                <w:rFonts w:ascii="Times New Roman" w:cs="Times New Roman" w:eastAsia="Times New Roman" w:hAnsi="Times New Roman"/>
                <w:sz w:val="17"/>
                <w:szCs w:val="17"/>
                <w:color w:val="auto"/>
              </w:rPr>
              <w:t>Filing Fee Table</w:t>
            </w:r>
          </w:p>
        </w:tc>
        <w:tc>
          <w:tcPr>
            <w:tcW w:w="0" w:type="dxa"/>
            <w:vAlign w:val="bottom"/>
          </w:tcPr>
          <w:p>
            <w:pPr>
              <w:spacing w:after="0"/>
              <w:rPr>
                <w:sz w:val="1"/>
                <w:szCs w:val="1"/>
                <w:color w:val="auto"/>
              </w:rPr>
            </w:pPr>
          </w:p>
        </w:tc>
      </w:tr>
      <w:tr>
        <w:trPr>
          <w:trHeight w:val="70"/>
        </w:trPr>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0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146685</wp:posOffset>
            </wp:positionV>
            <wp:extent cx="78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255" w:lineRule="exact"/>
        <w:rPr>
          <w:sz w:val="20"/>
          <w:szCs w:val="20"/>
          <w:color w:val="auto"/>
        </w:rPr>
      </w:pPr>
    </w:p>
    <w:p>
      <w:pPr>
        <w:ind w:left="500" w:right="1379"/>
        <w:spacing w:after="0" w:line="286" w:lineRule="auto"/>
        <w:tabs>
          <w:tab w:leader="none" w:pos="83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as an exhibit to a report pursuant to Section 13(a) or 15(d) of the Exchange Act incorporated by reference herein. ** Filed herewith.</w:t>
      </w:r>
    </w:p>
    <w:p>
      <w:pPr>
        <w:spacing w:after="0" w:line="1" w:lineRule="exact"/>
        <w:rPr>
          <w:sz w:val="20"/>
          <w:szCs w:val="20"/>
          <w:color w:val="auto"/>
        </w:rPr>
      </w:pPr>
    </w:p>
    <w:p>
      <w:pPr>
        <w:ind w:left="840" w:right="519" w:hanging="340"/>
        <w:spacing w:after="0" w:line="236"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the Company’s Registration Statement on Form F-1/A (File No. 333-203401) filed with the SEC on May 6, 2015.</w:t>
      </w:r>
    </w:p>
    <w:p>
      <w:pPr>
        <w:spacing w:after="0" w:line="17" w:lineRule="exact"/>
        <w:rPr>
          <w:rFonts w:ascii="Times New Roman" w:cs="Times New Roman" w:eastAsia="Times New Roman" w:hAnsi="Times New Roman"/>
          <w:sz w:val="14"/>
          <w:szCs w:val="14"/>
          <w:color w:val="auto"/>
        </w:rPr>
      </w:pPr>
    </w:p>
    <w:p>
      <w:pPr>
        <w:ind w:left="840" w:hanging="340"/>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Company’s Report on Form 6-K (File No. 001-37400) filed with the SEC on September 21, 2020.</w:t>
      </w:r>
    </w:p>
    <w:p>
      <w:pPr>
        <w:spacing w:after="0" w:line="31" w:lineRule="exact"/>
        <w:rPr>
          <w:rFonts w:ascii="Times New Roman" w:cs="Times New Roman" w:eastAsia="Times New Roman" w:hAnsi="Times New Roman"/>
          <w:sz w:val="14"/>
          <w:szCs w:val="14"/>
          <w:color w:val="auto"/>
        </w:rPr>
      </w:pPr>
    </w:p>
    <w:p>
      <w:pPr>
        <w:ind w:left="840" w:hanging="340"/>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Company’s Report on Form 6-K (File No. 001-37400) filed with the SEC on June 1, 2015.</w:t>
      </w:r>
    </w:p>
    <w:p>
      <w:pPr>
        <w:spacing w:after="0" w:line="31" w:lineRule="exact"/>
        <w:rPr>
          <w:rFonts w:ascii="Times New Roman" w:cs="Times New Roman" w:eastAsia="Times New Roman" w:hAnsi="Times New Roman"/>
          <w:sz w:val="14"/>
          <w:szCs w:val="14"/>
          <w:color w:val="auto"/>
        </w:rPr>
      </w:pPr>
    </w:p>
    <w:p>
      <w:pPr>
        <w:ind w:left="840" w:hanging="340"/>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to Company’s Report on Form 6-K (File No. 001-37400) filed with the SEC on June 10, 2022.</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17" w:lineRule="exact"/>
        <w:rPr>
          <w:sz w:val="20"/>
          <w:szCs w:val="20"/>
          <w:color w:val="auto"/>
        </w:rPr>
      </w:pPr>
    </w:p>
    <w:p>
      <w:pPr>
        <w:ind w:left="840" w:hanging="340"/>
        <w:spacing w:after="0"/>
        <w:tabs>
          <w:tab w:leader="none" w:pos="8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12"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49" w:lineRule="exact"/>
        <w:rPr>
          <w:rFonts w:ascii="Times New Roman" w:cs="Times New Roman" w:eastAsia="Times New Roman" w:hAnsi="Times New Roman"/>
          <w:sz w:val="17"/>
          <w:szCs w:val="17"/>
          <w:color w:val="auto"/>
        </w:rPr>
      </w:pPr>
    </w:p>
    <w:p>
      <w:pPr>
        <w:ind w:left="1520" w:hanging="336"/>
        <w:spacing w:after="0"/>
        <w:tabs>
          <w:tab w:leader="none" w:pos="152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12" w:lineRule="exact"/>
        <w:rPr>
          <w:rFonts w:ascii="Times New Roman" w:cs="Times New Roman" w:eastAsia="Times New Roman" w:hAnsi="Times New Roman"/>
          <w:sz w:val="17"/>
          <w:szCs w:val="17"/>
          <w:color w:val="auto"/>
        </w:rPr>
      </w:pPr>
    </w:p>
    <w:p>
      <w:pPr>
        <w:jc w:val="both"/>
        <w:ind w:left="1520" w:right="519" w:hanging="336"/>
        <w:spacing w:after="0" w:line="258" w:lineRule="auto"/>
        <w:tabs>
          <w:tab w:leader="none" w:pos="152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122555</wp:posOffset>
            </wp:positionV>
            <wp:extent cx="665035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jc w:val="both"/>
        <w:ind w:left="1520" w:right="519"/>
        <w:spacing w:after="0" w:line="263" w:lineRule="auto"/>
        <w:rPr>
          <w:sz w:val="20"/>
          <w:szCs w:val="20"/>
          <w:color w:val="auto"/>
        </w:rPr>
      </w:pPr>
      <w:r>
        <w:rPr>
          <w:rFonts w:ascii="Times New Roman" w:cs="Times New Roman" w:eastAsia="Times New Roman" w:hAnsi="Times New Roman"/>
          <w:sz w:val="17"/>
          <w:szCs w:val="17"/>
          <w:color w:val="auto"/>
        </w:rPr>
        <w:t>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7" w:lineRule="exact"/>
        <w:rPr>
          <w:sz w:val="20"/>
          <w:szCs w:val="20"/>
          <w:color w:val="auto"/>
        </w:rPr>
      </w:pPr>
    </w:p>
    <w:p>
      <w:pPr>
        <w:ind w:left="1520" w:right="539" w:hanging="336"/>
        <w:spacing w:after="0" w:line="285" w:lineRule="auto"/>
        <w:tabs>
          <w:tab w:leader="none" w:pos="1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45" w:lineRule="exact"/>
        <w:rPr>
          <w:sz w:val="20"/>
          <w:szCs w:val="20"/>
          <w:color w:val="auto"/>
        </w:rPr>
      </w:pPr>
    </w:p>
    <w:p>
      <w:pPr>
        <w:jc w:val="both"/>
        <w:ind w:left="1180" w:right="519"/>
        <w:spacing w:after="0" w:line="259"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(a)(1)(i), (a)(1)(ii) and (a)(1)(iii) do not apply if the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is on Form S-3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3" w:lineRule="exact"/>
        <w:rPr>
          <w:sz w:val="20"/>
          <w:szCs w:val="20"/>
          <w:color w:val="auto"/>
        </w:rPr>
      </w:pPr>
    </w:p>
    <w:p>
      <w:pPr>
        <w:jc w:val="both"/>
        <w:ind w:left="1180" w:right="519" w:hanging="338"/>
        <w:spacing w:after="0" w:line="266"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274" w:lineRule="exact"/>
        <w:rPr>
          <w:rFonts w:ascii="Times New Roman" w:cs="Times New Roman" w:eastAsia="Times New Roman" w:hAnsi="Times New Roman"/>
          <w:sz w:val="17"/>
          <w:szCs w:val="17"/>
          <w:color w:val="auto"/>
        </w:rPr>
      </w:pPr>
    </w:p>
    <w:p>
      <w:pPr>
        <w:ind w:left="1180" w:right="519" w:hanging="338"/>
        <w:spacing w:after="0" w:line="285"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7"/>
          <w:szCs w:val="17"/>
          <w:color w:val="auto"/>
        </w:rPr>
      </w:pPr>
    </w:p>
    <w:p>
      <w:pPr>
        <w:ind w:left="1180" w:hanging="338"/>
        <w:spacing w:after="0"/>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112" w:lineRule="exact"/>
        <w:rPr>
          <w:rFonts w:ascii="Times New Roman" w:cs="Times New Roman" w:eastAsia="Times New Roman" w:hAnsi="Times New Roman"/>
          <w:sz w:val="17"/>
          <w:szCs w:val="17"/>
          <w:color w:val="auto"/>
        </w:rPr>
      </w:pPr>
    </w:p>
    <w:p>
      <w:pPr>
        <w:jc w:val="both"/>
        <w:ind w:left="1520" w:right="519" w:hanging="336"/>
        <w:spacing w:after="0" w:line="268" w:lineRule="auto"/>
        <w:tabs>
          <w:tab w:leader="none" w:pos="15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3" w:lineRule="exact"/>
        <w:rPr>
          <w:rFonts w:ascii="Times New Roman" w:cs="Times New Roman" w:eastAsia="Times New Roman" w:hAnsi="Times New Roman"/>
          <w:sz w:val="17"/>
          <w:szCs w:val="17"/>
          <w:color w:val="auto"/>
        </w:rPr>
      </w:pPr>
    </w:p>
    <w:p>
      <w:pPr>
        <w:jc w:val="both"/>
        <w:ind w:left="1520" w:right="519" w:hanging="336"/>
        <w:spacing w:after="0" w:line="262" w:lineRule="auto"/>
        <w:tabs>
          <w:tab w:leader="none" w:pos="15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jc w:val="both"/>
        <w:ind w:left="1520" w:right="51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5" w:lineRule="exact"/>
        <w:rPr>
          <w:rFonts w:ascii="Times New Roman" w:cs="Times New Roman" w:eastAsia="Times New Roman" w:hAnsi="Times New Roman"/>
          <w:sz w:val="17"/>
          <w:szCs w:val="17"/>
          <w:color w:val="auto"/>
        </w:rPr>
      </w:pPr>
    </w:p>
    <w:p>
      <w:pPr>
        <w:jc w:val="both"/>
        <w:ind w:left="1180" w:right="519" w:hanging="338"/>
        <w:spacing w:after="0" w:line="257"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4" w:lineRule="exact"/>
        <w:rPr>
          <w:rFonts w:ascii="Times New Roman" w:cs="Times New Roman" w:eastAsia="Times New Roman" w:hAnsi="Times New Roman"/>
          <w:sz w:val="17"/>
          <w:szCs w:val="17"/>
          <w:color w:val="auto"/>
        </w:rPr>
      </w:pPr>
    </w:p>
    <w:p>
      <w:pPr>
        <w:ind w:left="1520" w:right="519" w:hanging="336"/>
        <w:spacing w:after="0" w:line="285" w:lineRule="auto"/>
        <w:tabs>
          <w:tab w:leader="none" w:pos="15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an undersigned Registrant relating to the offering required to be filed pursuant to Rule 424;</w:t>
      </w:r>
    </w:p>
    <w:p>
      <w:pPr>
        <w:spacing w:after="0" w:line="49" w:lineRule="exact"/>
        <w:rPr>
          <w:rFonts w:ascii="Times New Roman" w:cs="Times New Roman" w:eastAsia="Times New Roman" w:hAnsi="Times New Roman"/>
          <w:sz w:val="17"/>
          <w:szCs w:val="17"/>
          <w:color w:val="auto"/>
        </w:rPr>
      </w:pPr>
    </w:p>
    <w:p>
      <w:pPr>
        <w:ind w:left="1520" w:right="519" w:hanging="336"/>
        <w:spacing w:after="0" w:line="285" w:lineRule="auto"/>
        <w:tabs>
          <w:tab w:leader="none" w:pos="15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an undersigned Registrant or used or referred to by an undersigned Registrant;</w:t>
      </w:r>
    </w:p>
    <w:p>
      <w:pPr>
        <w:spacing w:after="0" w:line="49" w:lineRule="exact"/>
        <w:rPr>
          <w:rFonts w:ascii="Times New Roman" w:cs="Times New Roman" w:eastAsia="Times New Roman" w:hAnsi="Times New Roman"/>
          <w:sz w:val="17"/>
          <w:szCs w:val="17"/>
          <w:color w:val="auto"/>
        </w:rPr>
      </w:pPr>
    </w:p>
    <w:p>
      <w:pPr>
        <w:jc w:val="both"/>
        <w:ind w:left="1520" w:right="519" w:hanging="336"/>
        <w:spacing w:after="0" w:line="268" w:lineRule="auto"/>
        <w:tabs>
          <w:tab w:leader="none" w:pos="152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an undersigned Registrant or its securities provided by or on behalf of an undersigned Registrant; and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7" w:lineRule="exact"/>
        <w:rPr>
          <w:sz w:val="20"/>
          <w:szCs w:val="20"/>
          <w:color w:val="auto"/>
        </w:rPr>
      </w:pPr>
    </w:p>
    <w:p>
      <w:pPr>
        <w:ind w:left="1520" w:right="519" w:hanging="336"/>
        <w:spacing w:after="0" w:line="285" w:lineRule="auto"/>
        <w:tabs>
          <w:tab w:leader="none" w:pos="15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an undersigned Registrant to the purchaser.</w:t>
      </w:r>
    </w:p>
    <w:p>
      <w:pPr>
        <w:spacing w:after="0" w:line="49" w:lineRule="exact"/>
        <w:rPr>
          <w:rFonts w:ascii="Times New Roman" w:cs="Times New Roman" w:eastAsia="Times New Roman" w:hAnsi="Times New Roman"/>
          <w:sz w:val="17"/>
          <w:szCs w:val="17"/>
          <w:color w:val="auto"/>
        </w:rPr>
      </w:pPr>
    </w:p>
    <w:p>
      <w:pPr>
        <w:jc w:val="both"/>
        <w:ind w:left="1180" w:right="519" w:hanging="338"/>
        <w:spacing w:after="0" w:line="257" w:lineRule="auto"/>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 xml:space="preserve">bona fide </w:t>
      </w:r>
      <w:r>
        <w:rPr>
          <w:rFonts w:ascii="Times New Roman" w:cs="Times New Roman" w:eastAsia="Times New Roman" w:hAnsi="Times New Roman"/>
          <w:sz w:val="17"/>
          <w:szCs w:val="17"/>
          <w:color w:val="auto"/>
        </w:rPr>
        <w:t>offering thereof.</w:t>
      </w:r>
    </w:p>
    <w:p>
      <w:pPr>
        <w:spacing w:after="0" w:line="74" w:lineRule="exact"/>
        <w:rPr>
          <w:rFonts w:ascii="Times New Roman" w:cs="Times New Roman" w:eastAsia="Times New Roman" w:hAnsi="Times New Roman"/>
          <w:sz w:val="17"/>
          <w:szCs w:val="17"/>
          <w:color w:val="auto"/>
        </w:rPr>
      </w:pPr>
    </w:p>
    <w:p>
      <w:pPr>
        <w:jc w:val="both"/>
        <w:ind w:left="1180" w:right="519" w:hanging="338"/>
        <w:spacing w:after="0" w:line="255" w:lineRule="auto"/>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6" w:lineRule="exact"/>
        <w:rPr>
          <w:rFonts w:ascii="Times New Roman" w:cs="Times New Roman" w:eastAsia="Times New Roman" w:hAnsi="Times New Roman"/>
          <w:sz w:val="17"/>
          <w:szCs w:val="17"/>
          <w:color w:val="auto"/>
        </w:rPr>
      </w:pPr>
    </w:p>
    <w:p>
      <w:pPr>
        <w:jc w:val="both"/>
        <w:ind w:left="1180" w:right="519" w:hanging="338"/>
        <w:spacing w:after="0" w:line="268" w:lineRule="auto"/>
        <w:tabs>
          <w:tab w:leader="none" w:pos="11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SEC under section 305(b)(2) of the Act.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665035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6650355"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9" w:name="page30"/>
    <w:bookmarkEnd w:id="29"/>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7" w:lineRule="exact"/>
        <w:rPr>
          <w:sz w:val="20"/>
          <w:szCs w:val="20"/>
          <w:color w:val="auto"/>
        </w:rPr>
      </w:pPr>
    </w:p>
    <w:p>
      <w:pPr>
        <w:jc w:val="both"/>
        <w:ind w:left="1240" w:right="1240" w:firstLine="342"/>
        <w:spacing w:after="0" w:line="26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day of November, 2026.</w:t>
      </w:r>
    </w:p>
    <w:p>
      <w:pPr>
        <w:spacing w:after="0" w:line="6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SHOPIFY INC.</w:t>
      </w:r>
    </w:p>
    <w:p>
      <w:pPr>
        <w:spacing w:after="0" w:line="267" w:lineRule="exact"/>
        <w:rPr>
          <w:sz w:val="20"/>
          <w:szCs w:val="20"/>
          <w:color w:val="auto"/>
        </w:rPr>
      </w:pPr>
    </w:p>
    <w:p>
      <w:pPr>
        <w:ind w:left="5100"/>
        <w:spacing w:after="0"/>
        <w:tabs>
          <w:tab w:leader="none" w:pos="5540" w:val="left"/>
        </w:tabs>
        <w:rPr>
          <w:sz w:val="20"/>
          <w:szCs w:val="20"/>
          <w:color w:val="auto"/>
        </w:rPr>
      </w:pPr>
      <w:r>
        <w:rPr>
          <w:rFonts w:ascii="Times New Roman" w:cs="Times New Roman" w:eastAsia="Times New Roman" w:hAnsi="Times New Roman"/>
          <w:sz w:val="17"/>
          <w:szCs w:val="17"/>
          <w:color w:val="auto"/>
        </w:rPr>
        <w:t>By:</w:t>
        <w:tab/>
        <w:t>/s/ Jeff Hoffmeister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33020</wp:posOffset>
            </wp:positionV>
            <wp:extent cx="233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5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Jeff Hoffmeister</w:t>
      </w:r>
    </w:p>
    <w:p>
      <w:pPr>
        <w:spacing w:after="0" w:line="3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7" w:lineRule="exact"/>
        <w:rPr>
          <w:sz w:val="20"/>
          <w:szCs w:val="20"/>
          <w:color w:val="auto"/>
        </w:rPr>
      </w:pPr>
    </w:p>
    <w:p>
      <w:pPr>
        <w:jc w:val="both"/>
        <w:ind w:left="1240" w:right="1240" w:firstLine="342"/>
        <w:spacing w:after="0" w:line="255" w:lineRule="auto"/>
        <w:rPr>
          <w:sz w:val="20"/>
          <w:szCs w:val="20"/>
          <w:color w:val="auto"/>
        </w:rPr>
      </w:pPr>
      <w:r>
        <w:rPr>
          <w:rFonts w:ascii="Times New Roman" w:cs="Times New Roman" w:eastAsia="Times New Roman" w:hAnsi="Times New Roman"/>
          <w:sz w:val="17"/>
          <w:szCs w:val="17"/>
          <w:color w:val="auto"/>
        </w:rPr>
        <w:t>KNOW ALL PERSONS BY THESE PRESENTS, that each officer or director of Shopify Inc. whose signature appears below constitutes and appoints Tobias Lütke, Jeff Hoffmeister, Jean Niehaus and Michael L. Johnson, and each of them, with full power to act without the other, his or her true and lawful attorneys-in-fact and agents, with full and several power of substitution and resubstitution, for him or her and in his or her name, place and stead, in any and all capacities, to sign any and all amendments, including post effective amendments, and supplements to this Registration Statement on Form S-3, and to file the same, with all exhibits thereto, and other documents or instruments necessary or incidental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they or he or she might or could do in person, hereby ratifying and confirming all that said attorneys-in-fact and agents or his or her or their substitute or substitutes, may lawfully do or cause to be done by virtue hereof.</w:t>
      </w:r>
    </w:p>
    <w:p>
      <w:pPr>
        <w:spacing w:after="0" w:line="77" w:lineRule="exact"/>
        <w:rPr>
          <w:sz w:val="20"/>
          <w:szCs w:val="20"/>
          <w:color w:val="auto"/>
        </w:rPr>
      </w:pPr>
    </w:p>
    <w:p>
      <w:pPr>
        <w:jc w:val="both"/>
        <w:ind w:left="1240" w:right="1240" w:firstLine="342"/>
        <w:spacing w:after="0" w:line="28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40" w:type="dxa"/>
            <w:vAlign w:val="bottom"/>
          </w:tcPr>
          <w:p>
            <w:pPr>
              <w:spacing w:after="0"/>
              <w:rPr>
                <w:sz w:val="15"/>
                <w:szCs w:val="15"/>
                <w:color w:val="auto"/>
              </w:rPr>
            </w:pPr>
          </w:p>
        </w:tc>
        <w:tc>
          <w:tcPr>
            <w:tcW w:w="22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5"/>
                <w:szCs w:val="15"/>
                <w:color w:val="auto"/>
              </w:rPr>
            </w:pPr>
          </w:p>
        </w:tc>
        <w:tc>
          <w:tcPr>
            <w:tcW w:w="37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5"/>
                <w:szCs w:val="15"/>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1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 Tobias Lütke</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4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of Directors</w:t>
            </w: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1240" w:type="dxa"/>
            <w:vAlign w:val="bottom"/>
          </w:tcPr>
          <w:p>
            <w:pPr>
              <w:spacing w:after="0"/>
              <w:rPr>
                <w:sz w:val="12"/>
                <w:szCs w:val="12"/>
                <w:color w:val="auto"/>
              </w:rPr>
            </w:pPr>
          </w:p>
        </w:tc>
        <w:tc>
          <w:tcPr>
            <w:tcW w:w="2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Tobias Lütke</w:t>
            </w:r>
          </w:p>
        </w:tc>
        <w:tc>
          <w:tcPr>
            <w:tcW w:w="20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1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 Jeff Hoffmeister</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4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2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Jeff Hoffmeister</w:t>
            </w:r>
          </w:p>
        </w:tc>
        <w:tc>
          <w:tcPr>
            <w:tcW w:w="2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24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1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 Darryl Arvai</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Corporate Controller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40" w:type="dxa"/>
            <w:vAlign w:val="bottom"/>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2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Darryl Arvai</w:t>
            </w:r>
          </w:p>
        </w:tc>
        <w:tc>
          <w:tcPr>
            <w:tcW w:w="20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24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2"/>
        </w:trPr>
        <w:tc>
          <w:tcPr>
            <w:tcW w:w="1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 Joe Natale</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Joe Natale</w:t>
            </w:r>
          </w:p>
        </w:tc>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 David Heinemeier Hansson</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David Heinemeier Hansson</w:t>
            </w:r>
          </w:p>
        </w:tc>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 Jeremy Levine</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Jeremy Levine</w:t>
            </w:r>
          </w:p>
        </w:tc>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2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 Lulu Cheng Meservey</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Lulu Cheng Meservey</w:t>
            </w:r>
          </w:p>
        </w:tc>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II-5</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00" w:top="256" w:right="71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9"/>
        </w:trPr>
        <w:tc>
          <w:tcPr>
            <w:tcW w:w="1240" w:type="dxa"/>
            <w:vAlign w:val="bottom"/>
          </w:tcPr>
          <w:p>
            <w:pPr>
              <w:spacing w:after="0"/>
              <w:rPr>
                <w:sz w:val="24"/>
                <w:szCs w:val="24"/>
                <w:color w:val="auto"/>
              </w:rPr>
            </w:pPr>
          </w:p>
        </w:tc>
        <w:tc>
          <w:tcPr>
            <w:tcW w:w="22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24"/>
                <w:szCs w:val="24"/>
                <w:color w:val="auto"/>
              </w:rPr>
            </w:pPr>
          </w:p>
        </w:tc>
        <w:tc>
          <w:tcPr>
            <w:tcW w:w="37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24"/>
                <w:szCs w:val="24"/>
                <w:color w:val="auto"/>
              </w:rPr>
            </w:pPr>
          </w:p>
        </w:tc>
        <w:tc>
          <w:tcPr>
            <w:tcW w:w="16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40" w:type="dxa"/>
            <w:vAlign w:val="bottom"/>
          </w:tcPr>
          <w:p>
            <w:pPr>
              <w:spacing w:after="0"/>
              <w:rPr>
                <w:sz w:val="24"/>
                <w:szCs w:val="24"/>
                <w:color w:val="auto"/>
              </w:rPr>
            </w:pPr>
          </w:p>
        </w:tc>
      </w:tr>
      <w:tr>
        <w:trPr>
          <w:trHeight w:val="24"/>
        </w:trPr>
        <w:tc>
          <w:tcPr>
            <w:tcW w:w="1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456"/>
        </w:trPr>
        <w:tc>
          <w:tcPr>
            <w:tcW w:w="12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Kevin Scott</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r>
      <w:tr>
        <w:trPr>
          <w:trHeight w:val="25"/>
        </w:trPr>
        <w:tc>
          <w:tcPr>
            <w:tcW w:w="1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124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Scott</w:t>
            </w:r>
          </w:p>
        </w:tc>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62"/>
        </w:trPr>
        <w:tc>
          <w:tcPr>
            <w:tcW w:w="12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Toby Shannan</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r>
      <w:tr>
        <w:trPr>
          <w:trHeight w:val="25"/>
        </w:trPr>
        <w:tc>
          <w:tcPr>
            <w:tcW w:w="1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124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Toby Shannan</w:t>
            </w:r>
          </w:p>
        </w:tc>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62"/>
        </w:trPr>
        <w:tc>
          <w:tcPr>
            <w:tcW w:w="12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Fidji Simo</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r>
      <w:tr>
        <w:trPr>
          <w:trHeight w:val="25"/>
        </w:trPr>
        <w:tc>
          <w:tcPr>
            <w:tcW w:w="1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124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Fidji Simo</w:t>
            </w:r>
          </w:p>
        </w:tc>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62"/>
        </w:trPr>
        <w:tc>
          <w:tcPr>
            <w:tcW w:w="12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Jean DeWitt Grosser</w:t>
            </w:r>
          </w:p>
        </w:tc>
        <w:tc>
          <w:tcPr>
            <w:tcW w:w="2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 3, 2026</w:t>
            </w:r>
          </w:p>
        </w:tc>
        <w:tc>
          <w:tcPr>
            <w:tcW w:w="1240" w:type="dxa"/>
            <w:vAlign w:val="bottom"/>
          </w:tcPr>
          <w:p>
            <w:pPr>
              <w:spacing w:after="0"/>
              <w:rPr>
                <w:sz w:val="24"/>
                <w:szCs w:val="24"/>
                <w:color w:val="auto"/>
              </w:rPr>
            </w:pPr>
          </w:p>
        </w:tc>
      </w:tr>
      <w:tr>
        <w:trPr>
          <w:trHeight w:val="25"/>
        </w:trPr>
        <w:tc>
          <w:tcPr>
            <w:tcW w:w="1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124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Jean DeWitt Grosser</w:t>
            </w:r>
          </w:p>
        </w:tc>
        <w:tc>
          <w:tcPr>
            <w:tcW w:w="2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62"/>
        </w:trPr>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II-6</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bl>
    <w:p>
      <w:pPr>
        <w:sectPr>
          <w:pgSz w:w="11900" w:h="16838" w:orient="portrait"/>
          <w:cols w:equalWidth="0" w:num="1">
            <w:col w:w="10480"/>
          </w:cols>
          <w:pgMar w:left="700" w:top="248" w:right="719" w:bottom="1440" w:gutter="0" w:footer="0" w:header="0"/>
        </w:sectPr>
      </w:pPr>
    </w:p>
    <w:bookmarkStart w:id="31" w:name="page32"/>
    <w:bookmarkEnd w:id="31"/>
    <w:p>
      <w:pPr>
        <w:ind w:left="5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AUTHORIZED REPRESENTATIVE</w:t>
      </w:r>
    </w:p>
    <w:p>
      <w:pPr>
        <w:spacing w:after="0" w:line="117" w:lineRule="exact"/>
        <w:rPr>
          <w:sz w:val="20"/>
          <w:szCs w:val="20"/>
          <w:color w:val="auto"/>
        </w:rPr>
      </w:pPr>
    </w:p>
    <w:p>
      <w:pPr>
        <w:jc w:val="both"/>
        <w:ind w:left="500" w:right="519" w:firstLine="342"/>
        <w:spacing w:after="0" w:line="213" w:lineRule="auto"/>
        <w:rPr>
          <w:sz w:val="20"/>
          <w:szCs w:val="20"/>
          <w:color w:val="auto"/>
        </w:rPr>
      </w:pPr>
      <w:r>
        <w:rPr>
          <w:rFonts w:ascii="Times New Roman" w:cs="Times New Roman" w:eastAsia="Times New Roman" w:hAnsi="Times New Roman"/>
          <w:sz w:val="17"/>
          <w:szCs w:val="17"/>
          <w:color w:val="auto"/>
        </w:rPr>
        <w:t>Pursuant to the requirements of Section 6(a) of the Securities Act, the undersigned has signed this Registration Statement, solely in the capacity of the duly authorized representative of Shopify Inc. in the United States, on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day of November, 2026.</w:t>
      </w:r>
    </w:p>
    <w:p>
      <w:pPr>
        <w:spacing w:after="0" w:line="2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SHOPIFY HOLDINGS (USA) 2 INC.</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(Authorized U.S. Representative)</w:t>
      </w:r>
    </w:p>
    <w:p>
      <w:pPr>
        <w:spacing w:after="0" w:line="249"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7"/>
          <w:szCs w:val="17"/>
          <w:color w:val="auto"/>
        </w:rPr>
        <w:t>By:</w:t>
        <w:tab/>
        <w:t>/s/ Douglas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33020</wp:posOffset>
            </wp:positionV>
            <wp:extent cx="23387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Douglas Lambert</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Director</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II-7</w:t>
      </w:r>
    </w:p>
    <w:p>
      <w:pPr>
        <w:sectPr>
          <w:pgSz w:w="11900" w:h="16838" w:orient="portrait"/>
          <w:cols w:equalWidth="0" w:num="1">
            <w:col w:w="9019"/>
          </w:cols>
          <w:pgMar w:left="1440" w:top="256"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93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1515745" cy="244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1515745" cy="24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Stikeman Elliott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199 Bay Street</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Suite 5300, Commerce Court West</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Toronto, ON M5L 1B9</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Tel: 416-869-5500 Fax: 416-947-0866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Shopify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151 O’Connor Street, Ground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Ottawa, Ontario K2P 2L8</w:t>
      </w:r>
    </w:p>
    <w:p>
      <w:pPr>
        <w:sectPr>
          <w:pgSz w:w="11900" w:h="16838" w:orient="portrait"/>
          <w:cols w:equalWidth="0" w:num="1">
            <w:col w:w="11240"/>
          </w:cols>
          <w:pgMar w:left="320" w:top="260"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Shopify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S-3</w:t>
      </w:r>
    </w:p>
    <w:p>
      <w:pPr>
        <w:spacing w:after="0" w:line="200" w:lineRule="exact"/>
        <w:rPr>
          <w:sz w:val="20"/>
          <w:szCs w:val="20"/>
          <w:color w:val="auto"/>
        </w:rPr>
      </w:pPr>
    </w:p>
    <w:p>
      <w:pPr>
        <w:sectPr>
          <w:pgSz w:w="11900" w:h="16838" w:orient="portrait"/>
          <w:cols w:equalWidth="0" w:num="2">
            <w:col w:w="240" w:space="380"/>
            <w:col w:w="10620"/>
          </w:cols>
          <w:pgMar w:left="320" w:top="260"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Sirs/Mesdames:</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acted as Canadian counsel to Shopify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a corporation governed by the </w:t>
      </w:r>
      <w:r>
        <w:rPr>
          <w:rFonts w:ascii="Times New Roman" w:cs="Times New Roman" w:eastAsia="Times New Roman" w:hAnsi="Times New Roman"/>
          <w:sz w:val="17"/>
          <w:szCs w:val="17"/>
          <w:i w:val="1"/>
          <w:iCs w:val="1"/>
          <w:color w:val="auto"/>
        </w:rPr>
        <w:t>Canada Business Corporations Act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CBCA</w:t>
      </w:r>
      <w:r>
        <w:rPr>
          <w:rFonts w:ascii="Times New Roman" w:cs="Times New Roman" w:eastAsia="Times New Roman" w:hAnsi="Times New Roman"/>
          <w:sz w:val="17"/>
          <w:szCs w:val="17"/>
          <w:color w:val="auto"/>
        </w:rPr>
        <w:t>”), in connection with the Registration Statement on Form S-3 (excluding the documents incorporated by reference therein,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filed on November 3, 2026, by the Company with the U.S.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under the U.S.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relating to the registration by the Company for its issue and sale from time to time of, Class A subordinate voting shares and preferred shares, issuable in series, in each case, in the capital of the Company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in each case in the manner described in the prospectus contained in the Registration Statement and to be set forth in any supplement to such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 expressed herein is limited to the laws of the Province of Ontario and the federal laws of Canada applicable therein as in effect on the date hereof.</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examined the Registration Statement and have considered such questions of law, examined originals or copies of such statutes, regulations, documents, records, certificates and instruments and conducted such other examinations as we have considered necessary for the purposes of the opinion set forth below. In such examinations, we have assumed the legal capacity of all individuals, the genuineness of all signatures, the authenticity of all documents submitted to us as originals and the conformity to authentic original documents of all documents submitted to us as certified, conformed, photostatic or facsimile copies. As to any facts material to the opinion expressed herein which were not independently established or verified, we have, with your consent, relied upon oral or written statements and representations of officers and other representatives of the Company. We have not undertaken any independent investigation to verify the accuracy or completeness of any of the foregoing or following assumptions.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opinion, we have also assumed:</w:t>
      </w:r>
    </w:p>
    <w:p>
      <w:pPr>
        <w:spacing w:after="0" w:line="215" w:lineRule="exact"/>
        <w:rPr>
          <w:sz w:val="20"/>
          <w:szCs w:val="20"/>
          <w:color w:val="auto"/>
        </w:rPr>
      </w:pPr>
    </w:p>
    <w:p>
      <w:pPr>
        <w:ind w:left="620" w:hanging="309"/>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the issuance of any Securities, the Company will validly exist and be in good standing under the CBCA;</w:t>
      </w:r>
    </w:p>
    <w:p>
      <w:pPr>
        <w:spacing w:after="0" w:line="26" w:lineRule="exact"/>
        <w:rPr>
          <w:rFonts w:ascii="Times New Roman" w:cs="Times New Roman" w:eastAsia="Times New Roman" w:hAnsi="Times New Roman"/>
          <w:sz w:val="17"/>
          <w:szCs w:val="17"/>
          <w:color w:val="auto"/>
        </w:rPr>
      </w:pPr>
    </w:p>
    <w:p>
      <w:pPr>
        <w:jc w:val="both"/>
        <w:ind w:left="620" w:hanging="309"/>
        <w:spacing w:after="0" w:line="252"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Securities are to be issued or sold pursuant to any purchase, underwriting or other agreement, indenture or instrument relating to the creation, issuance, sale or delivery of the Securities (any such agreement, an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such Agreement will have been duly authorized, executed and delivered by the Company and the other parties thereto;</w:t>
      </w:r>
    </w:p>
    <w:p>
      <w:pPr>
        <w:ind w:left="620" w:hanging="309"/>
        <w:spacing w:after="0" w:line="264"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appropriate prospectus supplement with respect to the offered Securities will have been prepared and filed in compliance with the Act and the applicable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71393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33" w:name="page34"/>
    <w:bookmarkEnd w:id="33"/>
    <w:p>
      <w:pPr>
        <w:ind w:left="620" w:hanging="309"/>
        <w:spacing w:after="0" w:line="262"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Securities will be offered, issued and sold in compliance with applicable securities laws and in the manner stated in the Registration Statement, the prospectus contained therein, any necessary post-effective amendments to the Registration Statement, and the appropriate prospectus supplement;</w:t>
      </w:r>
    </w:p>
    <w:p>
      <w:pPr>
        <w:ind w:left="620" w:hanging="309"/>
        <w:spacing w:after="0" w:line="252"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necessary corporate action will have been taken by the Company to duly authorize, create, sell, deliver and issue the Securities, and to duly authorize the terms of the offering of the Securities and related matters;</w:t>
      </w:r>
    </w:p>
    <w:p>
      <w:pPr>
        <w:jc w:val="both"/>
        <w:ind w:left="620" w:hanging="309"/>
        <w:spacing w:after="0" w:line="252"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execution and delivery of the Securities (i) do not result in breaches of, or defaults under, agreements or instruments to which the Company is bound or violations of applicable statutes, rules, regulations or court or governmental orders, and (ii) comply with any applicable requirement or restriction imposed by any court or governmental body having jurisdiction over the Company;</w:t>
      </w:r>
    </w:p>
    <w:p>
      <w:pPr>
        <w:ind w:left="620" w:hanging="309"/>
        <w:spacing w:after="0" w:line="264"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prior to the time of the delivery of any Securities, the Registration Statement, including all necessary post-effective amendments, will remain effective under the Act and such effectiveness will not have been terminated or rescinded.</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Based and relying upon and subject to the foregoing and the qualifications, assumptions and limitations set forth herein, we are of the opinion that the Securities, when issued, sold and paid for in full in the manner referred to in the Registration Statement, the prospectus contained therein or any supplement to such prospectus relating thereto and any applicable Agreement, will be validly issued and outstanding as fully paid and non-assessable shares in the capital of the Company.</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no responsibility or obligation to: (i) update this opinion, (ii) take into account or inform the addressee or any other person of any changes in law, facts or other developments subsequent to the date hereof that do or may affect the opinion we express, or (iii) advise the addressee or any other person of any other change in any matter addressed in this opinion. Nor do we have any responsibility or obligation to consider the applicability or correctness of this opinion to any person other than the addressee.</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opinion is addressed to the Company in connection with the filing of the Registration Statement and may not be relied upon by any other person without our prior written consent. Notwithstanding the foregoing, we hereby consent to the filing of this opinion letter as Exhibit 5.1 to the Registration Statement and to the use of our name under the caption “Legal Matters” in the prospectus included in the Registration Statement. In giving such consent, we do not thereby admit that we are within the category of persons whose consent is required under Section 7 of the Act or the rules and regulations of the Commission promulgated thereunder.</w:t>
      </w:r>
    </w:p>
    <w:p>
      <w:pPr>
        <w:spacing w:after="0" w:line="17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Yours very truly,</w:t>
      </w:r>
    </w:p>
    <w:p>
      <w:pPr>
        <w:spacing w:after="0" w:line="2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Stikeman Elliott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206375</wp:posOffset>
            </wp:positionV>
            <wp:extent cx="71393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93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5.2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w:t>
      </w:r>
      <w:r>
        <w:rPr>
          <w:rFonts w:ascii="Times New Roman" w:cs="Times New Roman" w:eastAsia="Times New Roman" w:hAnsi="Times New Roman"/>
          <w:sz w:val="16"/>
          <w:szCs w:val="16"/>
          <w:color w:val="auto"/>
        </w:rPr>
        <w:t>kadden</w:t>
      </w:r>
      <w:r>
        <w:rPr>
          <w:rFonts w:ascii="Times New Roman" w:cs="Times New Roman" w:eastAsia="Times New Roman" w:hAnsi="Times New Roman"/>
          <w:sz w:val="24"/>
          <w:szCs w:val="24"/>
          <w:color w:val="auto"/>
        </w:rPr>
        <w:t>, A</w:t>
      </w:r>
      <w:r>
        <w:rPr>
          <w:rFonts w:ascii="Times New Roman" w:cs="Times New Roman" w:eastAsia="Times New Roman" w:hAnsi="Times New Roman"/>
          <w:sz w:val="16"/>
          <w:szCs w:val="16"/>
          <w:color w:val="auto"/>
        </w:rPr>
        <w:t>rps</w:t>
      </w:r>
      <w:r>
        <w:rPr>
          <w:rFonts w:ascii="Times New Roman" w:cs="Times New Roman" w:eastAsia="Times New Roman" w:hAnsi="Times New Roman"/>
          <w:sz w:val="24"/>
          <w:szCs w:val="24"/>
          <w:color w:val="auto"/>
        </w:rPr>
        <w:t>, S</w:t>
      </w:r>
      <w:r>
        <w:rPr>
          <w:rFonts w:ascii="Times New Roman" w:cs="Times New Roman" w:eastAsia="Times New Roman" w:hAnsi="Times New Roman"/>
          <w:sz w:val="16"/>
          <w:szCs w:val="16"/>
          <w:color w:val="auto"/>
        </w:rPr>
        <w:t>late</w:t>
      </w:r>
      <w:r>
        <w:rPr>
          <w:rFonts w:ascii="Times New Roman" w:cs="Times New Roman" w:eastAsia="Times New Roman" w:hAnsi="Times New Roman"/>
          <w:sz w:val="24"/>
          <w:szCs w:val="24"/>
          <w:color w:val="auto"/>
        </w:rPr>
        <w:t>, M</w:t>
      </w:r>
      <w:r>
        <w:rPr>
          <w:rFonts w:ascii="Times New Roman" w:cs="Times New Roman" w:eastAsia="Times New Roman" w:hAnsi="Times New Roman"/>
          <w:sz w:val="16"/>
          <w:szCs w:val="16"/>
          <w:color w:val="auto"/>
        </w:rPr>
        <w:t>eagher</w:t>
      </w:r>
      <w:r>
        <w:rPr>
          <w:rFonts w:ascii="Times New Roman" w:cs="Times New Roman" w:eastAsia="Times New Roman" w:hAnsi="Times New Roman"/>
          <w:sz w:val="24"/>
          <w:szCs w:val="24"/>
          <w:color w:val="auto"/>
        </w:rPr>
        <w:t xml:space="preserve"> &amp; F</w:t>
      </w:r>
      <w:r>
        <w:rPr>
          <w:rFonts w:ascii="Times New Roman" w:cs="Times New Roman" w:eastAsia="Times New Roman" w:hAnsi="Times New Roman"/>
          <w:sz w:val="16"/>
          <w:szCs w:val="16"/>
          <w:color w:val="auto"/>
        </w:rPr>
        <w:t>lom llp</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ONE MANHATTAN WEST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10001</w:t>
      </w:r>
    </w:p>
    <w:p>
      <w:pPr>
        <w:spacing w:after="0" w:line="154" w:lineRule="exact"/>
        <w:rPr>
          <w:sz w:val="20"/>
          <w:szCs w:val="20"/>
          <w:color w:val="auto"/>
        </w:rPr>
      </w:pPr>
    </w:p>
    <w:tbl>
      <w:tblPr>
        <w:tblLayout w:type="fixed"/>
        <w:tblInd w:w="4880" w:type="dxa"/>
        <w:tblCellMar>
          <w:top w:w="0" w:type="dxa"/>
          <w:left w:w="0" w:type="dxa"/>
          <w:bottom w:w="0" w:type="dxa"/>
          <w:right w:w="0" w:type="dxa"/>
        </w:tblCellMar>
      </w:tblPr>
      <w:tr>
        <w:trPr>
          <w:trHeight w:val="195"/>
        </w:trPr>
        <w:tc>
          <w:tcPr>
            <w:tcW w:w="258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TEL: (212) 735-3000</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FIRM/AFFILIATE OFFICES</w:t>
            </w:r>
          </w:p>
        </w:tc>
        <w:tc>
          <w:tcPr>
            <w:tcW w:w="0" w:type="dxa"/>
            <w:vAlign w:val="bottom"/>
          </w:tcPr>
          <w:p>
            <w:pPr>
              <w:spacing w:after="0"/>
              <w:rPr>
                <w:sz w:val="1"/>
                <w:szCs w:val="1"/>
                <w:color w:val="auto"/>
              </w:rPr>
            </w:pPr>
          </w:p>
        </w:tc>
      </w:tr>
      <w:tr>
        <w:trPr>
          <w:trHeight w:val="127"/>
        </w:trPr>
        <w:tc>
          <w:tcPr>
            <w:tcW w:w="2580" w:type="dxa"/>
            <w:vAlign w:val="bottom"/>
            <w:vMerge w:val="restart"/>
          </w:tcPr>
          <w:p>
            <w:pPr>
              <w:jc w:val="center"/>
              <w:ind w:right="1014"/>
              <w:spacing w:after="0"/>
              <w:rPr>
                <w:sz w:val="20"/>
                <w:szCs w:val="20"/>
                <w:color w:val="auto"/>
              </w:rPr>
            </w:pPr>
            <w:r>
              <w:rPr>
                <w:rFonts w:ascii="Times New Roman" w:cs="Times New Roman" w:eastAsia="Times New Roman" w:hAnsi="Times New Roman"/>
                <w:sz w:val="17"/>
                <w:szCs w:val="17"/>
                <w:color w:val="auto"/>
                <w:w w:val="99"/>
              </w:rPr>
              <w:t>FAX: (212) 735-2000</w:t>
            </w:r>
          </w:p>
        </w:tc>
        <w:tc>
          <w:tcPr>
            <w:tcW w:w="37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36"/>
        </w:trPr>
        <w:tc>
          <w:tcPr>
            <w:tcW w:w="2580" w:type="dxa"/>
            <w:vAlign w:val="bottom"/>
            <w:vMerge w:val="continue"/>
          </w:tcPr>
          <w:p>
            <w:pPr>
              <w:spacing w:after="0"/>
              <w:rPr>
                <w:sz w:val="11"/>
                <w:szCs w:val="11"/>
                <w:color w:val="auto"/>
              </w:rPr>
            </w:pPr>
          </w:p>
        </w:tc>
        <w:tc>
          <w:tcPr>
            <w:tcW w:w="37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6"/>
              </w:rPr>
              <w:t>BOSTON</w:t>
            </w:r>
          </w:p>
        </w:tc>
        <w:tc>
          <w:tcPr>
            <w:tcW w:w="0" w:type="dxa"/>
            <w:vAlign w:val="bottom"/>
          </w:tcPr>
          <w:p>
            <w:pPr>
              <w:spacing w:after="0"/>
              <w:rPr>
                <w:sz w:val="1"/>
                <w:szCs w:val="1"/>
                <w:color w:val="auto"/>
              </w:rPr>
            </w:pPr>
          </w:p>
        </w:tc>
      </w:tr>
      <w:tr>
        <w:trPr>
          <w:trHeight w:val="167"/>
        </w:trPr>
        <w:tc>
          <w:tcPr>
            <w:tcW w:w="2580" w:type="dxa"/>
            <w:vAlign w:val="bottom"/>
          </w:tcPr>
          <w:p>
            <w:pPr>
              <w:jc w:val="center"/>
              <w:ind w:right="994"/>
              <w:spacing w:after="0" w:line="167" w:lineRule="exact"/>
              <w:rPr>
                <w:sz w:val="20"/>
                <w:szCs w:val="20"/>
                <w:color w:val="auto"/>
              </w:rPr>
            </w:pPr>
            <w:r>
              <w:rPr>
                <w:rFonts w:ascii="Times New Roman" w:cs="Times New Roman" w:eastAsia="Times New Roman" w:hAnsi="Times New Roman"/>
                <w:sz w:val="17"/>
                <w:szCs w:val="17"/>
                <w:color w:val="auto"/>
                <w:w w:val="99"/>
              </w:rPr>
              <w:t>www.skadden.com</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CHICAGO</w:t>
            </w: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3780" w:type="dxa"/>
            <w:vAlign w:val="bottom"/>
          </w:tcPr>
          <w:p>
            <w:pPr>
              <w:jc w:val="center"/>
              <w:spacing w:after="0" w:line="121" w:lineRule="exact"/>
              <w:rPr>
                <w:sz w:val="20"/>
                <w:szCs w:val="20"/>
                <w:color w:val="auto"/>
              </w:rPr>
            </w:pPr>
            <w:r>
              <w:rPr>
                <w:rFonts w:ascii="Times New Roman" w:cs="Times New Roman" w:eastAsia="Times New Roman" w:hAnsi="Times New Roman"/>
                <w:sz w:val="14"/>
                <w:szCs w:val="14"/>
                <w:color w:val="auto"/>
                <w:w w:val="98"/>
              </w:rPr>
              <w:t>HOUSTON</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LOS ANGELES</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PALO ALTO</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WASHINGTON, D.C.</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WILMINGTON</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ABU DHABI</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BEIJING</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BRUSSELS</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FRANKFURT</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HONG KONG</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8"/>
              </w:rPr>
              <w:t>LONDON</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MUNICH</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5"/>
              </w:rPr>
              <w:t>PARIS</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4"/>
              </w:rPr>
              <w:t>SÃO PAULO</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SEOUL</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SINGAPORE</w:t>
            </w: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3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3"/>
              </w:rPr>
              <w:t>TOKYO</w:t>
            </w: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TORONTO</w:t>
            </w:r>
          </w:p>
        </w:tc>
        <w:tc>
          <w:tcPr>
            <w:tcW w:w="0" w:type="dxa"/>
            <w:vAlign w:val="bottom"/>
          </w:tcPr>
          <w:p>
            <w:pPr>
              <w:spacing w:after="0"/>
              <w:rPr>
                <w:sz w:val="1"/>
                <w:szCs w:val="1"/>
                <w:color w:val="auto"/>
              </w:rPr>
            </w:pPr>
          </w:p>
        </w:tc>
      </w:tr>
      <w:tr>
        <w:trPr>
          <w:trHeight w:val="602"/>
        </w:trPr>
        <w:tc>
          <w:tcPr>
            <w:tcW w:w="2580" w:type="dxa"/>
            <w:vAlign w:val="bottom"/>
          </w:tcPr>
          <w:p>
            <w:pPr>
              <w:spacing w:after="0"/>
              <w:rPr>
                <w:sz w:val="24"/>
                <w:szCs w:val="24"/>
                <w:color w:val="auto"/>
              </w:rPr>
            </w:pPr>
          </w:p>
        </w:tc>
        <w:tc>
          <w:tcPr>
            <w:tcW w:w="378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9"/>
              </w:rPr>
              <w:t>November 3, 2026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Shopify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151 O’Connor Street, Ground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Ottawa, Ontario K2P 2L8</w:t>
      </w:r>
    </w:p>
    <w:p>
      <w:pPr>
        <w:spacing w:after="0" w:line="198" w:lineRule="exact"/>
        <w:rPr>
          <w:sz w:val="20"/>
          <w:szCs w:val="20"/>
          <w:color w:val="auto"/>
        </w:rPr>
      </w:pPr>
    </w:p>
    <w:tbl>
      <w:tblPr>
        <w:tblLayout w:type="fixed"/>
        <w:tblInd w:w="2460" w:type="dxa"/>
        <w:tblCellMar>
          <w:top w:w="0" w:type="dxa"/>
          <w:left w:w="0" w:type="dxa"/>
          <w:bottom w:w="0" w:type="dxa"/>
          <w:right w:w="0" w:type="dxa"/>
        </w:tblCellMar>
      </w:tblPr>
      <w:tr>
        <w:trPr>
          <w:trHeight w:val="205"/>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Re:</w:t>
            </w:r>
          </w:p>
        </w:tc>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Shopify Inc.</w:t>
            </w:r>
          </w:p>
        </w:tc>
      </w:tr>
      <w:tr>
        <w:trPr>
          <w:trHeight w:val="183"/>
        </w:trPr>
        <w:tc>
          <w:tcPr>
            <w:tcW w:w="620" w:type="dxa"/>
            <w:vAlign w:val="bottom"/>
          </w:tcPr>
          <w:p>
            <w:pPr>
              <w:spacing w:after="0"/>
              <w:rPr>
                <w:sz w:val="15"/>
                <w:szCs w:val="15"/>
                <w:color w:val="auto"/>
              </w:rPr>
            </w:pPr>
          </w:p>
        </w:tc>
        <w:tc>
          <w:tcPr>
            <w:tcW w:w="248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Registration Statement on Form S-3</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5" w:lineRule="exact"/>
        <w:rPr>
          <w:sz w:val="20"/>
          <w:szCs w:val="20"/>
          <w:color w:val="auto"/>
        </w:rPr>
      </w:pPr>
    </w:p>
    <w:p>
      <w:pPr>
        <w:ind w:firstLine="1232"/>
        <w:spacing w:after="0" w:line="257" w:lineRule="auto"/>
        <w:rPr>
          <w:sz w:val="20"/>
          <w:szCs w:val="20"/>
          <w:color w:val="auto"/>
        </w:rPr>
      </w:pPr>
      <w:r>
        <w:rPr>
          <w:rFonts w:ascii="Times New Roman" w:cs="Times New Roman" w:eastAsia="Times New Roman" w:hAnsi="Times New Roman"/>
          <w:sz w:val="17"/>
          <w:szCs w:val="17"/>
          <w:color w:val="auto"/>
        </w:rPr>
        <w:t>We have acted as special United States counsel to Shopify Inc., a corporation organized under the laws of Canada (the “Company”), in connection with the registration statement on Form S-3 (the “Registration Statement”) to be filed on the date hereof by the Company with the Securities and Exchange Commission (the “Commission”) under the Securities Act of 1933 (the “Securities Act”). The Registration Statement relates to the issuance and sale by the Company from time to time, pursuant to Rule 415 of the General Rules and Regulations of the Commission promulgated under the Securities Act (the “Rules and Regulations”), of debt securities of the Company (“Debt Securities”), which may be issued in one or more series under the indenture, dated as of September 18, 2020 (the “Indenture”), between the Company, Computershare Trust Company, N.A., as trustee, and Computershare Trust Company of Canada, as co-trustee, which is filed as an exhibit to the Registration Statement, and other securities of the Company.</w:t>
      </w:r>
    </w:p>
    <w:p>
      <w:pPr>
        <w:spacing w:after="0" w:line="1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This opinion is being furnished in accordance with the requirements of Item 601(b)(5) of Regulation S-K under the Securities Act.</w:t>
      </w: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In rendering the opinion stated herein, we have examined and relied upon the following:</w:t>
      </w:r>
    </w:p>
    <w:p>
      <w:pPr>
        <w:spacing w:after="0" w:line="215" w:lineRule="exact"/>
        <w:rPr>
          <w:sz w:val="20"/>
          <w:szCs w:val="20"/>
          <w:color w:val="auto"/>
        </w:rPr>
      </w:pPr>
    </w:p>
    <w:p>
      <w:pPr>
        <w:ind w:left="1860" w:hanging="625"/>
        <w:spacing w:after="0"/>
        <w:tabs>
          <w:tab w:leader="none" w:pos="18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and</w:t>
      </w:r>
    </w:p>
    <w:p>
      <w:pPr>
        <w:spacing w:after="0" w:line="215" w:lineRule="exact"/>
        <w:rPr>
          <w:rFonts w:ascii="Times New Roman" w:cs="Times New Roman" w:eastAsia="Times New Roman" w:hAnsi="Times New Roman"/>
          <w:sz w:val="17"/>
          <w:szCs w:val="17"/>
          <w:color w:val="auto"/>
        </w:rPr>
      </w:pPr>
    </w:p>
    <w:p>
      <w:pPr>
        <w:ind w:left="1860" w:hanging="625"/>
        <w:spacing w:after="0"/>
        <w:tabs>
          <w:tab w:leader="none" w:pos="18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executed copy of the Indenture.</w:t>
      </w:r>
    </w:p>
    <w:p>
      <w:pPr>
        <w:spacing w:after="0" w:line="215" w:lineRule="exact"/>
        <w:rPr>
          <w:sz w:val="20"/>
          <w:szCs w:val="20"/>
          <w:color w:val="auto"/>
        </w:rPr>
      </w:pPr>
    </w:p>
    <w:p>
      <w:pPr>
        <w:ind w:right="80" w:firstLine="1232"/>
        <w:spacing w:after="0" w:line="268" w:lineRule="auto"/>
        <w:rPr>
          <w:sz w:val="20"/>
          <w:szCs w:val="20"/>
          <w:color w:val="auto"/>
        </w:rPr>
      </w:pPr>
      <w:r>
        <w:rPr>
          <w:rFonts w:ascii="Times New Roman" w:cs="Times New Roman" w:eastAsia="Times New Roman" w:hAnsi="Times New Roman"/>
          <w:sz w:val="17"/>
          <w:szCs w:val="17"/>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71393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Shopify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spacing w:after="0" w:line="203" w:lineRule="exact"/>
        <w:rPr>
          <w:sz w:val="20"/>
          <w:szCs w:val="20"/>
          <w:color w:val="auto"/>
        </w:rPr>
      </w:pPr>
    </w:p>
    <w:p>
      <w:pPr>
        <w:ind w:right="40" w:firstLine="1232"/>
        <w:spacing w:after="0" w:line="260" w:lineRule="auto"/>
        <w:rPr>
          <w:sz w:val="20"/>
          <w:szCs w:val="20"/>
          <w:color w:val="auto"/>
        </w:rPr>
      </w:pPr>
      <w:r>
        <w:rPr>
          <w:rFonts w:ascii="Times New Roman" w:cs="Times New Roman" w:eastAsia="Times New Roman" w:hAnsi="Times New Roman"/>
          <w:sz w:val="17"/>
          <w:szCs w:val="17"/>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w:t>
      </w:r>
    </w:p>
    <w:p>
      <w:pPr>
        <w:spacing w:after="0" w:line="173" w:lineRule="exact"/>
        <w:rPr>
          <w:sz w:val="20"/>
          <w:szCs w:val="20"/>
          <w:color w:val="auto"/>
        </w:rPr>
      </w:pPr>
    </w:p>
    <w:p>
      <w:pPr>
        <w:ind w:right="140" w:firstLine="1232"/>
        <w:spacing w:after="0" w:line="263" w:lineRule="auto"/>
        <w:rPr>
          <w:sz w:val="20"/>
          <w:szCs w:val="20"/>
          <w:color w:val="auto"/>
        </w:rPr>
      </w:pPr>
      <w:r>
        <w:rPr>
          <w:rFonts w:ascii="Times New Roman" w:cs="Times New Roman" w:eastAsia="Times New Roman" w:hAnsi="Times New Roman"/>
          <w:sz w:val="17"/>
          <w:szCs w:val="17"/>
          <w:color w:val="auto"/>
        </w:rPr>
        <w:t>We do not express any opinion with respect to the laws of any jurisdiction other than the laws of the State of New York (“Opined-on Law”). We do not express any opinion as to the effect of any non-Opined-on Law on the opinion stated herein. The Debt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70" w:lineRule="exact"/>
        <w:rPr>
          <w:sz w:val="20"/>
          <w:szCs w:val="20"/>
          <w:color w:val="auto"/>
        </w:rPr>
      </w:pPr>
    </w:p>
    <w:p>
      <w:pPr>
        <w:ind w:right="20" w:firstLine="1232"/>
        <w:spacing w:after="0" w:line="285" w:lineRule="auto"/>
        <w:rPr>
          <w:sz w:val="20"/>
          <w:szCs w:val="20"/>
          <w:color w:val="auto"/>
        </w:rPr>
      </w:pPr>
      <w:r>
        <w:rPr>
          <w:rFonts w:ascii="Times New Roman" w:cs="Times New Roman" w:eastAsia="Times New Roman" w:hAnsi="Times New Roman"/>
          <w:sz w:val="17"/>
          <w:szCs w:val="17"/>
          <w:color w:val="auto"/>
        </w:rPr>
        <w:t>As used herein “Transaction Documents” means the Indenture and any supplemental indentures and officer’s certificates establishing the terms of the Debt Securities pursuant thereto, and any applicable underwriting or purchase agreement.</w:t>
      </w:r>
    </w:p>
    <w:p>
      <w:pPr>
        <w:spacing w:after="0" w:line="152" w:lineRule="exact"/>
        <w:rPr>
          <w:sz w:val="20"/>
          <w:szCs w:val="20"/>
          <w:color w:val="auto"/>
        </w:rPr>
      </w:pPr>
    </w:p>
    <w:p>
      <w:pPr>
        <w:ind w:firstLine="1232"/>
        <w:spacing w:after="0" w:line="255" w:lineRule="auto"/>
        <w:rPr>
          <w:sz w:val="20"/>
          <w:szCs w:val="20"/>
          <w:color w:val="auto"/>
        </w:rPr>
      </w:pPr>
      <w:r>
        <w:rPr>
          <w:rFonts w:ascii="Times New Roman" w:cs="Times New Roman" w:eastAsia="Times New Roman" w:hAnsi="Times New Roman"/>
          <w:sz w:val="17"/>
          <w:szCs w:val="17"/>
          <w:color w:val="auto"/>
        </w:rPr>
        <w:t>The opinion stated in paragraph 1 below presumes that all of the following (collectively, the “general conditions”) shall have occurred prior to the issuance of any series of Debt Securities referred to therein: (i) the Registration Statement, as finally amended (including all necessary post-effective amendments), has become effective under the Securities Act; (ii) an appropriate prospectus supplement or term sheet with respect to such Debt Securities has been prepared, delivered and filed in compliance with the Securities Act and the applicable Rules and Regulations; (iii) the applicable Transaction Documents shall have been duly authorized, executed and delivered by the Company and the other parties thereto, including, if such Debt Securities are to be sold or otherwise distributed pursuant to a firm commitment underwritten offering, the underwriting agreement or purchase agreement with respect thereto; (iv) the Board of Directors of the Company, including any duly authorized committee thereof, shall have taken all necessary corporate action to approve the issuance and sale of such Debt Securities and related matters and appropriate officers of the Company have taken all related action as directed by or under the direction of the Board of Directors of the Company; and (v) the terms of the applicable Transaction Documents and the issuance and sale of such Debt Securities have been duly established in conformity with the articles of incorporation of the Company so as not to violate any applicable law, the articles of incorporation of the Company or the bylaws of the Company, or result in a default under or breach of any agreement or instrument binding upon the Company or its properties, and so as to comply with any requirement or restriction imposed by any court or governmental body having jurisdiction over the Company or its properties.</w:t>
      </w:r>
    </w:p>
    <w:p>
      <w:pPr>
        <w:spacing w:after="0" w:line="1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Based upon the foregoing and subject to the qualifications and assumptions stated herein, we are of the opinion that:</w:t>
      </w:r>
    </w:p>
    <w:p>
      <w:pPr>
        <w:spacing w:after="0" w:line="215" w:lineRule="exact"/>
        <w:rPr>
          <w:sz w:val="20"/>
          <w:szCs w:val="20"/>
          <w:color w:val="auto"/>
        </w:rPr>
      </w:pPr>
    </w:p>
    <w:p>
      <w:pPr>
        <w:ind w:right="60" w:firstLine="619"/>
        <w:spacing w:after="0" w:line="256" w:lineRule="auto"/>
        <w:tabs>
          <w:tab w:leader="none" w:pos="116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series of Debt Securities offered by the Company, including such indeterminate amount of Debt Securities as may be issued upon conversion or exchange of such series (the “Offered Debt Securities”), when (a) the general conditions shall have been satisfied, (b) the issuance, sale and terms of the Offered Debt Securities and related matters have been approved and established in conformity with the applicable Transaction Documents and (c) the certificates evidencing the Offered Debt Securities have been issued in a form that complies with the provisions of the applicable Transaction Documents and have been duly executed and authenticated in accordance with the provisions of the Indenture and any other applicable Transaction Documents and issued and sold or otherwise distributed in accordance with the provisions of the applicable Transaction Document upon payment of the agreed-upon consideration therefor, the Offered Debt Securities will constitute valid and binding obligations of the Company, enforceable against the Company in accordance with their respective terms under the laws of the State of New York.</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The opinion stated herein is subject to the following qualifications:</w:t>
      </w:r>
    </w:p>
    <w:p>
      <w:pPr>
        <w:spacing w:after="0" w:line="215" w:lineRule="exact"/>
        <w:rPr>
          <w:sz w:val="20"/>
          <w:szCs w:val="20"/>
          <w:color w:val="auto"/>
        </w:rPr>
      </w:pPr>
    </w:p>
    <w:p>
      <w:pPr>
        <w:jc w:val="both"/>
        <w:ind w:right="400" w:firstLine="1235"/>
        <w:spacing w:after="0" w:line="268" w:lineRule="auto"/>
        <w:tabs>
          <w:tab w:leader="none" w:pos="184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with respect to the effect on the opinion stated herein of any bankruptcy, insolvency, reorganization, moratorium, fraudulent transfer, preference and other similar laws or governmental orders affecting creditors’ rights generally, and the opinion stated herein is limited by such laws and governmental orders and by general principles of equity (regardless of whether enforcement is sought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1393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Shopify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200" w:lineRule="exact"/>
        <w:rPr>
          <w:sz w:val="20"/>
          <w:szCs w:val="20"/>
          <w:color w:val="auto"/>
        </w:rPr>
      </w:pPr>
    </w:p>
    <w:p>
      <w:pPr>
        <w:spacing w:after="0" w:line="203" w:lineRule="exact"/>
        <w:rPr>
          <w:sz w:val="20"/>
          <w:szCs w:val="20"/>
          <w:color w:val="auto"/>
        </w:rPr>
      </w:pPr>
    </w:p>
    <w:p>
      <w:pPr>
        <w:ind w:right="80" w:firstLine="1235"/>
        <w:spacing w:after="0" w:line="268"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166" w:lineRule="exact"/>
        <w:rPr>
          <w:rFonts w:ascii="Times New Roman" w:cs="Times New Roman" w:eastAsia="Times New Roman" w:hAnsi="Times New Roman"/>
          <w:sz w:val="17"/>
          <w:szCs w:val="17"/>
          <w:color w:val="auto"/>
        </w:rPr>
      </w:pPr>
    </w:p>
    <w:p>
      <w:pPr>
        <w:ind w:right="720" w:firstLine="1235"/>
        <w:spacing w:after="0" w:line="285"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expressly stated in the opinion contained herein, we have assumed that each of the Transaction Documents constitutes the valid and binding obligation of each party to such Transaction Document, enforceable against such party in accordance with its terms;</w:t>
      </w:r>
    </w:p>
    <w:p>
      <w:pPr>
        <w:spacing w:after="0" w:line="151" w:lineRule="exact"/>
        <w:rPr>
          <w:rFonts w:ascii="Times New Roman" w:cs="Times New Roman" w:eastAsia="Times New Roman" w:hAnsi="Times New Roman"/>
          <w:sz w:val="17"/>
          <w:szCs w:val="17"/>
          <w:color w:val="auto"/>
        </w:rPr>
      </w:pPr>
    </w:p>
    <w:p>
      <w:pPr>
        <w:ind w:right="20" w:firstLine="1235"/>
        <w:spacing w:after="0" w:line="263"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waiver or alter, or has the effect of waiving or altering, any statute of limitations;</w:t>
      </w:r>
    </w:p>
    <w:p>
      <w:pPr>
        <w:spacing w:after="0" w:line="169" w:lineRule="exact"/>
        <w:rPr>
          <w:rFonts w:ascii="Times New Roman" w:cs="Times New Roman" w:eastAsia="Times New Roman" w:hAnsi="Times New Roman"/>
          <w:sz w:val="17"/>
          <w:szCs w:val="17"/>
          <w:color w:val="auto"/>
        </w:rPr>
      </w:pPr>
    </w:p>
    <w:p>
      <w:pPr>
        <w:ind w:right="220" w:firstLine="1235"/>
        <w:spacing w:after="0" w:line="285"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with respect to the enforceability of any provision of any Transaction Document to the extent that such section purports to bind the Company to the exclusive jurisdiction of any particular federal court or courts;</w:t>
      </w:r>
    </w:p>
    <w:p>
      <w:pPr>
        <w:spacing w:after="0" w:line="151" w:lineRule="exact"/>
        <w:rPr>
          <w:rFonts w:ascii="Times New Roman" w:cs="Times New Roman" w:eastAsia="Times New Roman" w:hAnsi="Times New Roman"/>
          <w:sz w:val="17"/>
          <w:szCs w:val="17"/>
          <w:color w:val="auto"/>
        </w:rPr>
      </w:pPr>
    </w:p>
    <w:p>
      <w:pPr>
        <w:ind w:firstLine="1235"/>
        <w:spacing w:after="0" w:line="263"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169" w:lineRule="exact"/>
        <w:rPr>
          <w:rFonts w:ascii="Times New Roman" w:cs="Times New Roman" w:eastAsia="Times New Roman" w:hAnsi="Times New Roman"/>
          <w:sz w:val="17"/>
          <w:szCs w:val="17"/>
          <w:color w:val="auto"/>
        </w:rPr>
      </w:pPr>
    </w:p>
    <w:p>
      <w:pPr>
        <w:ind w:right="140" w:firstLine="1235"/>
        <w:spacing w:after="0" w:line="263"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opinion stated herein is limited to the agreements and documents specifically identified in the opinion contained herein (the “Specified Documents”)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spacing w:after="0" w:line="169" w:lineRule="exact"/>
        <w:rPr>
          <w:rFonts w:ascii="Times New Roman" w:cs="Times New Roman" w:eastAsia="Times New Roman" w:hAnsi="Times New Roman"/>
          <w:sz w:val="17"/>
          <w:szCs w:val="17"/>
          <w:color w:val="auto"/>
        </w:rPr>
      </w:pPr>
    </w:p>
    <w:p>
      <w:pPr>
        <w:ind w:right="240" w:firstLine="1235"/>
        <w:spacing w:after="0" w:line="268"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assumed that any agent of service will have accepted appointment as agent to receive service of process and call to your attention that we do not express any opinion if and to the extent such agent shall resign such appointment. Further, we do not express any opinion with respect to the irrevocability of the designation of such agent to receive service of process;</w:t>
      </w:r>
    </w:p>
    <w:p>
      <w:pPr>
        <w:spacing w:after="0" w:line="166" w:lineRule="exact"/>
        <w:rPr>
          <w:rFonts w:ascii="Times New Roman" w:cs="Times New Roman" w:eastAsia="Times New Roman" w:hAnsi="Times New Roman"/>
          <w:sz w:val="17"/>
          <w:szCs w:val="17"/>
          <w:color w:val="auto"/>
        </w:rPr>
      </w:pPr>
    </w:p>
    <w:p>
      <w:pPr>
        <w:ind w:right="20" w:firstLine="1235"/>
        <w:spacing w:after="0" w:line="268"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effectiveness of the Indenture and immediately prior to the issuance of any series of Offered Debt Securities, the Indenture has not been amended, restated, supplemented or otherwise modified in any way that affects or relates to such series of Offered Debt Securities other than by the applicable Transaction Documents relating to such series of Offered Debt Securities;</w:t>
      </w:r>
    </w:p>
    <w:p>
      <w:pPr>
        <w:spacing w:after="0" w:line="166" w:lineRule="exact"/>
        <w:rPr>
          <w:rFonts w:ascii="Times New Roman" w:cs="Times New Roman" w:eastAsia="Times New Roman" w:hAnsi="Times New Roman"/>
          <w:sz w:val="17"/>
          <w:szCs w:val="17"/>
          <w:color w:val="auto"/>
        </w:rPr>
      </w:pPr>
    </w:p>
    <w:p>
      <w:pPr>
        <w:ind w:left="1860" w:hanging="625"/>
        <w:spacing w:after="0"/>
        <w:tabs>
          <w:tab w:leader="none" w:pos="1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opinion letter shall be interpreted in accordance with customary practice of United States lawyers who regularly give opinions in</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of this type;</w:t>
      </w:r>
    </w:p>
    <w:p>
      <w:pPr>
        <w:spacing w:after="0" w:line="198" w:lineRule="exact"/>
        <w:rPr>
          <w:rFonts w:ascii="Times New Roman" w:cs="Times New Roman" w:eastAsia="Times New Roman" w:hAnsi="Times New Roman"/>
          <w:sz w:val="17"/>
          <w:szCs w:val="17"/>
          <w:color w:val="auto"/>
        </w:rPr>
      </w:pPr>
    </w:p>
    <w:p>
      <w:pPr>
        <w:ind w:right="20" w:firstLine="1235"/>
        <w:spacing w:after="0" w:line="285"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assumed that the laws of the State of New York will be chosen to govern any Transaction Documents entered into subsequent to the date hereof and that such choice is and will be a valid and legal provision;</w:t>
      </w:r>
    </w:p>
    <w:p>
      <w:pPr>
        <w:spacing w:after="0" w:line="151" w:lineRule="exact"/>
        <w:rPr>
          <w:rFonts w:ascii="Times New Roman" w:cs="Times New Roman" w:eastAsia="Times New Roman" w:hAnsi="Times New Roman"/>
          <w:sz w:val="17"/>
          <w:szCs w:val="17"/>
          <w:color w:val="auto"/>
        </w:rPr>
      </w:pPr>
    </w:p>
    <w:p>
      <w:pPr>
        <w:ind w:right="80" w:firstLine="1235"/>
        <w:spacing w:after="0" w:line="285" w:lineRule="auto"/>
        <w:tabs>
          <w:tab w:leader="none" w:pos="184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call to your attention that the opinion stated herein is subject to possible judicial action giving effect to governmental actions or laws of jurisdictions other than those with respect to which we express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393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Shopify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4</w:t>
      </w:r>
    </w:p>
    <w:p>
      <w:pPr>
        <w:spacing w:after="0" w:line="200" w:lineRule="exact"/>
        <w:rPr>
          <w:sz w:val="20"/>
          <w:szCs w:val="20"/>
          <w:color w:val="auto"/>
        </w:rPr>
      </w:pPr>
    </w:p>
    <w:p>
      <w:pPr>
        <w:spacing w:after="0" w:line="203" w:lineRule="exact"/>
        <w:rPr>
          <w:sz w:val="20"/>
          <w:szCs w:val="20"/>
          <w:color w:val="auto"/>
        </w:rPr>
      </w:pPr>
    </w:p>
    <w:p>
      <w:pPr>
        <w:ind w:right="120" w:firstLine="1235"/>
        <w:spacing w:after="0" w:line="268" w:lineRule="auto"/>
        <w:tabs>
          <w:tab w:leader="none" w:pos="184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with respect to the enforceability of any provision contained in any Transaction Document providing for indemnity by any party thereto against any loss in obtaining the currency due to such party under any Transaction Document from a court judgment in another currency;</w:t>
      </w:r>
    </w:p>
    <w:p>
      <w:pPr>
        <w:spacing w:after="0" w:line="166" w:lineRule="exact"/>
        <w:rPr>
          <w:rFonts w:ascii="Times New Roman" w:cs="Times New Roman" w:eastAsia="Times New Roman" w:hAnsi="Times New Roman"/>
          <w:sz w:val="17"/>
          <w:szCs w:val="17"/>
          <w:color w:val="auto"/>
        </w:rPr>
      </w:pPr>
    </w:p>
    <w:p>
      <w:pPr>
        <w:ind w:right="60" w:firstLine="1235"/>
        <w:spacing w:after="0" w:line="268" w:lineRule="auto"/>
        <w:tabs>
          <w:tab w:leader="none" w:pos="184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assumed that the choice of a currency other than U.S. dollars as the currency in which any Debt Securities may be denominated does not contravene any exchange control or other laws of the jurisdiction of any such currency, and further we call to your attention that a court may not award a judgment in any currency other than U.S. dollars; and</w:t>
      </w:r>
    </w:p>
    <w:p>
      <w:pPr>
        <w:spacing w:after="0" w:line="166" w:lineRule="exact"/>
        <w:rPr>
          <w:rFonts w:ascii="Times New Roman" w:cs="Times New Roman" w:eastAsia="Times New Roman" w:hAnsi="Times New Roman"/>
          <w:sz w:val="17"/>
          <w:szCs w:val="17"/>
          <w:color w:val="auto"/>
        </w:rPr>
      </w:pPr>
    </w:p>
    <w:p>
      <w:pPr>
        <w:jc w:val="both"/>
        <w:ind w:right="420" w:firstLine="1235"/>
        <w:spacing w:after="0" w:line="268" w:lineRule="auto"/>
        <w:tabs>
          <w:tab w:leader="none" w:pos="184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opinion relates to the enforceability of the choice of New York law and choice of New York forum provisions contained in any Transaction Document, the opinion stated herein is subject to the qualification that such enforceability may be subject to, in each case, (i) the exceptions and limitations in New York General Obligations Law Sections 5-1401 and 5-1402 and (ii) principles of comity and constitutionality.</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In addition, in rendering the foregoing opinion we have also assumed that:</w:t>
      </w:r>
    </w:p>
    <w:p>
      <w:pPr>
        <w:spacing w:after="0" w:line="215" w:lineRule="exact"/>
        <w:rPr>
          <w:sz w:val="20"/>
          <w:szCs w:val="20"/>
          <w:color w:val="auto"/>
        </w:rPr>
      </w:pPr>
    </w:p>
    <w:p>
      <w:pPr>
        <w:ind w:right="40" w:firstLine="1235"/>
        <w:spacing w:after="0" w:line="268" w:lineRule="auto"/>
        <w:tabs>
          <w:tab w:leader="none" w:pos="184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is duly incorporated and is validly existing and in good standing, (ii) has requisite legal status and legal capacity under the laws of the jurisdiction of its organization and (iii) has complied and will comply with all aspects of the laws of the jurisdiction of its organization in connection with the transactions contemplated by, and the performance of its obligations under, the Transaction Documents;</w:t>
      </w:r>
    </w:p>
    <w:p>
      <w:pPr>
        <w:spacing w:after="0" w:line="166" w:lineRule="exact"/>
        <w:rPr>
          <w:rFonts w:ascii="Times New Roman" w:cs="Times New Roman" w:eastAsia="Times New Roman" w:hAnsi="Times New Roman"/>
          <w:sz w:val="17"/>
          <w:szCs w:val="17"/>
          <w:color w:val="auto"/>
        </w:rPr>
      </w:pPr>
    </w:p>
    <w:p>
      <w:pPr>
        <w:ind w:left="1860" w:hanging="625"/>
        <w:spacing w:after="0"/>
        <w:tabs>
          <w:tab w:leader="none" w:pos="1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corporate power and authority to execute, deliver and perform all its obligations under each of the Transaction</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w:t>
      </w:r>
    </w:p>
    <w:p>
      <w:pPr>
        <w:spacing w:after="0" w:line="198" w:lineRule="exact"/>
        <w:rPr>
          <w:rFonts w:ascii="Times New Roman" w:cs="Times New Roman" w:eastAsia="Times New Roman" w:hAnsi="Times New Roman"/>
          <w:sz w:val="17"/>
          <w:szCs w:val="17"/>
          <w:color w:val="auto"/>
        </w:rPr>
      </w:pPr>
    </w:p>
    <w:p>
      <w:pPr>
        <w:ind w:firstLine="1235"/>
        <w:spacing w:after="0" w:line="258" w:lineRule="auto"/>
        <w:tabs>
          <w:tab w:leader="none" w:pos="184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by the Company of the Transaction Documents nor the performance by the Company of its obligations thereunder, including the issuance and sale of the applicable Debt Securities: (i) conflicts or will conflict with the articles of incorporation and bylaws of the Company, (ii) constitutes or will constitute a violation of, or a default under, any lease, indenture, agreement or other instrument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and</w:t>
      </w:r>
    </w:p>
    <w:p>
      <w:pPr>
        <w:spacing w:after="0" w:line="176" w:lineRule="exact"/>
        <w:rPr>
          <w:rFonts w:ascii="Times New Roman" w:cs="Times New Roman" w:eastAsia="Times New Roman" w:hAnsi="Times New Roman"/>
          <w:sz w:val="17"/>
          <w:szCs w:val="17"/>
          <w:color w:val="auto"/>
        </w:rPr>
      </w:pPr>
    </w:p>
    <w:p>
      <w:pPr>
        <w:ind w:right="20" w:firstLine="1235"/>
        <w:spacing w:after="0" w:line="268" w:lineRule="auto"/>
        <w:tabs>
          <w:tab w:leader="none" w:pos="184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by the Company of the Transaction Documents nor the performance by the Company of its obligations thereunder, including the issuance and sale of the applicable Debt Securities, requires or will require the consent, approval, licensing or authorization of, or any filing, recording or registration with, any governmental authority under any law, rule or regulation of any jurisdiction.</w:t>
      </w:r>
    </w:p>
    <w:p>
      <w:pPr>
        <w:spacing w:after="0" w:line="167" w:lineRule="exact"/>
        <w:rPr>
          <w:sz w:val="20"/>
          <w:szCs w:val="20"/>
          <w:color w:val="auto"/>
        </w:rPr>
      </w:pPr>
    </w:p>
    <w:p>
      <w:pPr>
        <w:ind w:right="20" w:firstLine="1232"/>
        <w:spacing w:after="0" w:line="260" w:lineRule="auto"/>
        <w:rPr>
          <w:sz w:val="20"/>
          <w:szCs w:val="20"/>
          <w:color w:val="auto"/>
        </w:rPr>
      </w:pPr>
      <w:r>
        <w:rPr>
          <w:rFonts w:ascii="Times New Roman" w:cs="Times New Roman" w:eastAsia="Times New Roman" w:hAnsi="Times New Roman"/>
          <w:sz w:val="17"/>
          <w:szCs w:val="17"/>
          <w:color w:val="auto"/>
        </w:rPr>
        <w:t>We hereby consent to the reference to our firm under the heading “Legal Matters” in the prospectus forming part of the Registration Statement. We also hereby consent to the filing of this opinion letter with the Commission as an exhibit to the Registration Statement. In giving this consent, we do not thereby admit that we are within the category of persons whose consent is required under Section 7 of the Securities Act or the Rules and Regulations.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/s/ Skadden, Arps, Slate, Meagher &amp; Flom LLP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71393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93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23.1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S-3 of Shopify Inc. of our report dated February 11, 2026 relating to the financial statements and the effectiveness of internal control over financial reporting, which appears in Shopify Inc.’s Annual Report on Form 10-K for the year ended December 31, 2025. We also consent to the reference to us under the heading “Experts” in such Registration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/s/PricewaterhouseCoopers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Professional Accountants, Licensed Public Accountants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Ottawa,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71393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93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9305" cy="3238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203200</wp:posOffset>
            </wp:positionV>
            <wp:extent cx="7139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9305" cy="8255"/>
                    </a:xfrm>
                    <a:prstGeom prst="rect">
                      <a:avLst/>
                    </a:prstGeom>
                    <a:noFill/>
                  </pic:spPr>
                </pic:pic>
              </a:graphicData>
            </a:graphic>
          </wp:anchor>
        </w:drawing>
        <w:t>Exhibit 25.1</w:t>
      </w:r>
    </w:p>
    <w:p>
      <w:pPr>
        <w:spacing w:after="0" w:line="2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185420</wp:posOffset>
            </wp:positionV>
            <wp:extent cx="141795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1417955" cy="165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T-1</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STATEMENT OF ELIGIBILITY</w:t>
      </w:r>
    </w:p>
    <w:p>
      <w:pPr>
        <w:spacing w:after="0" w:line="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UNDER THE TRUST INDENTURE ACT OF 1939 OF A</w:t>
      </w:r>
    </w:p>
    <w:p>
      <w:pPr>
        <w:spacing w:after="0" w:line="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CORPORATION DESIGNATED TO ACT AS TRUSTEE</w:t>
      </w:r>
    </w:p>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CHECK IF AN APPLICATION TO DETERMINE ELIGIBILITY OF A</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TRUSTEE PURSUANT TO SECTION 305(b)(2)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193040</wp:posOffset>
            </wp:positionV>
            <wp:extent cx="143446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1434465" cy="165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COMPUTERSHARE TRUST COMPANY, NATIONAL ASSOCIATION</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(Exact name of trustee as specified in its charter)</w:t>
      </w:r>
    </w:p>
    <w:p>
      <w:pPr>
        <w:spacing w:after="0" w:line="194" w:lineRule="exact"/>
        <w:rPr>
          <w:sz w:val="20"/>
          <w:szCs w:val="20"/>
          <w:color w:val="auto"/>
        </w:rPr>
      </w:pPr>
    </w:p>
    <w:tbl>
      <w:tblPr>
        <w:tblLayout w:type="fixed"/>
        <w:tblInd w:w="1160" w:type="dxa"/>
        <w:tblCellMar>
          <w:top w:w="0" w:type="dxa"/>
          <w:left w:w="0" w:type="dxa"/>
          <w:bottom w:w="0" w:type="dxa"/>
          <w:right w:w="0" w:type="dxa"/>
        </w:tblCellMar>
      </w:tblPr>
      <w:tr>
        <w:trPr>
          <w:trHeight w:val="209"/>
        </w:trPr>
        <w:tc>
          <w:tcPr>
            <w:tcW w:w="4720" w:type="dxa"/>
            <w:vAlign w:val="bottom"/>
          </w:tcPr>
          <w:p>
            <w:pPr>
              <w:jc w:val="center"/>
              <w:ind w:right="1574"/>
              <w:spacing w:after="0"/>
              <w:rPr>
                <w:sz w:val="20"/>
                <w:szCs w:val="20"/>
                <w:color w:val="auto"/>
              </w:rPr>
            </w:pPr>
            <w:r>
              <w:rPr>
                <w:rFonts w:ascii="Times New Roman" w:cs="Times New Roman" w:eastAsia="Times New Roman" w:hAnsi="Times New Roman"/>
                <w:sz w:val="17"/>
                <w:szCs w:val="17"/>
                <w:b w:val="1"/>
                <w:bCs w:val="1"/>
                <w:color w:val="auto"/>
              </w:rPr>
              <w:t>National Banking Association</w:t>
            </w:r>
          </w:p>
        </w:tc>
        <w:tc>
          <w:tcPr>
            <w:tcW w:w="32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04-3401714</w:t>
            </w:r>
          </w:p>
        </w:tc>
      </w:tr>
      <w:tr>
        <w:trPr>
          <w:trHeight w:val="205"/>
        </w:trPr>
        <w:tc>
          <w:tcPr>
            <w:tcW w:w="4720" w:type="dxa"/>
            <w:vAlign w:val="bottom"/>
          </w:tcPr>
          <w:p>
            <w:pPr>
              <w:jc w:val="center"/>
              <w:ind w:right="1554"/>
              <w:spacing w:after="0"/>
              <w:rPr>
                <w:sz w:val="20"/>
                <w:szCs w:val="20"/>
                <w:color w:val="auto"/>
              </w:rPr>
            </w:pPr>
            <w:r>
              <w:rPr>
                <w:rFonts w:ascii="Times New Roman" w:cs="Times New Roman" w:eastAsia="Times New Roman" w:hAnsi="Times New Roman"/>
                <w:sz w:val="17"/>
                <w:szCs w:val="17"/>
                <w:color w:val="auto"/>
              </w:rPr>
              <w:t>(Jurisdiction of incorporation or organization</w:t>
            </w:r>
          </w:p>
        </w:tc>
        <w:tc>
          <w:tcPr>
            <w:tcW w:w="3220" w:type="dxa"/>
            <w:vAlign w:val="bottom"/>
          </w:tcPr>
          <w:p>
            <w:pPr>
              <w:jc w:val="center"/>
              <w:ind w:left="1574"/>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4720" w:type="dxa"/>
            <w:vAlign w:val="bottom"/>
          </w:tcPr>
          <w:p>
            <w:pPr>
              <w:jc w:val="center"/>
              <w:ind w:right="1574"/>
              <w:spacing w:after="0"/>
              <w:rPr>
                <w:sz w:val="20"/>
                <w:szCs w:val="20"/>
                <w:color w:val="auto"/>
              </w:rPr>
            </w:pPr>
            <w:r>
              <w:rPr>
                <w:rFonts w:ascii="Times New Roman" w:cs="Times New Roman" w:eastAsia="Times New Roman" w:hAnsi="Times New Roman"/>
                <w:sz w:val="17"/>
                <w:szCs w:val="17"/>
                <w:color w:val="auto"/>
              </w:rPr>
              <w:t>if not a U.S. national bank)</w:t>
            </w:r>
          </w:p>
        </w:tc>
        <w:tc>
          <w:tcPr>
            <w:tcW w:w="3220" w:type="dxa"/>
            <w:vAlign w:val="bottom"/>
          </w:tcPr>
          <w:p>
            <w:pPr>
              <w:jc w:val="center"/>
              <w:ind w:left="1554"/>
              <w:spacing w:after="0"/>
              <w:rPr>
                <w:sz w:val="20"/>
                <w:szCs w:val="20"/>
                <w:color w:val="auto"/>
              </w:rPr>
            </w:pPr>
            <w:r>
              <w:rPr>
                <w:rFonts w:ascii="Times New Roman" w:cs="Times New Roman" w:eastAsia="Times New Roman" w:hAnsi="Times New Roman"/>
                <w:sz w:val="17"/>
                <w:szCs w:val="17"/>
                <w:color w:val="auto"/>
              </w:rPr>
              <w:t>Identification Number)</w:t>
            </w:r>
          </w:p>
        </w:tc>
      </w:tr>
      <w:tr>
        <w:trPr>
          <w:trHeight w:val="394"/>
        </w:trPr>
        <w:tc>
          <w:tcPr>
            <w:tcW w:w="4720" w:type="dxa"/>
            <w:vAlign w:val="bottom"/>
          </w:tcPr>
          <w:p>
            <w:pPr>
              <w:jc w:val="center"/>
              <w:ind w:right="1574"/>
              <w:spacing w:after="0"/>
              <w:rPr>
                <w:sz w:val="20"/>
                <w:szCs w:val="20"/>
                <w:color w:val="auto"/>
              </w:rPr>
            </w:pPr>
            <w:r>
              <w:rPr>
                <w:rFonts w:ascii="Times New Roman" w:cs="Times New Roman" w:eastAsia="Times New Roman" w:hAnsi="Times New Roman"/>
                <w:sz w:val="17"/>
                <w:szCs w:val="17"/>
                <w:b w:val="1"/>
                <w:bCs w:val="1"/>
                <w:color w:val="auto"/>
              </w:rPr>
              <w:t>150 Royall Street, Canton, MA</w:t>
            </w:r>
          </w:p>
        </w:tc>
        <w:tc>
          <w:tcPr>
            <w:tcW w:w="32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02021</w:t>
            </w:r>
          </w:p>
        </w:tc>
      </w:tr>
      <w:tr>
        <w:trPr>
          <w:trHeight w:val="222"/>
        </w:trPr>
        <w:tc>
          <w:tcPr>
            <w:tcW w:w="4720" w:type="dxa"/>
            <w:vAlign w:val="bottom"/>
          </w:tcPr>
          <w:p>
            <w:pPr>
              <w:jc w:val="center"/>
              <w:ind w:right="155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220" w:type="dxa"/>
            <w:vAlign w:val="bottom"/>
          </w:tcPr>
          <w:p>
            <w:pPr>
              <w:jc w:val="center"/>
              <w:ind w:left="157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Law Department</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Computershare Trust Company, National Association</w:t>
      </w:r>
    </w:p>
    <w:p>
      <w:pPr>
        <w:spacing w:after="0" w:line="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150 Royall Street, Canton, MA</w:t>
      </w:r>
    </w:p>
    <w:p>
      <w:pPr>
        <w:spacing w:after="0" w:line="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02021</w:t>
      </w:r>
    </w:p>
    <w:p>
      <w:pPr>
        <w:spacing w:after="0" w:line="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(781) 575-2000</w:t>
      </w:r>
    </w:p>
    <w:p>
      <w:pPr>
        <w:spacing w:after="0" w:line="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193040</wp:posOffset>
            </wp:positionV>
            <wp:extent cx="143446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1434465" cy="1651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SHOPIFY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(Exact name of obligor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2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8"/>
              </w:rPr>
              <w:t>Canada</w:t>
            </w:r>
          </w:p>
        </w:tc>
        <w:tc>
          <w:tcPr>
            <w:tcW w:w="5480" w:type="dxa"/>
            <w:vAlign w:val="bottom"/>
          </w:tcPr>
          <w:p>
            <w:pPr>
              <w:jc w:val="right"/>
              <w:ind w:right="2134"/>
              <w:spacing w:after="0"/>
              <w:rPr>
                <w:sz w:val="20"/>
                <w:szCs w:val="20"/>
                <w:color w:val="auto"/>
              </w:rPr>
            </w:pPr>
            <w:r>
              <w:rPr>
                <w:rFonts w:ascii="Times New Roman" w:cs="Times New Roman" w:eastAsia="Times New Roman" w:hAnsi="Times New Roman"/>
                <w:sz w:val="17"/>
                <w:szCs w:val="17"/>
                <w:b w:val="1"/>
                <w:bCs w:val="1"/>
                <w:color w:val="auto"/>
              </w:rPr>
              <w:t>98-0486686</w:t>
            </w:r>
          </w:p>
        </w:tc>
      </w:tr>
      <w:tr>
        <w:trPr>
          <w:trHeight w:val="222"/>
        </w:trPr>
        <w:tc>
          <w:tcPr>
            <w:tcW w:w="552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548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(I.R.S. Employer Identification Number)</w:t>
            </w:r>
          </w:p>
        </w:tc>
      </w:tr>
      <w:tr>
        <w:trPr>
          <w:trHeight w:val="390"/>
        </w:trPr>
        <w:tc>
          <w:tcPr>
            <w:tcW w:w="5520" w:type="dxa"/>
            <w:vAlign w:val="bottom"/>
          </w:tcPr>
          <w:p>
            <w:pPr>
              <w:spacing w:after="0"/>
              <w:rPr>
                <w:sz w:val="24"/>
                <w:szCs w:val="24"/>
                <w:color w:val="auto"/>
              </w:rPr>
            </w:pPr>
          </w:p>
        </w:tc>
        <w:tc>
          <w:tcPr>
            <w:tcW w:w="548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Corporation Service Company</w:t>
            </w:r>
          </w:p>
        </w:tc>
      </w:tr>
      <w:tr>
        <w:trPr>
          <w:trHeight w:val="205"/>
        </w:trPr>
        <w:tc>
          <w:tcPr>
            <w:tcW w:w="552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8488 Rozita Lee Ave, Bldg 3, Suite 100</w:t>
            </w:r>
          </w:p>
        </w:tc>
        <w:tc>
          <w:tcPr>
            <w:tcW w:w="5480" w:type="dxa"/>
            <w:vAlign w:val="bottom"/>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251 Little Falls Drive</w:t>
            </w:r>
          </w:p>
        </w:tc>
      </w:tr>
      <w:tr>
        <w:trPr>
          <w:trHeight w:val="205"/>
        </w:trPr>
        <w:tc>
          <w:tcPr>
            <w:tcW w:w="552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9"/>
              </w:rPr>
              <w:t>Las Vegas, Nevada 89113</w:t>
            </w:r>
          </w:p>
        </w:tc>
        <w:tc>
          <w:tcPr>
            <w:tcW w:w="5480" w:type="dxa"/>
            <w:vAlign w:val="bottom"/>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Wilmington, New Castle County, DE 19808-1674</w:t>
            </w:r>
          </w:p>
        </w:tc>
      </w:tr>
      <w:tr>
        <w:trPr>
          <w:trHeight w:val="209"/>
        </w:trPr>
        <w:tc>
          <w:tcPr>
            <w:tcW w:w="552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(613) 241-2828 x1045</w:t>
            </w:r>
          </w:p>
        </w:tc>
        <w:tc>
          <w:tcPr>
            <w:tcW w:w="5480" w:type="dxa"/>
            <w:vAlign w:val="bottom"/>
          </w:tcPr>
          <w:p>
            <w:pPr>
              <w:jc w:val="right"/>
              <w:ind w:right="2014"/>
              <w:spacing w:after="0"/>
              <w:rPr>
                <w:sz w:val="20"/>
                <w:szCs w:val="20"/>
                <w:color w:val="auto"/>
              </w:rPr>
            </w:pPr>
            <w:r>
              <w:rPr>
                <w:rFonts w:ascii="Times New Roman" w:cs="Times New Roman" w:eastAsia="Times New Roman" w:hAnsi="Times New Roman"/>
                <w:sz w:val="17"/>
                <w:szCs w:val="17"/>
                <w:b w:val="1"/>
                <w:bCs w:val="1"/>
                <w:color w:val="auto"/>
              </w:rPr>
              <w:t>(302) 636-5400</w:t>
            </w:r>
          </w:p>
        </w:tc>
      </w:tr>
      <w:tr>
        <w:trPr>
          <w:trHeight w:val="205"/>
        </w:trPr>
        <w:tc>
          <w:tcPr>
            <w:tcW w:w="552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9"/>
              </w:rPr>
              <w:t>(Address and Telephone Number of Registrant’s Principal Executive Offices)</w:t>
            </w:r>
          </w:p>
        </w:tc>
        <w:tc>
          <w:tcPr>
            <w:tcW w:w="548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w:t>
            </w:r>
          </w:p>
        </w:tc>
      </w:tr>
      <w:tr>
        <w:trPr>
          <w:trHeight w:val="222"/>
        </w:trPr>
        <w:tc>
          <w:tcPr>
            <w:tcW w:w="5520" w:type="dxa"/>
            <w:vAlign w:val="bottom"/>
          </w:tcPr>
          <w:p>
            <w:pPr>
              <w:spacing w:after="0"/>
              <w:rPr>
                <w:sz w:val="19"/>
                <w:szCs w:val="19"/>
                <w:color w:val="auto"/>
              </w:rPr>
            </w:pPr>
          </w:p>
        </w:tc>
        <w:tc>
          <w:tcPr>
            <w:tcW w:w="548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rPr>
              <w:t>code) of Agent for Service in the 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179070</wp:posOffset>
            </wp:positionV>
            <wp:extent cx="143446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1434465" cy="1651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193040</wp:posOffset>
            </wp:positionV>
            <wp:extent cx="71393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283210</wp:posOffset>
            </wp:positionV>
            <wp:extent cx="71393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9305" cy="3238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421640</wp:posOffset>
            </wp:positionV>
            <wp:extent cx="71393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120"/>
          </w:cols>
          <w:pgMar w:left="440" w:top="401" w:right="339" w:bottom="1440" w:gutter="0" w:footer="0" w:header="0"/>
        </w:sectPr>
      </w:pPr>
    </w:p>
    <w:bookmarkStart w:id="40" w:name="page41"/>
    <w:bookmarkEnd w:id="40"/>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 xml:space="preserve">General Information. </w:t>
      </w:r>
      <w:r>
        <w:rPr>
          <w:rFonts w:ascii="Times New Roman" w:cs="Times New Roman" w:eastAsia="Times New Roman" w:hAnsi="Times New Roman"/>
          <w:sz w:val="17"/>
          <w:szCs w:val="17"/>
          <w:color w:val="auto"/>
        </w:rPr>
        <w:t>Furnish the following information as to the trustee:</w:t>
      </w:r>
    </w:p>
    <w:p>
      <w:pPr>
        <w:spacing w:after="0" w:line="219" w:lineRule="exact"/>
        <w:rPr>
          <w:sz w:val="20"/>
          <w:szCs w:val="20"/>
          <w:color w:val="auto"/>
        </w:rPr>
      </w:pPr>
    </w:p>
    <w:p>
      <w:pPr>
        <w:ind w:left="1860" w:hanging="625"/>
        <w:spacing w:after="0"/>
        <w:tabs>
          <w:tab w:leader="none" w:pos="1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and address of each examining or supervising authority to which it is subject.</w:t>
      </w:r>
    </w:p>
    <w:p>
      <w:pPr>
        <w:spacing w:after="0" w:line="215" w:lineRule="exact"/>
        <w:rPr>
          <w:rFonts w:ascii="Times New Roman" w:cs="Times New Roman" w:eastAsia="Times New Roman" w:hAnsi="Times New Roman"/>
          <w:sz w:val="17"/>
          <w:szCs w:val="17"/>
          <w:color w:val="auto"/>
        </w:rPr>
      </w:pPr>
    </w:p>
    <w:p>
      <w:pPr>
        <w:ind w:left="1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Comptroller of the Currency</w:t>
      </w:r>
    </w:p>
    <w:p>
      <w:pPr>
        <w:spacing w:after="0" w:line="26" w:lineRule="exact"/>
        <w:rPr>
          <w:rFonts w:ascii="Times New Roman" w:cs="Times New Roman" w:eastAsia="Times New Roman" w:hAnsi="Times New Roman"/>
          <w:sz w:val="17"/>
          <w:szCs w:val="17"/>
          <w:color w:val="auto"/>
        </w:rPr>
      </w:pPr>
    </w:p>
    <w:p>
      <w:pPr>
        <w:ind w:left="1860" w:right="7100"/>
        <w:spacing w:after="0" w:line="20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340 Madison Avenue,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New York, NY 10017-2613</w:t>
      </w:r>
    </w:p>
    <w:p>
      <w:pPr>
        <w:spacing w:after="0" w:line="188" w:lineRule="exact"/>
        <w:rPr>
          <w:rFonts w:ascii="Times New Roman" w:cs="Times New Roman" w:eastAsia="Times New Roman" w:hAnsi="Times New Roman"/>
          <w:sz w:val="17"/>
          <w:szCs w:val="17"/>
          <w:color w:val="auto"/>
        </w:rPr>
      </w:pPr>
    </w:p>
    <w:p>
      <w:pPr>
        <w:ind w:left="1860" w:hanging="625"/>
        <w:spacing w:after="0"/>
        <w:tabs>
          <w:tab w:leader="none" w:pos="1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it is authorized to exercise corporate trust powers.</w:t>
      </w:r>
    </w:p>
    <w:p>
      <w:pPr>
        <w:spacing w:after="0" w:line="215"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7"/>
          <w:szCs w:val="17"/>
          <w:color w:val="auto"/>
        </w:rPr>
        <w:t>The trustee is authorized to exercise corporate trust powers.</w:t>
      </w:r>
    </w:p>
    <w:p>
      <w:pPr>
        <w:spacing w:after="0" w:line="21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xml:space="preserve">Affiliations with the obligor. </w:t>
      </w:r>
      <w:r>
        <w:rPr>
          <w:rFonts w:ascii="Times New Roman" w:cs="Times New Roman" w:eastAsia="Times New Roman" w:hAnsi="Times New Roman"/>
          <w:sz w:val="17"/>
          <w:szCs w:val="17"/>
          <w:color w:val="auto"/>
        </w:rPr>
        <w:t>If the obligor is an affiliate of the trustee, describe such affiliation.</w:t>
      </w:r>
    </w:p>
    <w:p>
      <w:pPr>
        <w:spacing w:after="0" w:line="21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None.</w:t>
      </w:r>
    </w:p>
    <w:p>
      <w:pPr>
        <w:spacing w:after="0" w:line="211" w:lineRule="exact"/>
        <w:rPr>
          <w:sz w:val="20"/>
          <w:szCs w:val="20"/>
          <w:color w:val="auto"/>
        </w:rPr>
      </w:pPr>
    </w:p>
    <w:p>
      <w:pPr>
        <w:ind w:left="1240" w:hanging="1231"/>
        <w:spacing w:after="0" w:line="285" w:lineRule="auto"/>
        <w:tabs>
          <w:tab w:leader="none" w:pos="1220" w:val="left"/>
        </w:tabs>
        <w:rPr>
          <w:sz w:val="20"/>
          <w:szCs w:val="20"/>
          <w:color w:val="auto"/>
        </w:rPr>
      </w:pPr>
      <w:r>
        <w:rPr>
          <w:rFonts w:ascii="Times New Roman" w:cs="Times New Roman" w:eastAsia="Times New Roman" w:hAnsi="Times New Roman"/>
          <w:sz w:val="17"/>
          <w:szCs w:val="17"/>
          <w:b w:val="1"/>
          <w:bCs w:val="1"/>
          <w:color w:val="auto"/>
        </w:rPr>
        <w:t>Items 3-15</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No responses are included for Items 3-15 of this Form T-1 because, to the best of the Trustee’s knowledge, neither the obligor nor any guarantor is in default under any Indenture for which the Trustee acts as Trustee and the Trustee is not a foreign trustee as provided under Item 15.</w:t>
      </w:r>
    </w:p>
    <w:p>
      <w:pPr>
        <w:spacing w:after="0" w:line="15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 xml:space="preserve">List of exhibits. </w:t>
      </w:r>
      <w:r>
        <w:rPr>
          <w:rFonts w:ascii="Times New Roman" w:cs="Times New Roman" w:eastAsia="Times New Roman" w:hAnsi="Times New Roman"/>
          <w:sz w:val="17"/>
          <w:szCs w:val="17"/>
          <w:color w:val="auto"/>
        </w:rPr>
        <w:t>List below all exhibits filed as a part of this statement of eligibility.</w:t>
      </w:r>
    </w:p>
    <w:p>
      <w:pPr>
        <w:spacing w:after="0" w:line="219" w:lineRule="exact"/>
        <w:rPr>
          <w:sz w:val="20"/>
          <w:szCs w:val="20"/>
          <w:color w:val="auto"/>
        </w:rPr>
      </w:pPr>
    </w:p>
    <w:p>
      <w:pPr>
        <w:ind w:left="1800" w:hanging="545"/>
        <w:spacing w:after="0"/>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articles of association of the trustee. (See Exhibit 1 to Form T-1 filed with Registration Statement No. 333-200089).</w:t>
      </w:r>
    </w:p>
    <w:p>
      <w:pPr>
        <w:spacing w:after="0" w:line="215" w:lineRule="exact"/>
        <w:rPr>
          <w:rFonts w:ascii="Times New Roman" w:cs="Times New Roman" w:eastAsia="Times New Roman" w:hAnsi="Times New Roman"/>
          <w:sz w:val="17"/>
          <w:szCs w:val="17"/>
          <w:color w:val="auto"/>
        </w:rPr>
      </w:pPr>
    </w:p>
    <w:p>
      <w:pPr>
        <w:ind w:left="1800" w:hanging="545"/>
        <w:spacing w:after="0"/>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certificate of authority of the trustee to commence business.</w:t>
      </w:r>
    </w:p>
    <w:p>
      <w:pPr>
        <w:spacing w:after="0" w:line="215" w:lineRule="exact"/>
        <w:rPr>
          <w:rFonts w:ascii="Times New Roman" w:cs="Times New Roman" w:eastAsia="Times New Roman" w:hAnsi="Times New Roman"/>
          <w:sz w:val="17"/>
          <w:szCs w:val="17"/>
          <w:color w:val="auto"/>
        </w:rPr>
      </w:pPr>
    </w:p>
    <w:p>
      <w:pPr>
        <w:ind w:left="1800" w:hanging="545"/>
        <w:spacing w:after="0"/>
        <w:tabs>
          <w:tab w:leader="none" w:pos="18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Comptroller of the Currency Certification of Fiduciary Powers for Computershare Trust Company, National Association.</w:t>
      </w:r>
    </w:p>
    <w:p>
      <w:pPr>
        <w:spacing w:after="0" w:line="215" w:lineRule="exact"/>
        <w:rPr>
          <w:rFonts w:ascii="Times New Roman" w:cs="Times New Roman" w:eastAsia="Times New Roman" w:hAnsi="Times New Roman"/>
          <w:sz w:val="17"/>
          <w:szCs w:val="17"/>
          <w:color w:val="auto"/>
        </w:rPr>
      </w:pPr>
    </w:p>
    <w:p>
      <w:pPr>
        <w:ind w:left="1780" w:hanging="545"/>
        <w:spacing w:after="0"/>
        <w:tabs>
          <w:tab w:leader="none" w:pos="1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existing bylaws of the trustee, as now in effect. (See Exhibit 4 to Form T-1 filed with Registration Statement No. 333-</w:t>
      </w:r>
    </w:p>
    <w:p>
      <w:pPr>
        <w:spacing w:after="0" w:line="26"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200089).</w:t>
      </w:r>
    </w:p>
    <w:p>
      <w:pPr>
        <w:spacing w:after="0" w:line="198" w:lineRule="exact"/>
        <w:rPr>
          <w:rFonts w:ascii="Times New Roman" w:cs="Times New Roman" w:eastAsia="Times New Roman" w:hAnsi="Times New Roman"/>
          <w:sz w:val="17"/>
          <w:szCs w:val="17"/>
          <w:color w:val="auto"/>
        </w:rPr>
      </w:pPr>
    </w:p>
    <w:p>
      <w:pPr>
        <w:ind w:left="1800" w:hanging="565"/>
        <w:spacing w:after="0"/>
        <w:tabs>
          <w:tab w:leader="none" w:pos="18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15" w:lineRule="exact"/>
        <w:rPr>
          <w:rFonts w:ascii="Times New Roman" w:cs="Times New Roman" w:eastAsia="Times New Roman" w:hAnsi="Times New Roman"/>
          <w:sz w:val="17"/>
          <w:szCs w:val="17"/>
          <w:color w:val="auto"/>
        </w:rPr>
      </w:pPr>
    </w:p>
    <w:p>
      <w:pPr>
        <w:ind w:left="1780" w:hanging="545"/>
        <w:spacing w:after="0"/>
        <w:tabs>
          <w:tab w:leader="none" w:pos="1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Trustee required by Section 321(b) of the Act.</w:t>
      </w:r>
    </w:p>
    <w:p>
      <w:pPr>
        <w:spacing w:after="0" w:line="215" w:lineRule="exact"/>
        <w:rPr>
          <w:rFonts w:ascii="Times New Roman" w:cs="Times New Roman" w:eastAsia="Times New Roman" w:hAnsi="Times New Roman"/>
          <w:sz w:val="17"/>
          <w:szCs w:val="17"/>
          <w:color w:val="auto"/>
        </w:rPr>
      </w:pPr>
    </w:p>
    <w:p>
      <w:pPr>
        <w:ind w:left="1220" w:right="360" w:firstLine="15"/>
        <w:spacing w:after="0" w:line="285" w:lineRule="auto"/>
        <w:tabs>
          <w:tab w:leader="none" w:pos="178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latest report of condition of the trustee published pursuant to law or the requirements of its supervising or examining authority.</w:t>
      </w:r>
    </w:p>
    <w:p>
      <w:pPr>
        <w:spacing w:after="0" w:line="151" w:lineRule="exact"/>
        <w:rPr>
          <w:rFonts w:ascii="Times New Roman" w:cs="Times New Roman" w:eastAsia="Times New Roman" w:hAnsi="Times New Roman"/>
          <w:sz w:val="17"/>
          <w:szCs w:val="17"/>
          <w:color w:val="auto"/>
        </w:rPr>
      </w:pPr>
    </w:p>
    <w:p>
      <w:pPr>
        <w:ind w:left="1800" w:hanging="565"/>
        <w:spacing w:after="0"/>
        <w:tabs>
          <w:tab w:leader="none" w:pos="18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15" w:lineRule="exact"/>
        <w:rPr>
          <w:rFonts w:ascii="Times New Roman" w:cs="Times New Roman" w:eastAsia="Times New Roman" w:hAnsi="Times New Roman"/>
          <w:sz w:val="17"/>
          <w:szCs w:val="17"/>
          <w:color w:val="auto"/>
        </w:rPr>
      </w:pPr>
    </w:p>
    <w:p>
      <w:pPr>
        <w:ind w:left="1800" w:hanging="565"/>
        <w:spacing w:after="0"/>
        <w:tabs>
          <w:tab w:leader="none" w:pos="18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71393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100"/>
          </w:cols>
          <w:pgMar w:left="320" w:top="119" w:right="47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Trust Indenture Act of 1939, the trustee, Computershare Trust Company, National Association, a national banking association, organized and existing under the laws of the United States, has duly caused this statement of eligibility to be signed on its behalf by the undersigned, thereunto duly authorized, all in the City of St. Paul, and State of Minnesota, on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day of November, 2026.</w:t>
      </w:r>
    </w:p>
    <w:p>
      <w:pPr>
        <w:spacing w:after="0" w:line="2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b w:val="1"/>
          <w:bCs w:val="1"/>
          <w:color w:val="auto"/>
        </w:rPr>
        <w:t>COMPUTERSHARE TRUST COMPANY, NATIONAL ASSOCIATION</w:t>
      </w:r>
    </w:p>
    <w:p>
      <w:pPr>
        <w:spacing w:after="0" w:line="219" w:lineRule="exact"/>
        <w:rPr>
          <w:sz w:val="20"/>
          <w:szCs w:val="20"/>
          <w:color w:val="auto"/>
        </w:rPr>
      </w:pPr>
    </w:p>
    <w:p>
      <w:pPr>
        <w:ind w:left="5320"/>
        <w:spacing w:after="0"/>
        <w:tabs>
          <w:tab w:leader="none" w:pos="57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Jacob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3669030</wp:posOffset>
            </wp:positionH>
            <wp:positionV relativeFrom="paragraph">
              <wp:posOffset>16510</wp:posOffset>
            </wp:positionV>
            <wp:extent cx="347154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3471545" cy="16510"/>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 Jacob Sheets</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241935</wp:posOffset>
            </wp:positionV>
            <wp:extent cx="71393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00024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the Comptroller of the Currency Certificate of Corporate Existence for Computershare Trust Company, National Association, dated October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139305" cy="6462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9305" cy="6462395"/>
                    </a:xfrm>
                    <a:prstGeom prst="rect">
                      <a:avLst/>
                    </a:prstGeom>
                    <a:noFill/>
                  </pic:spPr>
                </pic:pic>
              </a:graphicData>
            </a:graphic>
          </wp:anchor>
        </w:drawing>
      </w:r>
    </w:p>
    <w:p>
      <w:pPr>
        <w:sectPr>
          <w:pgSz w:w="11900" w:h="16838" w:orient="portrait"/>
          <w:cols w:equalWidth="0" w:num="1">
            <w:col w:w="10920"/>
          </w:cols>
          <w:pgMar w:left="320" w:top="324"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00024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copy of the Comptroller of the Currency Certification of Fiduciary Powers for Computershare Trust Company, National Association, dated October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139305" cy="6462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39305" cy="6462395"/>
                    </a:xfrm>
                    <a:prstGeom prst="rect">
                      <a:avLst/>
                    </a:prstGeom>
                    <a:noFill/>
                  </pic:spPr>
                </pic:pic>
              </a:graphicData>
            </a:graphic>
          </wp:anchor>
        </w:drawing>
      </w:r>
    </w:p>
    <w:p>
      <w:pPr>
        <w:sectPr>
          <w:pgSz w:w="11900" w:h="16838" w:orient="portrait"/>
          <w:cols w:equalWidth="0" w:num="1">
            <w:col w:w="10860"/>
          </w:cols>
          <w:pgMar w:left="320" w:top="119" w:right="7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EXHIBIT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00024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THE TRUSTEE</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Pursuant to the requirements of Section 321 (b) of the Trust Indenture Act of 1939, and in connection with the proposed issue of debt securities, Computershare Trust Company, National Association hereby consents that reports of examinations by Federal, State, Territorial or District authorities may be furnished by such authorities to the Securities and Exchange Commission upon request therefore.</w:t>
      </w:r>
    </w:p>
    <w:p>
      <w:pPr>
        <w:spacing w:after="0" w:line="1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COMPUTERSHARE TRUST COMPANY, NATIONAL ASSOCIATION</w:t>
      </w:r>
    </w:p>
    <w:p>
      <w:pPr>
        <w:spacing w:after="0" w:line="219" w:lineRule="exact"/>
        <w:rPr>
          <w:sz w:val="20"/>
          <w:szCs w:val="20"/>
          <w:color w:val="auto"/>
        </w:rPr>
      </w:pPr>
    </w:p>
    <w:tbl>
      <w:tblPr>
        <w:tblLayout w:type="fixed"/>
        <w:tblInd w:w="528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Jacob Sheets</w:t>
            </w:r>
          </w:p>
        </w:tc>
      </w:tr>
      <w:tr>
        <w:trPr>
          <w:trHeight w:val="222"/>
        </w:trPr>
        <w:tc>
          <w:tcPr>
            <w:tcW w:w="5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Title: Vice President</w:t>
            </w: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71393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00024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000240" cy="1651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Report of Condition of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COMPUTERSHARE TRUST COMPANY, NATIONAL ASSOCIATION</w:t>
      </w:r>
    </w:p>
    <w:p>
      <w:pPr>
        <w:spacing w:after="0" w:line="21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150 Royall Street, Canton, MA 02021</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color w:val="auto"/>
        </w:rPr>
        <w:t>at the close of business June 30, 2026.</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Dollar Amounts In Thousands</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Cash and balances due from depository institutions: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Noninterest bearing balances and currency and coin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bearing balances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344,958</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Securities: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Held-to-maturity securities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Federal funds sold and securities purchased under agreements to resell:</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 funds sold in domestic offices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Securities purchased under agreements to resell</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Loans and lease financing receivables: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and leases held for sale</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and leases, net of unearned income</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LESS: Allowance for loan and lease losses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 and leases, net of unearned income and allowance</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Trading assets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Premises and fixed assets (including capitalized leases)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16,812</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Other real estate owned</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Investments in unconsolidated subsidiaries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and associated companies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Direct and indirect investments in</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real estate ventures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134,206</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intangible assets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362,431</w:t>
            </w:r>
          </w:p>
        </w:tc>
        <w:tc>
          <w:tcPr>
            <w:tcW w:w="0" w:type="dxa"/>
            <w:vAlign w:val="bottom"/>
          </w:tcPr>
          <w:p>
            <w:pPr>
              <w:spacing w:after="0"/>
              <w:rPr>
                <w:sz w:val="1"/>
                <w:szCs w:val="1"/>
                <w:color w:val="auto"/>
              </w:rPr>
            </w:pPr>
          </w:p>
        </w:tc>
      </w:tr>
      <w:tr>
        <w:trPr>
          <w:trHeight w:val="227"/>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173,993</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1,033,105</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8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Deposits:</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 domestic offices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Noninterest bearing</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bearing</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Federal funds purchased and securities sold under agreements to repurchase: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 funds purchased in domestic offices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Securities sold under agreements to repurchase</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Trading liabilities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Other borrowed money: (includes mortgage indebtedness and obligations under capitalized leases)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Not applicable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Not applicable</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Subordinated notes and debentures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7"/>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198,836</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198,836</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EQUITY CAPITAL</w:t>
            </w:r>
          </w:p>
        </w:tc>
        <w:tc>
          <w:tcPr>
            <w:tcW w:w="3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8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Perpetual preferred stock and related surplus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Surplus (exclude all surplus related to preferred stock)</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749,500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84,269</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Other equity capital components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Total bank equity capital</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834,269</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Noncontrolling (minority) interests in consolidated subsidiaries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7"/>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Total equity capital</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834,269</w:t>
            </w:r>
          </w:p>
        </w:tc>
        <w:tc>
          <w:tcPr>
            <w:tcW w:w="0" w:type="dxa"/>
            <w:vAlign w:val="bottom"/>
          </w:tcPr>
          <w:p>
            <w:pPr>
              <w:spacing w:after="0"/>
              <w:rPr>
                <w:sz w:val="1"/>
                <w:szCs w:val="1"/>
                <w:color w:val="auto"/>
              </w:rPr>
            </w:pPr>
          </w:p>
        </w:tc>
      </w:tr>
      <w:tr>
        <w:trPr>
          <w:trHeight w:val="218"/>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equity capital</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1,033,105</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 Greg Brandt, Assistant Controller of the above named bank do hereby declare that this Report of Condition is true and correct to the best of my knowledge and belief.</w:t>
      </w:r>
    </w:p>
    <w:p>
      <w:pPr>
        <w:spacing w:after="0" w:line="152"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6"/>
          <w:szCs w:val="16"/>
          <w:color w:val="auto"/>
        </w:rPr>
        <w:t>/s/ Greg Brandt</w:t>
      </w:r>
    </w:p>
    <w:p>
      <w:pPr>
        <w:spacing w:after="0" w:line="227"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color w:val="auto"/>
        </w:rPr>
        <w:t>Greg Brandt</w:t>
      </w:r>
    </w:p>
    <w:p>
      <w:pPr>
        <w:spacing w:after="0" w:line="38"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color w:val="auto"/>
        </w:rPr>
        <w:t>Assistant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71393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6"/>
        </w:trPr>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Exhibit 107</w:t>
            </w:r>
          </w:p>
        </w:tc>
      </w:tr>
      <w:tr>
        <w:trPr>
          <w:trHeight w:val="372"/>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7"/>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S-3</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gridSpan w:val="2"/>
          </w:tcPr>
          <w:p>
            <w:pPr>
              <w:jc w:val="center"/>
              <w:ind w:right="674"/>
              <w:spacing w:after="0"/>
              <w:rPr>
                <w:sz w:val="20"/>
                <w:szCs w:val="20"/>
                <w:color w:val="auto"/>
              </w:rPr>
            </w:pPr>
            <w:r>
              <w:rPr>
                <w:rFonts w:ascii="Times New Roman" w:cs="Times New Roman" w:eastAsia="Times New Roman" w:hAnsi="Times New Roman"/>
                <w:sz w:val="17"/>
                <w:szCs w:val="17"/>
                <w:color w:val="auto"/>
                <w:w w:val="93"/>
              </w:rPr>
              <w:t>(Form Type)</w:t>
            </w: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68"/>
        </w:trPr>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gridSpan w:val="2"/>
          </w:tcPr>
          <w:p>
            <w:pPr>
              <w:jc w:val="center"/>
              <w:ind w:right="674"/>
              <w:spacing w:after="0"/>
              <w:rPr>
                <w:sz w:val="20"/>
                <w:szCs w:val="20"/>
                <w:color w:val="auto"/>
              </w:rPr>
            </w:pPr>
            <w:r>
              <w:rPr>
                <w:rFonts w:ascii="Times New Roman" w:cs="Times New Roman" w:eastAsia="Times New Roman" w:hAnsi="Times New Roman"/>
                <w:sz w:val="17"/>
                <w:szCs w:val="17"/>
                <w:b w:val="1"/>
                <w:bCs w:val="1"/>
                <w:color w:val="auto"/>
                <w:w w:val="93"/>
              </w:rPr>
              <w:t>Shopify Inc.</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40" w:type="dxa"/>
            <w:vAlign w:val="bottom"/>
            <w:gridSpan w:val="5"/>
          </w:tcPr>
          <w:p>
            <w:pPr>
              <w:jc w:val="center"/>
              <w:ind w:right="154"/>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62"/>
        </w:trPr>
        <w:tc>
          <w:tcPr>
            <w:tcW w:w="442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Not Applicable</w:t>
            </w:r>
          </w:p>
        </w:tc>
      </w:tr>
      <w:tr>
        <w:trPr>
          <w:trHeight w:val="63"/>
        </w:trPr>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Filing Fee</w:t>
            </w:r>
          </w:p>
        </w:tc>
      </w:tr>
      <w:tr>
        <w:trPr>
          <w:trHeight w:val="205"/>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Previously</w:t>
            </w:r>
          </w:p>
        </w:tc>
      </w:tr>
      <w:tr>
        <w:trPr>
          <w:trHeight w:val="205"/>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r>
      <w:tr>
        <w:trPr>
          <w:trHeight w:val="205"/>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Connection</w:t>
            </w:r>
          </w:p>
        </w:tc>
      </w:tr>
      <w:tr>
        <w:trPr>
          <w:trHeight w:val="205"/>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205"/>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Proposed</w:t>
            </w: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Unsold</w:t>
            </w:r>
          </w:p>
        </w:tc>
      </w:tr>
      <w:tr>
        <w:trPr>
          <w:trHeight w:val="205"/>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Carry</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r>
      <w:tr>
        <w:trPr>
          <w:trHeight w:val="205"/>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Carry</w:t>
            </w: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 be</w:t>
            </w:r>
          </w:p>
        </w:tc>
      </w:tr>
      <w:tr>
        <w:trPr>
          <w:trHeight w:val="205"/>
        </w:trPr>
        <w:tc>
          <w:tcPr>
            <w:tcW w:w="88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File</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w:t>
            </w:r>
          </w:p>
        </w:tc>
        <w:tc>
          <w:tcPr>
            <w:tcW w:w="100" w:type="dxa"/>
            <w:vAlign w:val="bottom"/>
            <w:tcBorders>
              <w:right w:val="single" w:sz="8" w:color="auto"/>
            </w:tcBorders>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r>
      <w:tr>
        <w:trPr>
          <w:trHeight w:val="251"/>
        </w:trPr>
        <w:tc>
          <w:tcPr>
            <w:tcW w:w="88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Class 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r>
      <w:tr>
        <w:trPr>
          <w:trHeight w:val="198"/>
        </w:trPr>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1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7"/>
        </w:trPr>
        <w:tc>
          <w:tcPr>
            <w:tcW w:w="880" w:type="dxa"/>
            <w:vAlign w:val="bottom"/>
            <w:tcBorders>
              <w:right w:val="single" w:sz="8" w:color="auto"/>
            </w:tcBorders>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Class A</w:t>
            </w:r>
          </w:p>
        </w:tc>
        <w:tc>
          <w:tcPr>
            <w:tcW w:w="9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5"/>
        </w:trPr>
        <w:tc>
          <w:tcPr>
            <w:tcW w:w="880" w:type="dxa"/>
            <w:vAlign w:val="bottom"/>
            <w:tcBorders>
              <w:right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Subordinate</w:t>
            </w: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880" w:type="dxa"/>
            <w:vAlign w:val="bottom"/>
            <w:tcBorders>
              <w:right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Voting</w:t>
            </w: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8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22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Shares (no</w:t>
            </w: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8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par value)</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78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0.0000870</w:t>
            </w: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r>
      <w:tr>
        <w:trPr>
          <w:trHeight w:val="214"/>
        </w:trPr>
        <w:tc>
          <w:tcPr>
            <w:tcW w:w="8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Preferred</w:t>
            </w: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205"/>
        </w:trPr>
        <w:tc>
          <w:tcPr>
            <w:tcW w:w="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2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Shares (no</w:t>
            </w:r>
          </w:p>
        </w:tc>
        <w:tc>
          <w:tcPr>
            <w:tcW w:w="9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r>
      <w:tr>
        <w:trPr>
          <w:trHeight w:val="241"/>
        </w:trPr>
        <w:tc>
          <w:tcPr>
            <w:tcW w:w="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par value)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0.0000870</w:t>
            </w: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14"/>
        </w:trPr>
        <w:tc>
          <w:tcPr>
            <w:tcW w:w="8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22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9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1"/>
        </w:trPr>
        <w:tc>
          <w:tcPr>
            <w:tcW w:w="8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Securities</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78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0.0000870</w:t>
            </w: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r>
      <w:tr>
        <w:trPr>
          <w:trHeight w:val="214"/>
        </w:trPr>
        <w:tc>
          <w:tcPr>
            <w:tcW w:w="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0.0000870</w:t>
            </w: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14"/>
        </w:trPr>
        <w:tc>
          <w:tcPr>
            <w:tcW w:w="8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22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Subscription</w:t>
            </w:r>
          </w:p>
        </w:tc>
        <w:tc>
          <w:tcPr>
            <w:tcW w:w="9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1"/>
        </w:trPr>
        <w:tc>
          <w:tcPr>
            <w:tcW w:w="88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Receipts</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78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0.0000870</w:t>
            </w: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r>
      <w:tr>
        <w:trPr>
          <w:trHeight w:val="214"/>
        </w:trPr>
        <w:tc>
          <w:tcPr>
            <w:tcW w:w="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2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Units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0.0000870</w:t>
            </w:r>
          </w:p>
        </w:tc>
        <w:tc>
          <w:tcPr>
            <w:tcW w:w="110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14"/>
        </w:trPr>
        <w:tc>
          <w:tcPr>
            <w:tcW w:w="8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22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5"/>
        </w:trPr>
        <w:tc>
          <w:tcPr>
            <w:tcW w:w="88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Previously</w:t>
            </w:r>
          </w:p>
        </w:tc>
        <w:tc>
          <w:tcPr>
            <w:tcW w:w="22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7"/>
        </w:trPr>
        <w:tc>
          <w:tcPr>
            <w:tcW w:w="880" w:type="dxa"/>
            <w:vAlign w:val="bottom"/>
            <w:tcBorders>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220" w:type="dxa"/>
            <w:vAlign w:val="bottom"/>
            <w:tcBorders>
              <w:bottom w:val="single" w:sz="8" w:color="CCEEFF"/>
              <w:right w:val="single" w:sz="8" w:color="auto"/>
            </w:tcBorders>
            <w:shd w:val="clear" w:color="auto" w:fill="CCEEFF"/>
          </w:tcPr>
          <w:p>
            <w:pPr>
              <w:spacing w:after="0"/>
              <w:rPr>
                <w:sz w:val="19"/>
                <w:szCs w:val="19"/>
                <w:color w:val="auto"/>
              </w:rPr>
            </w:pPr>
          </w:p>
        </w:tc>
        <w:tc>
          <w:tcPr>
            <w:tcW w:w="680" w:type="dxa"/>
            <w:vAlign w:val="bottom"/>
            <w:tcBorders>
              <w:bottom w:val="single" w:sz="8" w:color="CCEEFF"/>
              <w:right w:val="single" w:sz="8" w:color="auto"/>
            </w:tcBorders>
            <w:shd w:val="clear" w:color="auto" w:fill="CCEEFF"/>
          </w:tcPr>
          <w:p>
            <w:pPr>
              <w:spacing w:after="0"/>
              <w:rPr>
                <w:sz w:val="19"/>
                <w:szCs w:val="19"/>
                <w:color w:val="auto"/>
              </w:rPr>
            </w:pPr>
          </w:p>
        </w:tc>
        <w:tc>
          <w:tcPr>
            <w:tcW w:w="900" w:type="dxa"/>
            <w:vAlign w:val="bottom"/>
            <w:tcBorders>
              <w:bottom w:val="single" w:sz="8" w:color="CCEEFF"/>
              <w:right w:val="single" w:sz="8" w:color="auto"/>
            </w:tcBorders>
            <w:shd w:val="clear" w:color="auto" w:fill="CCEEFF"/>
          </w:tcPr>
          <w:p>
            <w:pPr>
              <w:spacing w:after="0"/>
              <w:rPr>
                <w:sz w:val="19"/>
                <w:szCs w:val="19"/>
                <w:color w:val="auto"/>
              </w:rPr>
            </w:pPr>
          </w:p>
        </w:tc>
        <w:tc>
          <w:tcPr>
            <w:tcW w:w="90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20" w:type="dxa"/>
            <w:vAlign w:val="bottom"/>
            <w:tcBorders>
              <w:bottom w:val="single" w:sz="8" w:color="CCEEFF"/>
              <w:right w:val="single" w:sz="8" w:color="auto"/>
            </w:tcBorders>
            <w:shd w:val="clear" w:color="auto" w:fill="CCEEFF"/>
          </w:tcPr>
          <w:p>
            <w:pPr>
              <w:spacing w:after="0"/>
              <w:rPr>
                <w:sz w:val="19"/>
                <w:szCs w:val="19"/>
                <w:color w:val="auto"/>
              </w:rPr>
            </w:pPr>
          </w:p>
        </w:tc>
        <w:tc>
          <w:tcPr>
            <w:tcW w:w="780" w:type="dxa"/>
            <w:vAlign w:val="bottom"/>
            <w:tcBorders>
              <w:bottom w:val="single" w:sz="8" w:color="CCEEFF"/>
              <w:right w:val="single" w:sz="8" w:color="auto"/>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110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0"/>
        </w:trPr>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930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393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-4253230</wp:posOffset>
            </wp:positionV>
            <wp:extent cx="7198995" cy="5509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98995" cy="5509260"/>
                    </a:xfrm>
                    <a:prstGeom prst="rect">
                      <a:avLst/>
                    </a:prstGeom>
                    <a:noFill/>
                  </pic:spPr>
                </pic:pic>
              </a:graphicData>
            </a:graphic>
          </wp:anchor>
        </w:drawing>
      </w: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Carry Forward Securities</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Carry</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Forward</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Securities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16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$0.00</w:t>
            </w:r>
          </w:p>
        </w:tc>
        <w:tc>
          <w:tcPr>
            <w:tcW w:w="4860" w:type="dxa"/>
            <w:vAlign w:val="bottom"/>
            <w:tcBorders>
              <w:bottom w:val="single" w:sz="8" w:color="auto"/>
            </w:tcBorders>
          </w:tcPr>
          <w:p>
            <w:pPr>
              <w:jc w:val="right"/>
              <w:ind w:right="3714"/>
              <w:spacing w:after="0"/>
              <w:rPr>
                <w:sz w:val="20"/>
                <w:szCs w:val="20"/>
                <w:color w:val="auto"/>
              </w:rPr>
            </w:pPr>
            <w:r>
              <w:rPr>
                <w:rFonts w:ascii="Times New Roman" w:cs="Times New Roman" w:eastAsia="Times New Roman" w:hAnsi="Times New Roman"/>
                <w:sz w:val="17"/>
                <w:szCs w:val="17"/>
                <w:color w:val="auto"/>
              </w:rPr>
              <w:t>$0.00</w:t>
            </w:r>
          </w:p>
        </w:tc>
      </w:tr>
      <w:tr>
        <w:trPr>
          <w:trHeight w:val="250"/>
        </w:trPr>
        <w:tc>
          <w:tcPr>
            <w:tcW w:w="48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1620" w:type="dxa"/>
            <w:vAlign w:val="bottom"/>
            <w:tcBorders>
              <w:bottom w:val="single" w:sz="8" w:color="auto"/>
            </w:tcBorders>
            <w:shd w:val="clear" w:color="auto" w:fill="CCEEFF"/>
          </w:tcPr>
          <w:p>
            <w:pPr>
              <w:spacing w:after="0"/>
              <w:rPr>
                <w:sz w:val="21"/>
                <w:szCs w:val="21"/>
                <w:color w:val="auto"/>
              </w:rPr>
            </w:pPr>
          </w:p>
        </w:tc>
        <w:tc>
          <w:tcPr>
            <w:tcW w:w="4860" w:type="dxa"/>
            <w:vAlign w:val="bottom"/>
            <w:tcBorders>
              <w:bottom w:val="single" w:sz="8" w:color="auto"/>
            </w:tcBorders>
            <w:shd w:val="clear" w:color="auto" w:fill="CCEEFF"/>
          </w:tcPr>
          <w:p>
            <w:pPr>
              <w:jc w:val="right"/>
              <w:ind w:right="3714"/>
              <w:spacing w:after="0"/>
              <w:rPr>
                <w:sz w:val="20"/>
                <w:szCs w:val="20"/>
                <w:color w:val="auto"/>
              </w:rPr>
            </w:pPr>
            <w:r>
              <w:rPr>
                <w:rFonts w:ascii="Times New Roman" w:cs="Times New Roman" w:eastAsia="Times New Roman" w:hAnsi="Times New Roman"/>
                <w:sz w:val="17"/>
                <w:szCs w:val="17"/>
                <w:color w:val="auto"/>
              </w:rPr>
              <w:t>$0.00</w:t>
            </w:r>
          </w:p>
        </w:tc>
      </w:tr>
      <w:tr>
        <w:trPr>
          <w:trHeight w:val="250"/>
        </w:trPr>
        <w:tc>
          <w:tcPr>
            <w:tcW w:w="4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1620" w:type="dxa"/>
            <w:vAlign w:val="bottom"/>
            <w:tcBorders>
              <w:bottom w:val="single" w:sz="8" w:color="auto"/>
            </w:tcBorders>
          </w:tcPr>
          <w:p>
            <w:pPr>
              <w:spacing w:after="0"/>
              <w:rPr>
                <w:sz w:val="21"/>
                <w:szCs w:val="21"/>
                <w:color w:val="auto"/>
              </w:rPr>
            </w:pPr>
          </w:p>
        </w:tc>
        <w:tc>
          <w:tcPr>
            <w:tcW w:w="4860" w:type="dxa"/>
            <w:vAlign w:val="bottom"/>
            <w:tcBorders>
              <w:bottom w:val="single" w:sz="8" w:color="auto"/>
            </w:tcBorders>
          </w:tcPr>
          <w:p>
            <w:pPr>
              <w:jc w:val="right"/>
              <w:ind w:right="3714"/>
              <w:spacing w:after="0"/>
              <w:rPr>
                <w:sz w:val="20"/>
                <w:szCs w:val="20"/>
                <w:color w:val="auto"/>
              </w:rPr>
            </w:pPr>
            <w:r>
              <w:rPr>
                <w:rFonts w:ascii="Times New Roman" w:cs="Times New Roman" w:eastAsia="Times New Roman" w:hAnsi="Times New Roman"/>
                <w:sz w:val="17"/>
                <w:szCs w:val="17"/>
                <w:color w:val="auto"/>
              </w:rPr>
              <w:t>$0.00</w:t>
            </w:r>
          </w:p>
        </w:tc>
      </w:tr>
      <w:tr>
        <w:trPr>
          <w:trHeight w:val="238"/>
        </w:trPr>
        <w:tc>
          <w:tcPr>
            <w:tcW w:w="486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1620" w:type="dxa"/>
            <w:vAlign w:val="bottom"/>
          </w:tcPr>
          <w:p>
            <w:pPr>
              <w:spacing w:after="0"/>
              <w:rPr>
                <w:sz w:val="20"/>
                <w:szCs w:val="20"/>
                <w:color w:val="auto"/>
              </w:rPr>
            </w:pPr>
          </w:p>
        </w:tc>
        <w:tc>
          <w:tcPr>
            <w:tcW w:w="4860" w:type="dxa"/>
            <w:vAlign w:val="bottom"/>
          </w:tcPr>
          <w:p>
            <w:pPr>
              <w:jc w:val="right"/>
              <w:ind w:right="3714"/>
              <w:spacing w:after="0"/>
              <w:rPr>
                <w:sz w:val="20"/>
                <w:szCs w:val="20"/>
                <w:color w:val="auto"/>
              </w:rPr>
            </w:pPr>
            <w:r>
              <w:rPr>
                <w:rFonts w:ascii="Times New Roman" w:cs="Times New Roman" w:eastAsia="Times New Roman" w:hAnsi="Times New Roman"/>
                <w:sz w:val="17"/>
                <w:szCs w:val="17"/>
                <w:color w:val="auto"/>
              </w:rPr>
              <w:t>$0.00</w:t>
            </w:r>
          </w:p>
        </w:tc>
      </w:tr>
    </w:tbl>
    <w:p>
      <w:pPr>
        <w:spacing w:after="0"/>
        <w:rPr>
          <w:sz w:val="20"/>
          <w:szCs w:val="20"/>
          <w:color w:val="auto"/>
        </w:rPr>
      </w:pPr>
      <w:r>
        <w:rPr>
          <w:rFonts w:ascii="Times New Roman" w:cs="Times New Roman" w:eastAsia="Times New Roman" w:hAnsi="Times New Roman"/>
          <w:sz w:val="17"/>
          <w:szCs w:val="17"/>
          <w:b w:val="1"/>
          <w:bCs w:val="1"/>
          <w:color w:val="auto"/>
        </w:rPr>
        <w:t>Offering Note</w:t>
      </w:r>
    </w:p>
    <w:p>
      <w:pPr>
        <w:spacing w:after="0" w:line="56" w:lineRule="exact"/>
        <w:rPr>
          <w:sz w:val="20"/>
          <w:szCs w:val="20"/>
          <w:color w:val="auto"/>
        </w:rPr>
      </w:pPr>
    </w:p>
    <w:p>
      <w:pPr>
        <w:ind w:left="180" w:right="480" w:hanging="139"/>
        <w:spacing w:after="0" w:line="268" w:lineRule="auto"/>
        <w:tabs>
          <w:tab w:leader="none" w:pos="1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1a. Pursuant to Rules 456(b) and 457(r) under the Securities Act of 1933, as amended (the “Securities Act”), Shopify Inc. (the "Registrant") is deferring payment of all of the registration fee relating to the securities that are registered and available for sale under the Registration Statement to which this exhibit pertains (this "Registration Statement").</w:t>
      </w:r>
    </w:p>
    <w:p>
      <w:pPr>
        <w:spacing w:after="0" w:line="166" w:lineRule="exact"/>
        <w:rPr>
          <w:rFonts w:ascii="Times New Roman" w:cs="Times New Roman" w:eastAsia="Times New Roman" w:hAnsi="Times New Roman"/>
          <w:sz w:val="17"/>
          <w:szCs w:val="17"/>
          <w:color w:val="auto"/>
        </w:rPr>
      </w:pPr>
    </w:p>
    <w:p>
      <w:pPr>
        <w:ind w:left="180" w:right="3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1b. There are being registered under this Registration Statement an indeterminate aggregate initial offering price and an indeterminate number or amount of Class A Subordinate Voting Shares, Preferred Shares, Debt Securities, Warrants, Subscription Receipts and Units of the Registrant. The proposed maximum offering price per security will be determined from time to time by the Registrant in connection with the issuance by the Registrant of the securities registered hereunder.</w:t>
      </w:r>
    </w:p>
    <w:p>
      <w:pPr>
        <w:spacing w:after="0" w:line="169" w:lineRule="exact"/>
        <w:rPr>
          <w:rFonts w:ascii="Times New Roman" w:cs="Times New Roman" w:eastAsia="Times New Roman" w:hAnsi="Times New Roman"/>
          <w:sz w:val="17"/>
          <w:szCs w:val="17"/>
          <w:color w:val="auto"/>
        </w:rPr>
      </w:pPr>
    </w:p>
    <w:p>
      <w:pPr>
        <w:ind w:left="180" w:right="1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1c. A registration fee of $1,091,000 was previously paid with respect to the $10,000,000,000 of securities registered under the Registrant's registration statement on Form F-10 filed on July 27, 2021 (File No. 333-258189) (the "2021 Registration Statement"). $10,000,000,000 remained unutilized under the 2021 Registration Statement and the $1,091,000 registration fee for the 2021 Registration Statement was used to offset the $927,000 registration fee required with respect to the $10,000,000,000 of securities registered under the Registrant's registration statement on Form F-10 filed on September 9, 2022 (File No. 333-267353) (the "2022 Registration Statement"). $10,000,000,000 remained unutilized under the 2022 Registration Statement and the $1,091,000 of registration fees from the 2022 Registration Statement was used to offset the $1,531,000 registration fee required with respect to the $10,000,000,000 of securities registered under the Registrant's registration statement on Form F-10 filed on November 12, 2024 (File No. 333-283168) (the "2024 Registration Statement"). The Registrant paid $440,000 as a contemporaneous fee payment for the remainder of the fee due in connection with the 2024 Registration Statement. $10,000,000,000 remains unutilized under the 2024 Registration Statement and therefore $1,531,000 of registration fees from the 2024 Registration Statement remain available for future offsets pursuant to Rule 457(p) under the Securities Act. As the total filing fee required for this Registration Statement is $0, taking into consideration the aggregate available offset of $1,531,000 from the 2024 Registration Statement, the Registrant has accordingly transmitted $0 for this Registration Statement.</w:t>
      </w:r>
    </w:p>
    <w:p>
      <w:pPr>
        <w:spacing w:after="0" w:line="100" w:lineRule="exact"/>
        <w:rPr>
          <w:sz w:val="20"/>
          <w:szCs w:val="20"/>
          <w:color w:val="auto"/>
        </w:rPr>
      </w:pPr>
    </w:p>
    <w:p>
      <w:pPr>
        <w:ind w:left="180" w:hanging="139"/>
        <w:spacing w:after="0"/>
        <w:tabs>
          <w:tab w:leader="none" w:pos="1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w:t>
      </w:r>
    </w:p>
    <w:p>
      <w:pPr>
        <w:spacing w:after="0" w:line="138" w:lineRule="exact"/>
        <w:rPr>
          <w:rFonts w:ascii="Times New Roman" w:cs="Times New Roman" w:eastAsia="Times New Roman" w:hAnsi="Times New Roman"/>
          <w:sz w:val="17"/>
          <w:szCs w:val="17"/>
          <w:color w:val="auto"/>
        </w:rPr>
      </w:pPr>
    </w:p>
    <w:p>
      <w:pPr>
        <w:ind w:left="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See Note 1.</w:t>
      </w:r>
    </w:p>
    <w:p>
      <w:pPr>
        <w:sectPr>
          <w:pgSz w:w="11900" w:h="16838" w:orient="portrait"/>
          <w:cols w:equalWidth="0" w:num="1">
            <w:col w:w="11340"/>
          </w:cols>
          <w:pgMar w:left="320" w:top="299" w:right="239" w:bottom="0" w:gutter="0" w:footer="0" w:header="0"/>
        </w:sectPr>
      </w:pPr>
    </w:p>
    <w:bookmarkStart w:id="47" w:name="page48"/>
    <w:bookmarkEnd w:id="47"/>
    <w:p>
      <w:pPr>
        <w:ind w:left="140" w:hanging="139"/>
        <w:spacing w:after="0"/>
        <w:tabs>
          <w:tab w:leader="none" w:pos="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Note 1.</w:t>
      </w:r>
    </w:p>
    <w:p>
      <w:pPr>
        <w:spacing w:after="0" w:line="1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See Note 1.</w:t>
      </w:r>
    </w:p>
    <w:p>
      <w:pPr>
        <w:spacing w:after="0" w:line="1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See Note 1.</w:t>
      </w:r>
    </w:p>
    <w:p>
      <w:pPr>
        <w:sectPr>
          <w:pgSz w:w="11900" w:h="16838" w:orient="portrait"/>
          <w:cols w:equalWidth="0" w:num="1">
            <w:col w:w="10099"/>
          </w:cols>
          <w:pgMar w:left="360" w:top="123" w:right="1440"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89"/>
        </w:trPr>
        <w:tc>
          <w:tcPr>
            <w:tcW w:w="3440" w:type="dxa"/>
            <w:vAlign w:val="bottom"/>
            <w:gridSpan w:val="5"/>
          </w:tcPr>
          <w:p>
            <w:pPr>
              <w:jc w:val="center"/>
              <w:ind w:right="494"/>
              <w:spacing w:after="0"/>
              <w:rPr>
                <w:sz w:val="20"/>
                <w:szCs w:val="20"/>
                <w:color w:val="auto"/>
              </w:rPr>
            </w:pPr>
            <w:r>
              <w:rPr>
                <w:rFonts w:ascii="Times New Roman" w:cs="Times New Roman" w:eastAsia="Times New Roman" w:hAnsi="Times New Roman"/>
                <w:sz w:val="17"/>
                <w:szCs w:val="17"/>
                <w:b w:val="1"/>
                <w:bCs w:val="1"/>
                <w:color w:val="auto"/>
                <w:w w:val="99"/>
              </w:rPr>
              <w:t>Table 2: Fee Offset Claims and Sources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gridSpan w:val="2"/>
          </w:tcPr>
          <w:p>
            <w:pPr>
              <w:ind w:left="940"/>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Not Applicable</w:t>
            </w:r>
          </w:p>
        </w:tc>
        <w:tc>
          <w:tcPr>
            <w:tcW w:w="0" w:type="dxa"/>
            <w:vAlign w:val="bottom"/>
          </w:tcPr>
          <w:p>
            <w:pPr>
              <w:spacing w:after="0"/>
              <w:rPr>
                <w:sz w:val="1"/>
                <w:szCs w:val="1"/>
                <w:color w:val="auto"/>
              </w:rPr>
            </w:pPr>
          </w:p>
        </w:tc>
      </w:tr>
      <w:tr>
        <w:trPr>
          <w:trHeight w:val="63"/>
        </w:trPr>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20" w:type="dxa"/>
            <w:vAlign w:val="bottom"/>
            <w:tcBorders>
              <w:left w:val="single" w:sz="8" w:color="auto"/>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10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b w:val="1"/>
                <w:bCs w:val="1"/>
                <w:color w:val="auto"/>
              </w:rPr>
              <w:t>Unsold</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10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Security</w:t>
            </w:r>
          </w:p>
        </w:tc>
        <w:tc>
          <w:tcPr>
            <w:tcW w:w="10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Unsold</w:t>
            </w:r>
          </w:p>
        </w:tc>
        <w:tc>
          <w:tcPr>
            <w:tcW w:w="134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9"/>
              </w:rPr>
              <w:t>Aggregate</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right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Associated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Associated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Associated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 Paid</w:t>
            </w: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Registrant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 or</w:t>
            </w: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with Fee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with Fee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with Fee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Associated</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with Fee</w:t>
            </w: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Filer</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Filing</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File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Initial</w:t>
            </w:r>
          </w:p>
        </w:tc>
        <w:tc>
          <w:tcPr>
            <w:tcW w:w="8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Fee Offset</w:t>
            </w:r>
          </w:p>
        </w:tc>
        <w:tc>
          <w:tcPr>
            <w:tcW w:w="60" w:type="dxa"/>
            <w:vAlign w:val="bottom"/>
          </w:tcPr>
          <w:p>
            <w:pPr>
              <w:spacing w:after="0"/>
              <w:rPr>
                <w:sz w:val="17"/>
                <w:szCs w:val="17"/>
                <w:color w:val="auto"/>
              </w:rPr>
            </w:pPr>
          </w:p>
        </w:tc>
        <w:tc>
          <w:tcPr>
            <w:tcW w:w="900" w:type="dxa"/>
            <w:vAlign w:val="bottom"/>
            <w:tcBorders>
              <w:right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Offset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Offset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Offset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with Fee Offset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Offset</w:t>
            </w:r>
          </w:p>
        </w:tc>
        <w:tc>
          <w:tcPr>
            <w:tcW w:w="0" w:type="dxa"/>
            <w:vAlign w:val="bottom"/>
          </w:tcPr>
          <w:p>
            <w:pPr>
              <w:spacing w:after="0"/>
              <w:rPr>
                <w:sz w:val="1"/>
                <w:szCs w:val="1"/>
                <w:color w:val="auto"/>
              </w:rPr>
            </w:pPr>
          </w:p>
        </w:tc>
      </w:tr>
      <w:tr>
        <w:trPr>
          <w:trHeight w:val="251"/>
        </w:trPr>
        <w:tc>
          <w:tcPr>
            <w:tcW w:w="82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Claimed</w:t>
            </w:r>
          </w:p>
        </w:tc>
        <w:tc>
          <w:tcPr>
            <w:tcW w:w="6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Claimed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Claimed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Claimed</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Claimed</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Source</w:t>
            </w: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Rules 457(b) and 0-11(a)(2)</w:t>
            </w: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w:t>
            </w:r>
          </w:p>
        </w:tc>
        <w:tc>
          <w:tcPr>
            <w:tcW w:w="20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Offset</w:t>
            </w:r>
          </w:p>
        </w:tc>
        <w:tc>
          <w:tcPr>
            <w:tcW w:w="20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820" w:type="dxa"/>
            <w:vAlign w:val="bottom"/>
            <w:tcBorders>
              <w:left w:val="single" w:sz="8" w:color="auto"/>
              <w:bottom w:val="single" w:sz="8" w:color="CCEEFF"/>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Claims</w:t>
            </w: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70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shd w:val="clear" w:color="auto" w:fill="CCEEFF"/>
          </w:tcPr>
          <w:p>
            <w:pPr>
              <w:spacing w:after="0"/>
              <w:rPr>
                <w:sz w:val="21"/>
                <w:szCs w:val="21"/>
                <w:color w:val="auto"/>
              </w:rPr>
            </w:pPr>
          </w:p>
        </w:tc>
        <w:tc>
          <w:tcPr>
            <w:tcW w:w="1340" w:type="dxa"/>
            <w:vAlign w:val="bottom"/>
            <w:tcBorders>
              <w:bottom w:val="single" w:sz="8" w:color="CCEEFF"/>
              <w:right w:val="single" w:sz="8" w:color="auto"/>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2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w:t>
            </w:r>
          </w:p>
        </w:tc>
        <w:tc>
          <w:tcPr>
            <w:tcW w:w="20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Offset</w:t>
            </w:r>
          </w:p>
        </w:tc>
        <w:tc>
          <w:tcPr>
            <w:tcW w:w="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Sources</w:t>
            </w:r>
          </w:p>
        </w:tc>
        <w:tc>
          <w:tcPr>
            <w:tcW w:w="20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820" w:type="dxa"/>
            <w:vAlign w:val="bottom"/>
            <w:tcBorders>
              <w:left w:val="single" w:sz="8" w:color="auto"/>
              <w:bottom w:val="single" w:sz="8" w:color="auto"/>
              <w:right w:val="single" w:sz="8" w:color="CCEEFF"/>
            </w:tcBorders>
            <w:shd w:val="clear" w:color="auto" w:fill="CCEEFF"/>
          </w:tcPr>
          <w:p>
            <w:pPr>
              <w:spacing w:after="0"/>
              <w:rPr>
                <w:sz w:val="17"/>
                <w:szCs w:val="17"/>
                <w:color w:val="auto"/>
              </w:rPr>
            </w:pPr>
          </w:p>
        </w:tc>
        <w:tc>
          <w:tcPr>
            <w:tcW w:w="200" w:type="dxa"/>
            <w:vAlign w:val="bottom"/>
            <w:tcBorders>
              <w:bottom w:val="single" w:sz="8" w:color="auto"/>
              <w:right w:val="single" w:sz="8" w:color="CCEEFF"/>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spacing w:after="0"/>
              <w:rPr>
                <w:sz w:val="17"/>
                <w:szCs w:val="17"/>
                <w:color w:val="auto"/>
              </w:rPr>
            </w:pPr>
          </w:p>
        </w:tc>
        <w:tc>
          <w:tcPr>
            <w:tcW w:w="700" w:type="dxa"/>
            <w:vAlign w:val="bottom"/>
            <w:tcBorders>
              <w:bottom w:val="single" w:sz="8" w:color="auto"/>
              <w:right w:val="single" w:sz="8" w:color="CCEEFF"/>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spacing w:after="0"/>
              <w:rPr>
                <w:sz w:val="17"/>
                <w:szCs w:val="17"/>
                <w:color w:val="auto"/>
              </w:rPr>
            </w:pPr>
          </w:p>
        </w:tc>
        <w:tc>
          <w:tcPr>
            <w:tcW w:w="860" w:type="dxa"/>
            <w:vAlign w:val="bottom"/>
            <w:tcBorders>
              <w:bottom w:val="single" w:sz="8" w:color="auto"/>
              <w:right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Rule 457(p)</w:t>
            </w:r>
          </w:p>
        </w:tc>
        <w:tc>
          <w:tcPr>
            <w:tcW w:w="900" w:type="dxa"/>
            <w:vAlign w:val="bottom"/>
            <w:tcBorders>
              <w:bottom w:val="single" w:sz="8" w:color="auto"/>
              <w:right w:val="single" w:sz="8" w:color="CCEEFF"/>
            </w:tcBorders>
            <w:shd w:val="clear" w:color="auto" w:fill="CCEEFF"/>
          </w:tcPr>
          <w:p>
            <w:pPr>
              <w:spacing w:after="0"/>
              <w:rPr>
                <w:sz w:val="17"/>
                <w:szCs w:val="17"/>
                <w:color w:val="auto"/>
              </w:rPr>
            </w:pPr>
          </w:p>
        </w:tc>
        <w:tc>
          <w:tcPr>
            <w:tcW w:w="1000" w:type="dxa"/>
            <w:vAlign w:val="bottom"/>
            <w:tcBorders>
              <w:bottom w:val="single" w:sz="8" w:color="auto"/>
              <w:right w:val="single" w:sz="8" w:color="CCEEFF"/>
            </w:tcBorders>
            <w:shd w:val="clear" w:color="auto" w:fill="CCEEFF"/>
          </w:tcPr>
          <w:p>
            <w:pPr>
              <w:spacing w:after="0"/>
              <w:rPr>
                <w:sz w:val="17"/>
                <w:szCs w:val="17"/>
                <w:color w:val="auto"/>
              </w:rPr>
            </w:pPr>
          </w:p>
        </w:tc>
        <w:tc>
          <w:tcPr>
            <w:tcW w:w="1000" w:type="dxa"/>
            <w:vAlign w:val="bottom"/>
            <w:tcBorders>
              <w:bottom w:val="single" w:sz="8" w:color="auto"/>
              <w:right w:val="single" w:sz="8" w:color="CCEEFF"/>
            </w:tcBorders>
            <w:shd w:val="clear" w:color="auto" w:fill="CCEEFF"/>
          </w:tcPr>
          <w:p>
            <w:pPr>
              <w:spacing w:after="0"/>
              <w:rPr>
                <w:sz w:val="17"/>
                <w:szCs w:val="17"/>
                <w:color w:val="auto"/>
              </w:rPr>
            </w:pPr>
          </w:p>
        </w:tc>
        <w:tc>
          <w:tcPr>
            <w:tcW w:w="1340" w:type="dxa"/>
            <w:vAlign w:val="bottom"/>
            <w:tcBorders>
              <w:bottom w:val="single" w:sz="8" w:color="auto"/>
              <w:right w:val="single" w:sz="8" w:color="CCEEFF"/>
            </w:tcBorders>
            <w:shd w:val="clear" w:color="auto" w:fill="CCEEFF"/>
          </w:tcPr>
          <w:p>
            <w:pPr>
              <w:spacing w:after="0"/>
              <w:rPr>
                <w:sz w:val="17"/>
                <w:szCs w:val="17"/>
                <w:color w:val="auto"/>
              </w:rPr>
            </w:pPr>
          </w:p>
        </w:tc>
        <w:tc>
          <w:tcPr>
            <w:tcW w:w="9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w:t>
            </w:r>
          </w:p>
        </w:tc>
        <w:tc>
          <w:tcPr>
            <w:tcW w:w="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Unallocated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Unallocated</w:t>
            </w:r>
          </w:p>
        </w:tc>
        <w:tc>
          <w:tcPr>
            <w:tcW w:w="10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Offset</w:t>
            </w:r>
          </w:p>
        </w:tc>
        <w:tc>
          <w:tcPr>
            <w:tcW w:w="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Shopify</w:t>
            </w: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333-</w:t>
            </w: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10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Claims</w:t>
            </w:r>
          </w:p>
        </w:tc>
        <w:tc>
          <w:tcPr>
            <w:tcW w:w="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Inc.</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F-10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283168</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11/12/2024</w:t>
            </w:r>
          </w:p>
        </w:tc>
        <w:tc>
          <w:tcPr>
            <w:tcW w:w="8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$ 0.00</w:t>
            </w: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Shelf</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10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10,000,000,000.00</w:t>
            </w: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w:t>
            </w:r>
          </w:p>
        </w:tc>
        <w:tc>
          <w:tcPr>
            <w:tcW w:w="20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Offset</w:t>
            </w:r>
          </w:p>
        </w:tc>
        <w:tc>
          <w:tcPr>
            <w:tcW w:w="20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Shopify</w:t>
            </w:r>
          </w:p>
        </w:tc>
        <w:tc>
          <w:tcPr>
            <w:tcW w:w="7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333-</w:t>
            </w:r>
          </w:p>
        </w:tc>
        <w:tc>
          <w:tcPr>
            <w:tcW w:w="88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47"/>
        </w:trPr>
        <w:tc>
          <w:tcPr>
            <w:tcW w:w="8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Sources</w:t>
            </w:r>
          </w:p>
        </w:tc>
        <w:tc>
          <w:tcPr>
            <w:tcW w:w="200" w:type="dxa"/>
            <w:vAlign w:val="bottom"/>
            <w:tcBorders>
              <w:bottom w:val="single" w:sz="8" w:color="auto"/>
              <w:right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Inc.</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F-10</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283168</w:t>
            </w:r>
          </w:p>
        </w:tc>
        <w:tc>
          <w:tcPr>
            <w:tcW w:w="880" w:type="dxa"/>
            <w:vAlign w:val="bottom"/>
            <w:tcBorders>
              <w:bottom w:val="single" w:sz="8" w:color="auto"/>
              <w:right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11/12/2024</w:t>
            </w:r>
          </w:p>
        </w:tc>
        <w:tc>
          <w:tcPr>
            <w:tcW w:w="820" w:type="dxa"/>
            <w:vAlign w:val="bottom"/>
            <w:tcBorders>
              <w:bottom w:val="single" w:sz="8" w:color="auto"/>
              <w:right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spacing w:after="0"/>
              <w:rPr>
                <w:sz w:val="21"/>
                <w:szCs w:val="21"/>
                <w:color w:val="auto"/>
              </w:rPr>
            </w:pPr>
          </w:p>
        </w:tc>
        <w:tc>
          <w:tcPr>
            <w:tcW w:w="1340" w:type="dxa"/>
            <w:vAlign w:val="bottom"/>
            <w:tcBorders>
              <w:bottom w:val="single" w:sz="8" w:color="auto"/>
              <w:right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440,000.00</w:t>
            </w:r>
          </w:p>
        </w:tc>
        <w:tc>
          <w:tcPr>
            <w:tcW w:w="0" w:type="dxa"/>
            <w:vAlign w:val="bottom"/>
          </w:tcPr>
          <w:p>
            <w:pPr>
              <w:spacing w:after="0"/>
              <w:rPr>
                <w:sz w:val="1"/>
                <w:szCs w:val="1"/>
                <w:color w:val="auto"/>
              </w:rPr>
            </w:pPr>
          </w:p>
        </w:tc>
      </w:tr>
      <w:tr>
        <w:trPr>
          <w:trHeight w:val="207"/>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w:t>
            </w:r>
          </w:p>
        </w:tc>
        <w:tc>
          <w:tcPr>
            <w:tcW w:w="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Offset</w:t>
            </w:r>
          </w:p>
        </w:tc>
        <w:tc>
          <w:tcPr>
            <w:tcW w:w="2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Shopify</w:t>
            </w:r>
          </w:p>
        </w:tc>
        <w:tc>
          <w:tcPr>
            <w:tcW w:w="7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333-</w:t>
            </w:r>
          </w:p>
        </w:tc>
        <w:tc>
          <w:tcPr>
            <w:tcW w:w="8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Sources</w:t>
            </w: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Inc.</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F-10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258189</w:t>
            </w:r>
          </w:p>
        </w:tc>
        <w:tc>
          <w:tcPr>
            <w:tcW w:w="8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07/27/2021</w:t>
            </w:r>
          </w:p>
        </w:tc>
        <w:tc>
          <w:tcPr>
            <w:tcW w:w="8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$ 586,103.96</w:t>
            </w:r>
          </w:p>
        </w:tc>
        <w:tc>
          <w:tcPr>
            <w:tcW w:w="0" w:type="dxa"/>
            <w:vAlign w:val="bottom"/>
          </w:tcPr>
          <w:p>
            <w:pPr>
              <w:spacing w:after="0"/>
              <w:rPr>
                <w:sz w:val="1"/>
                <w:szCs w:val="1"/>
                <w:color w:val="auto"/>
              </w:rPr>
            </w:pPr>
          </w:p>
        </w:tc>
      </w:tr>
      <w:tr>
        <w:trPr>
          <w:trHeight w:val="214"/>
        </w:trPr>
        <w:tc>
          <w:tcPr>
            <w:tcW w:w="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w:t>
            </w:r>
          </w:p>
        </w:tc>
        <w:tc>
          <w:tcPr>
            <w:tcW w:w="20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Offset</w:t>
            </w:r>
          </w:p>
        </w:tc>
        <w:tc>
          <w:tcPr>
            <w:tcW w:w="20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Shopify</w:t>
            </w:r>
          </w:p>
        </w:tc>
        <w:tc>
          <w:tcPr>
            <w:tcW w:w="7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333-</w:t>
            </w:r>
          </w:p>
        </w:tc>
        <w:tc>
          <w:tcPr>
            <w:tcW w:w="88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Sources</w:t>
            </w:r>
          </w:p>
        </w:tc>
        <w:tc>
          <w:tcPr>
            <w:tcW w:w="20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Inc.</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F-10</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240142</w:t>
            </w: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07/28/2020</w:t>
            </w: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134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$ 672,632.00</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Rule 457(p) Statement of Withdrawal, Termination, or Completion</w:t>
      </w:r>
    </w:p>
    <w:p>
      <w:pPr>
        <w:spacing w:after="0" w:line="155" w:lineRule="exact"/>
        <w:rPr>
          <w:sz w:val="20"/>
          <w:szCs w:val="20"/>
          <w:color w:val="auto"/>
        </w:rPr>
      </w:pPr>
    </w:p>
    <w:p>
      <w:pPr>
        <w:ind w:left="180" w:right="780" w:hanging="139"/>
        <w:spacing w:after="0" w:line="285" w:lineRule="auto"/>
        <w:tabs>
          <w:tab w:leader="none" w:pos="1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has terminated or completed any offerings that included the unsold securities under the 2024 Registration Statement, 2022 Registration Statement, 2021 Registration Statement and 2020 Registration Statement (as defined below).</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Offset Note</w:t>
      </w:r>
    </w:p>
    <w:p>
      <w:pPr>
        <w:spacing w:after="0" w:line="104" w:lineRule="exact"/>
        <w:rPr>
          <w:sz w:val="20"/>
          <w:szCs w:val="20"/>
          <w:color w:val="auto"/>
        </w:rPr>
      </w:pPr>
    </w:p>
    <w:p>
      <w:pPr>
        <w:ind w:left="180" w:right="180" w:hanging="139"/>
        <w:spacing w:after="0" w:line="260" w:lineRule="auto"/>
        <w:tabs>
          <w:tab w:leader="none" w:pos="1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the total filing fee required for this Registration Statement is $0, taking into consideration the total available offset of $1,531,000 ($504,896.04 of available registration fees from the 2020 Registration Statement, $586,103.96 of available registration fees from the 2021 Registration Statement and $440,000 of available registration fees from the 2024 Registration Statement), the Registrant has transmitted $0 for this Registration Statement. In accordance with Rule 457(p) under the Securities Act, the full unused amount of available registration fee offsets shall be applied to offset any registration fees due from time to time for this Registration Statement.</w:t>
      </w:r>
    </w:p>
    <w:p>
      <w:pPr>
        <w:spacing w:after="0" w:line="173" w:lineRule="exact"/>
        <w:rPr>
          <w:rFonts w:ascii="Times New Roman" w:cs="Times New Roman" w:eastAsia="Times New Roman" w:hAnsi="Times New Roman"/>
          <w:sz w:val="17"/>
          <w:szCs w:val="17"/>
          <w:color w:val="auto"/>
        </w:rPr>
      </w:pPr>
    </w:p>
    <w:p>
      <w:pPr>
        <w:ind w:left="180" w:right="1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fee of $1,531,000 was previously paid with respect to the $10,000,000,000 securities registered under the 2024 Registration Statement. The Registrant used $1,091,000 of the available registration fee offsets from the 2022 Registration Statement and paid $440,000 as a contemporaneous fee payment for the remainder of the fee. The 2024 Registration Statement remains unutilized and $1,531,000 of registration fees remain available for future offsets pursuant to Rule 457(p) under the Securities Act.</w:t>
      </w:r>
    </w:p>
    <w:p>
      <w:pPr>
        <w:spacing w:after="0" w:line="169" w:lineRule="exact"/>
        <w:rPr>
          <w:rFonts w:ascii="Times New Roman" w:cs="Times New Roman" w:eastAsia="Times New Roman" w:hAnsi="Times New Roman"/>
          <w:sz w:val="17"/>
          <w:szCs w:val="17"/>
          <w:color w:val="auto"/>
        </w:rPr>
      </w:pPr>
    </w:p>
    <w:p>
      <w:pPr>
        <w:ind w:left="180" w:right="38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fee of $927,000 was previously paid with respect to the $10,000,000,000 securities registered under the 2022 Registration Statement. The Registrant used $927,000 of the $1,091,000 available registration fee offsets from the 2021 Registration Statement. $1,091,000 of registration fees remained unutilized and available for future offsets pursuant to Rule 457(p) under the Securities Act.</w:t>
      </w:r>
    </w:p>
    <w:p>
      <w:pPr>
        <w:spacing w:after="0" w:line="166" w:lineRule="exact"/>
        <w:rPr>
          <w:rFonts w:ascii="Times New Roman" w:cs="Times New Roman" w:eastAsia="Times New Roman" w:hAnsi="Times New Roman"/>
          <w:sz w:val="17"/>
          <w:szCs w:val="17"/>
          <w:color w:val="auto"/>
        </w:rPr>
      </w:pPr>
    </w:p>
    <w:p>
      <w:pPr>
        <w:ind w:left="180" w:right="1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fee of $1,091,000 was previously paid with respect to the $10,000,000,000 of securities registered under the 2021 Registration Statement. The Registrant used $504,896.04 of available registration fee offsets from the 2020 Registration Statement and paid $586,103.96 as a contemporaneous fee payment for the remainder of the fee. $1,091,000 of the registration fees used for the 2021 Registration Statement remained unutilized and available for future offsets pursuant to Rule 457(p) under the Securities Act.</w:t>
      </w:r>
    </w:p>
    <w:p>
      <w:pPr>
        <w:spacing w:after="0" w:line="169" w:lineRule="exact"/>
        <w:rPr>
          <w:rFonts w:ascii="Times New Roman" w:cs="Times New Roman" w:eastAsia="Times New Roman" w:hAnsi="Times New Roman"/>
          <w:sz w:val="17"/>
          <w:szCs w:val="17"/>
          <w:color w:val="auto"/>
        </w:rPr>
      </w:pPr>
    </w:p>
    <w:p>
      <w:pPr>
        <w:ind w:left="180" w:right="10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fee of $973,500 was previously paid with respect to the $7,500,000,000 of securities registered under the Registrant's registration statement on Form F-10 filed on July 28, 2020 (File No. 333-240142) (the "2020 Registration Statement"). The Registrant used $300,868 of available registration fee offsets and paid $672,632 as a contemporaneous fee payment for the remainder of the fee. $504,896.04 of the registration fees used for the 2020 Registration Statement remained unutilized and available for future offsets pursuant to Rule 457(p) under the Securities Act.</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Table 3: Combined Prospectuses</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jc w:val="center"/>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Times New Roman" w:cs="Times New Roman" w:eastAsia="Times New Roman" w:hAnsi="Times New Roman"/>
                <w:sz w:val="17"/>
                <w:szCs w:val="17"/>
                <w:b w:val="1"/>
                <w:bCs w:val="1"/>
                <w:color w:val="auto"/>
                <w:w w:val="99"/>
              </w:rPr>
              <w:t>Not Applicable</w:t>
            </w:r>
          </w:p>
        </w:tc>
      </w:tr>
      <w:tr>
        <w:trPr>
          <w:trHeight w:val="63"/>
        </w:trPr>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03"/>
        </w:trPr>
        <w:tc>
          <w:tcPr>
            <w:tcW w:w="2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r>
      <w:tr>
        <w:trPr>
          <w:trHeight w:val="205"/>
        </w:trPr>
        <w:tc>
          <w:tcPr>
            <w:tcW w:w="2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r>
      <w:tr>
        <w:trPr>
          <w:trHeight w:val="205"/>
        </w:trPr>
        <w:tc>
          <w:tcPr>
            <w:tcW w:w="2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 Price of</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r>
      <w:tr>
        <w:trPr>
          <w:trHeight w:val="205"/>
        </w:trPr>
        <w:tc>
          <w:tcPr>
            <w:tcW w:w="2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r>
      <w:tr>
        <w:trPr>
          <w:trHeight w:val="205"/>
        </w:trPr>
        <w:tc>
          <w:tcPr>
            <w:tcW w:w="2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Previously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Previously</w:t>
            </w: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Initial Effective</w:t>
            </w:r>
          </w:p>
        </w:tc>
      </w:tr>
      <w:tr>
        <w:trPr>
          <w:trHeight w:val="251"/>
        </w:trPr>
        <w:tc>
          <w:tcPr>
            <w:tcW w:w="26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Security Type</w:t>
            </w:r>
          </w:p>
        </w:tc>
        <w:tc>
          <w:tcPr>
            <w:tcW w:w="24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Security Class Title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14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Form Type</w:t>
            </w:r>
          </w:p>
        </w:tc>
        <w:tc>
          <w:tcPr>
            <w:tcW w:w="146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File Number</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32"/>
        </w:trPr>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25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613"/>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2443A858"/>
    <w:multiLevelType w:val="hybridMultilevel"/>
    <w:lvl w:ilvl="0">
      <w:lvlJc w:val="left"/>
      <w:lvlText w:val="(%1)"/>
      <w:numFmt w:val="lowerRoman"/>
      <w:start w:val="3"/>
    </w:lvl>
  </w:abstractNum>
  <w:abstractNum w:abstractNumId="13">
    <w:nsid w:val="2D1D5AE9"/>
    <w:multiLevelType w:val="hybridMultilevel"/>
    <w:lvl w:ilvl="0">
      <w:lvlJc w:val="left"/>
      <w:lvlText w:val="(%1)"/>
      <w:numFmt w:val="decimal"/>
      <w:start w:val="2"/>
    </w:lvl>
    <w:lvl w:ilvl="1">
      <w:lvlJc w:val="left"/>
      <w:lvlText w:val="(%2)"/>
      <w:numFmt w:val="lowerRoman"/>
      <w:start w:val="1"/>
    </w:lvl>
  </w:abstractNum>
  <w:abstractNum w:abstractNumId="14">
    <w:nsid w:val="6763845E"/>
    <w:multiLevelType w:val="hybridMultilevel"/>
    <w:lvl w:ilvl="0">
      <w:lvlJc w:val="left"/>
      <w:lvlText w:val="%1"/>
      <w:numFmt w:val="lowerLetter"/>
      <w:start w:val="1"/>
    </w:lvl>
    <w:lvl w:ilvl="1">
      <w:lvlJc w:val="left"/>
      <w:lvlText w:val="(%2)"/>
      <w:numFmt w:val="lowerRoman"/>
      <w:start w:val="4"/>
    </w:lvl>
  </w:abstractNum>
  <w:abstractNum w:abstractNumId="15">
    <w:nsid w:val="75A2A8D4"/>
    <w:multiLevelType w:val="hybridMultilevel"/>
    <w:lvl w:ilvl="0">
      <w:lvlJc w:val="left"/>
      <w:lvlText w:val="(%1)"/>
      <w:numFmt w:val="lowerLetter"/>
      <w:start w:val="2"/>
    </w:lvl>
    <w:lvl w:ilvl="1">
      <w:lvlJc w:val="left"/>
      <w:lvlText w:val="%2"/>
      <w:numFmt w:val="lowerRoman"/>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4"/>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lowerRoman"/>
      <w:start w:val="1"/>
    </w:lvl>
  </w:abstractNum>
  <w:abstractNum w:abstractNumId="21">
    <w:nsid w:val="54E49EB4"/>
    <w:multiLevelType w:val="hybridMultilevel"/>
    <w:lvl w:ilvl="0">
      <w:lvlJc w:val="left"/>
      <w:lvlText w:val="(%1)"/>
      <w:numFmt w:val="lowerRoman"/>
      <w:start w:val="2"/>
    </w:lvl>
  </w:abstractNum>
  <w:abstractNum w:abstractNumId="22">
    <w:nsid w:val="71F32454"/>
    <w:multiLevelType w:val="hybridMultilevel"/>
    <w:lvl w:ilvl="0">
      <w:lvlJc w:val="left"/>
      <w:lvlText w:val="(%1)"/>
      <w:numFmt w:val="lowerRoman"/>
      <w:start w:val="13"/>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decimal"/>
      <w:start w:val="1"/>
    </w:lvl>
    <w:lvl w:ilvl="1">
      <w:lvlJc w:val="left"/>
      <w:lvlText w:val="%2."/>
      <w:numFmt w:val="decimal"/>
      <w:start w:val="1"/>
    </w:lvl>
  </w:abstractNum>
  <w:abstractNum w:abstractNumId="26">
    <w:nsid w:val="3A95F874"/>
    <w:multiLevelType w:val="hybridMultilevel"/>
    <w:lvl w:ilvl="0">
      <w:lvlJc w:val="left"/>
      <w:lvlText w:val="%1."/>
      <w:numFmt w:val="decimal"/>
      <w:start w:val="4"/>
    </w:lvl>
    <w:lvl w:ilvl="1">
      <w:lvlJc w:val="left"/>
      <w:lvlText w:val="%2"/>
      <w:numFmt w:val="decimal"/>
      <w:start w:val="1"/>
    </w:lvl>
  </w:abstractNum>
  <w:abstractNum w:abstractNumId="27">
    <w:nsid w:val="8138641"/>
    <w:multiLevelType w:val="hybridMultilevel"/>
    <w:lvl w:ilvl="0">
      <w:lvlJc w:val="left"/>
      <w:lvlText w:val="1"/>
      <w:numFmt w:val="bullet"/>
      <w:start w:val="1"/>
    </w:lvl>
  </w:abstractNum>
  <w:abstractNum w:abstractNumId="28">
    <w:nsid w:val="1E7FF521"/>
    <w:multiLevelType w:val="hybridMultilevel"/>
    <w:lvl w:ilvl="0">
      <w:lvlJc w:val="left"/>
      <w:lvlText w:val="2"/>
      <w:numFmt w:val="bullet"/>
      <w:start w:val="1"/>
    </w:lvl>
  </w:abstractNum>
  <w:abstractNum w:abstractNumId="29">
    <w:nsid w:val="7C3DBD3D"/>
    <w:multiLevelType w:val="hybridMultilevel"/>
    <w:lvl w:ilvl="0">
      <w:lvlJc w:val="left"/>
      <w:lvlText w:val="4"/>
      <w:numFmt w:val="bullet"/>
      <w:start w:val="1"/>
    </w:lvl>
  </w:abstractNum>
  <w:abstractNum w:abstractNumId="30">
    <w:nsid w:val="737B8DDC"/>
    <w:multiLevelType w:val="hybridMultilevel"/>
    <w:lvl w:ilvl="0">
      <w:lvlJc w:val="left"/>
      <w:lvlText w:val="1"/>
      <w:numFmt w:val="bullet"/>
      <w:start w:val="1"/>
    </w:lvl>
  </w:abstractNum>
  <w:abstractNum w:abstractNumId="31">
    <w:nsid w:val="6CEAF08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jpe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jpe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20" Type="http://schemas.openxmlformats.org/officeDocument/2006/relationships/hyperlink" Target="https://www.sec.gov/ix?doc=/Archives/edgar/data/1594805/000159480526000007/shop-20251231.htm" TargetMode="External"/><Relationship Id="rId21" Type="http://schemas.openxmlformats.org/officeDocument/2006/relationships/hyperlink" Target="https://www.sec.gov/ix?doc=/Archives/edgar/data/1594805/000159480526000011/shop-20251231.htm" TargetMode="External"/><Relationship Id="rId22" Type="http://schemas.openxmlformats.org/officeDocument/2006/relationships/hyperlink" Target="https://www.sec.gov/ix?doc=/Archives/edgar/data/1594805/000159480526000019/shop-20260331.htm" TargetMode="External"/><Relationship Id="rId23" Type="http://schemas.openxmlformats.org/officeDocument/2006/relationships/hyperlink" Target="https://www.sec.gov/ix?doc=/Archives/edgar/data/1594805/000159480526000047/shop-20260630.htm" TargetMode="External"/><Relationship Id="rId24" Type="http://schemas.openxmlformats.org/officeDocument/2006/relationships/hyperlink" Target="https://www.sec.gov/ix?doc=/Archives/edgar/data/1594805/000159480526000068/shop-20260930.htm" TargetMode="External"/><Relationship Id="rId25" Type="http://schemas.openxmlformats.org/officeDocument/2006/relationships/hyperlink" Target="https://www.sec.gov/ix?doc=/Archives/edgar/data/1594805/000159480526000022/shop-20260508.htm" TargetMode="External"/><Relationship Id="rId26" Type="http://schemas.openxmlformats.org/officeDocument/2006/relationships/hyperlink" Target="https://www.sec.gov/ix?doc=/Archives/edgar/data/1594805/000159480526000030/shop-20260616.htm" TargetMode="External"/><Relationship Id="rId27" Type="http://schemas.openxmlformats.org/officeDocument/2006/relationships/hyperlink" Target="https://www.sec.gov/ix?doc=/Archives/edgar/data/1594805/000159480526000035/shop-20260702.htm" TargetMode="External"/><Relationship Id="rId28" Type="http://schemas.openxmlformats.org/officeDocument/2006/relationships/hyperlink" Target="https://www.sec.gov/Archives/edgar/data/1594805/000159480525000012/exhibit41-descriptionofsec.htm" TargetMode="External"/><Relationship Id="rId29" Type="http://schemas.openxmlformats.org/officeDocument/2006/relationships/hyperlink" Target="https://www.sec.gov/Archives/edgar/data/1594805/000134100425000016/8-a12b.htm" TargetMode="External"/><Relationship Id="rId56" Type="http://schemas.openxmlformats.org/officeDocument/2006/relationships/hyperlink" Target="https://www.sec.gov/Archives/edgar/data/1594805/000119312515174504/d863202dex41.htm" TargetMode="External"/><Relationship Id="rId57" Type="http://schemas.openxmlformats.org/officeDocument/2006/relationships/hyperlink" Target="https://www.sec.gov/Archives/edgar/data/1594805/000119312515174504/d863202dex42.htm" TargetMode="External"/><Relationship Id="rId58" Type="http://schemas.openxmlformats.org/officeDocument/2006/relationships/hyperlink" Target="https://www.sec.gov/Archives/edgar/data/1594805/000114036120020926/nt10015092x16_99-1.htm" TargetMode="External"/><Relationship Id="rId59" Type="http://schemas.openxmlformats.org/officeDocument/2006/relationships/hyperlink" Target="https://www.sec.gov/Archives/edgar/data/1594805/000119312515208792/d937323dex2.htm" TargetMode="External"/><Relationship Id="rId60" Type="http://schemas.openxmlformats.org/officeDocument/2006/relationships/hyperlink" Target="https://www.sec.gov/Archives/edgar/data/1594805/000119312515208792/d937323dex1.htm" TargetMode="External"/><Relationship Id="rId61" Type="http://schemas.openxmlformats.org/officeDocument/2006/relationships/hyperlink" Target="https://www.sec.gov/Archives/edgar/data/1594805/000159480522000030/century-founder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2026-11-03T07:34:16Z</dcterms:created>
  <dcterms:modified xsi:type="dcterms:W3CDTF">2026-11-03T07:34:16Z</dcterms:modified>
</cp:coreProperties>
</file>