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333" w:before="0" w:after="0"/>
        <w:jc w:val="left"/>
        <w:rPr>
          <w:rFonts w:ascii="Adelle Sans;sans-serif" w:hAnsi="Adelle Sans;sans-serif"/>
          <w:b/>
          <w:color w:val="000000"/>
          <w:sz w:val="20"/>
        </w:rPr>
      </w:pPr>
      <w:r>
        <w:rPr>
          <w:rFonts w:ascii="Adelle Sans;sans-serif" w:hAnsi="Adelle Sans;sans-serif"/>
          <w:b/>
          <w:color w:val="000000"/>
          <w:sz w:val="20"/>
        </w:rPr>
        <w:t>UNITED STATES</w:t>
      </w:r>
    </w:p>
    <w:p>
      <w:pPr>
        <w:pStyle w:val="TextBody"/>
        <w:bidi w:val="0"/>
        <w:spacing w:lineRule="auto" w:line="333" w:before="0" w:after="0"/>
        <w:jc w:val="center"/>
        <w:rPr>
          <w:rFonts w:ascii="Adelle Sans;sans-serif" w:hAnsi="Adelle Sans;sans-serif"/>
          <w:b/>
          <w:color w:val="000000"/>
          <w:sz w:val="20"/>
        </w:rPr>
      </w:pPr>
      <w:r>
        <w:rPr>
          <w:rFonts w:ascii="Adelle Sans;sans-serif" w:hAnsi="Adelle Sans;sans-serif"/>
          <w:b/>
          <w:color w:val="000000"/>
          <w:sz w:val="20"/>
        </w:rPr>
        <w:t>SECURITIES AND EXCHANGE COMMISSION</w:t>
      </w:r>
    </w:p>
    <w:p>
      <w:pPr>
        <w:pStyle w:val="TextBody"/>
        <w:bidi w:val="0"/>
        <w:spacing w:lineRule="auto" w:line="333" w:before="0" w:after="0"/>
        <w:jc w:val="center"/>
        <w:rPr>
          <w:rFonts w:ascii="Adelle Sans;sans-serif" w:hAnsi="Adelle Sans;sans-serif"/>
          <w:b/>
          <w:color w:val="000000"/>
          <w:sz w:val="20"/>
        </w:rPr>
      </w:pPr>
      <w:r>
        <w:rPr>
          <w:rFonts w:ascii="Adelle Sans;sans-serif" w:hAnsi="Adelle Sans;sans-serif"/>
          <w:b/>
          <w:color w:val="000000"/>
          <w:sz w:val="20"/>
        </w:rPr>
        <w:t>Washington, D.C. 20549</w:t>
      </w:r>
    </w:p>
    <w:p>
      <w:pPr>
        <w:pStyle w:val="TextBody"/>
        <w:bidi w:val="0"/>
        <w:spacing w:lineRule="auto" w:line="333" w:before="0" w:after="0"/>
        <w:jc w:val="center"/>
        <w:rPr>
          <w:rFonts w:ascii="Adelle Sans;sans-serif" w:hAnsi="Adelle Sans;sans-serif"/>
          <w:b w:val="false"/>
          <w:color w:val="000000"/>
          <w:sz w:val="20"/>
          <w:u w:val="single"/>
        </w:rPr>
      </w:pPr>
      <w:r>
        <w:rPr>
          <w:rFonts w:ascii="Adelle Sans;sans-serif" w:hAnsi="Adelle Sans;sans-serif"/>
          <w:b w:val="false"/>
          <w:color w:val="000000"/>
          <w:sz w:val="20"/>
          <w:u w:val="single"/>
        </w:rPr>
        <w:t>________________________________________________</w:t>
      </w:r>
    </w:p>
    <w:p>
      <w:pPr>
        <w:pStyle w:val="TextBody"/>
        <w:bidi w:val="0"/>
        <w:spacing w:lineRule="auto" w:line="333" w:before="120" w:after="283"/>
        <w:jc w:val="center"/>
        <w:rPr>
          <w:rFonts w:ascii="Adelle Sans;sans-serif" w:hAnsi="Adelle Sans;sans-serif"/>
          <w:b/>
          <w:color w:val="000000"/>
          <w:sz w:val="20"/>
        </w:rPr>
      </w:pPr>
      <w:r>
        <w:rPr>
          <w:rFonts w:ascii="Adelle Sans;sans-serif" w:hAnsi="Adelle Sans;sans-serif"/>
          <w:b/>
          <w:color w:val="000000"/>
          <w:sz w:val="20"/>
        </w:rPr>
        <w:t>FORM 8-K</w:t>
      </w:r>
    </w:p>
    <w:p>
      <w:pPr>
        <w:pStyle w:val="TextBody"/>
        <w:bidi w:val="0"/>
        <w:spacing w:lineRule="auto" w:line="333" w:before="0" w:after="0"/>
        <w:jc w:val="center"/>
        <w:rPr>
          <w:rFonts w:ascii="Adelle Sans;sans-serif" w:hAnsi="Adelle Sans;sans-serif"/>
          <w:b w:val="false"/>
          <w:color w:val="000000"/>
          <w:sz w:val="20"/>
          <w:u w:val="single"/>
        </w:rPr>
      </w:pPr>
      <w:r>
        <w:rPr>
          <w:rFonts w:ascii="Adelle Sans;sans-serif" w:hAnsi="Adelle Sans;sans-serif"/>
          <w:b w:val="false"/>
          <w:color w:val="000000"/>
          <w:sz w:val="20"/>
          <w:u w:val="single"/>
        </w:rPr>
        <w:t>________________________________________________</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rFonts w:ascii="Adelle Sans;sans-serif" w:hAnsi="Adelle Sans;sans-serif"/>
          <w:b/>
          <w:color w:val="000000"/>
          <w:sz w:val="20"/>
        </w:rPr>
      </w:pPr>
      <w:r>
        <w:rPr>
          <w:rFonts w:ascii="Adelle Sans;sans-serif" w:hAnsi="Adelle Sans;sans-serif"/>
          <w:b/>
          <w:color w:val="000000"/>
          <w:sz w:val="20"/>
        </w:rPr>
        <w:t>CURRENT REPORT</w:t>
      </w:r>
    </w:p>
    <w:p>
      <w:pPr>
        <w:pStyle w:val="TextBody"/>
        <w:bidi w:val="0"/>
        <w:spacing w:lineRule="auto" w:line="333" w:before="0" w:after="0"/>
        <w:jc w:val="center"/>
        <w:rPr>
          <w:rFonts w:ascii="Adelle Sans;sans-serif" w:hAnsi="Adelle Sans;sans-serif"/>
          <w:b/>
          <w:color w:val="000000"/>
          <w:sz w:val="20"/>
        </w:rPr>
      </w:pPr>
      <w:r>
        <w:rPr>
          <w:rFonts w:ascii="Adelle Sans;sans-serif" w:hAnsi="Adelle Sans;sans-serif"/>
          <w:b/>
          <w:color w:val="000000"/>
          <w:sz w:val="20"/>
        </w:rPr>
        <w:t>Pursuant to Section 13 or 15(d) of the</w:t>
      </w:r>
    </w:p>
    <w:p>
      <w:pPr>
        <w:pStyle w:val="TextBody"/>
        <w:bidi w:val="0"/>
        <w:spacing w:lineRule="auto" w:line="333" w:before="0" w:after="0"/>
        <w:jc w:val="center"/>
        <w:rPr>
          <w:rFonts w:ascii="Adelle Sans;sans-serif" w:hAnsi="Adelle Sans;sans-serif"/>
          <w:b/>
          <w:color w:val="000000"/>
          <w:sz w:val="20"/>
        </w:rPr>
      </w:pPr>
      <w:r>
        <w:rPr>
          <w:rFonts w:ascii="Adelle Sans;sans-serif" w:hAnsi="Adelle Sans;sans-serif"/>
          <w:b/>
          <w:color w:val="000000"/>
          <w:sz w:val="20"/>
        </w:rPr>
        <w:t>Securities Exchange Act of 1934</w:t>
      </w:r>
    </w:p>
    <w:p>
      <w:pPr>
        <w:pStyle w:val="TextBody"/>
        <w:bidi w:val="0"/>
        <w:spacing w:lineRule="auto" w:line="333" w:before="0" w:after="0"/>
        <w:jc w:val="center"/>
        <w:rPr>
          <w:rFonts w:ascii="Adelle Sans;sans-serif" w:hAnsi="Adelle Sans;sans-serif"/>
          <w:b/>
          <w:color w:val="000000"/>
          <w:sz w:val="16"/>
        </w:rPr>
      </w:pPr>
      <w:r>
        <w:rPr>
          <w:rFonts w:ascii="Adelle Sans;sans-serif" w:hAnsi="Adelle Sans;sans-serif"/>
          <w:b/>
          <w:color w:val="000000"/>
          <w:sz w:val="16"/>
        </w:rPr>
        <w:t>Date of Report (Date of earliest event reported): July 2, 2026</w:t>
      </w:r>
    </w:p>
    <w:p>
      <w:pPr>
        <w:pStyle w:val="TextBody"/>
        <w:bidi w:val="0"/>
        <w:spacing w:before="120" w:after="283"/>
        <w:jc w:val="center"/>
        <w:rPr/>
      </w:pPr>
      <w:r>
        <w:rPr/>
        <w:drawing>
          <wp:inline distT="0" distB="0" distL="0" distR="0">
            <wp:extent cx="163830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8300" cy="466725"/>
                    </a:xfrm>
                    <a:prstGeom prst="rect">
                      <a:avLst/>
                    </a:prstGeom>
                  </pic:spPr>
                </pic:pic>
              </a:graphicData>
            </a:graphic>
          </wp:inline>
        </w:drawing>
      </w:r>
      <w:bookmarkStart w:id="0" w:name="i-1"/>
      <w:bookmarkEnd w:id="0"/>
    </w:p>
    <w:p>
      <w:pPr>
        <w:pStyle w:val="TextBody"/>
        <w:bidi w:val="0"/>
        <w:spacing w:lineRule="auto" w:line="333" w:before="0" w:after="0"/>
        <w:jc w:val="center"/>
        <w:rPr>
          <w:rFonts w:ascii="Adelle Sans;sans-serif" w:hAnsi="Adelle Sans;sans-serif"/>
          <w:b w:val="false"/>
          <w:color w:val="000000"/>
          <w:sz w:val="20"/>
          <w:u w:val="single"/>
        </w:rPr>
      </w:pPr>
      <w:r>
        <w:rPr>
          <w:rFonts w:ascii="Adelle Sans;sans-serif" w:hAnsi="Adelle Sans;sans-serif"/>
          <w:b w:val="false"/>
          <w:color w:val="000000"/>
          <w:sz w:val="20"/>
          <w:u w:val="single"/>
        </w:rPr>
        <w:t>________________________________________________</w:t>
      </w:r>
    </w:p>
    <w:p>
      <w:pPr>
        <w:pStyle w:val="TextBody"/>
        <w:bidi w:val="0"/>
        <w:spacing w:lineRule="auto" w:line="333" w:before="0" w:after="0"/>
        <w:jc w:val="center"/>
        <w:rPr>
          <w:rFonts w:ascii="Adelle Sans;sans-serif" w:hAnsi="Adelle Sans;sans-serif"/>
          <w:b/>
          <w:color w:val="000000"/>
          <w:sz w:val="20"/>
        </w:rPr>
      </w:pPr>
      <w:r>
        <w:rPr>
          <w:rFonts w:ascii="Adelle Sans;sans-serif" w:hAnsi="Adelle Sans;sans-serif"/>
          <w:b/>
          <w:color w:val="000000"/>
          <w:sz w:val="20"/>
        </w:rPr>
        <w:t>Shopify Inc.</w:t>
      </w:r>
    </w:p>
    <w:p>
      <w:pPr>
        <w:pStyle w:val="TextBody"/>
        <w:bidi w:val="0"/>
        <w:spacing w:lineRule="auto" w:line="333" w:before="0" w:after="0"/>
        <w:jc w:val="center"/>
        <w:rPr/>
      </w:pPr>
      <w:r>
        <w:rPr>
          <w:rFonts w:ascii="Adelle Sans;sans-serif" w:hAnsi="Adelle Sans;sans-serif"/>
          <w:b/>
          <w:color w:val="000000"/>
          <w:sz w:val="16"/>
        </w:rPr>
        <w:t>(Exact name of registrant as specified in its charter)</w:t>
      </w:r>
      <w:r>
        <w:rPr>
          <w:rFonts w:ascii="Adelle Sans;sans-serif" w:hAnsi="Adelle Sans;sans-serif"/>
          <w:b w:val="false"/>
          <w:color w:val="000000"/>
          <w:sz w:val="16"/>
        </w:rPr>
        <w:br/>
      </w:r>
      <w:r>
        <w:rPr>
          <w:rFonts w:ascii="Adelle Sans;sans-serif" w:hAnsi="Adelle Sans;sans-serif"/>
          <w:b w:val="false"/>
          <w:color w:val="000000"/>
          <w:sz w:val="20"/>
          <w:u w:val="single"/>
        </w:rPr>
        <w:t>________________________________________________</w:t>
      </w:r>
    </w:p>
    <w:p>
      <w:pPr>
        <w:pStyle w:val="TextBody"/>
        <w:bidi w:val="0"/>
        <w:spacing w:before="0" w:after="0"/>
        <w:jc w:val="left"/>
        <w:rPr/>
      </w:pPr>
      <w:r>
        <w:rPr/>
      </w:r>
    </w:p>
    <w:tbl>
      <w:tblPr>
        <w:tblW w:w="10072" w:type="dxa"/>
        <w:jc w:val="left"/>
        <w:tblInd w:w="0" w:type="dxa"/>
        <w:tblLayout w:type="fixed"/>
        <w:tblCellMar>
          <w:top w:w="28" w:type="dxa"/>
          <w:left w:w="28" w:type="dxa"/>
          <w:bottom w:w="28" w:type="dxa"/>
          <w:right w:w="28" w:type="dxa"/>
        </w:tblCellMar>
      </w:tblPr>
      <w:tblGrid>
        <w:gridCol w:w="789"/>
        <w:gridCol w:w="694"/>
        <w:gridCol w:w="694"/>
        <w:gridCol w:w="694"/>
        <w:gridCol w:w="694"/>
        <w:gridCol w:w="722"/>
        <w:gridCol w:w="857"/>
        <w:gridCol w:w="857"/>
        <w:gridCol w:w="865"/>
        <w:gridCol w:w="496"/>
        <w:gridCol w:w="496"/>
        <w:gridCol w:w="496"/>
        <w:gridCol w:w="496"/>
        <w:gridCol w:w="496"/>
        <w:gridCol w:w="726"/>
      </w:tblGrid>
      <w:tr>
        <w:trPr/>
        <w:tc>
          <w:tcPr>
            <w:tcW w:w="78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428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Canada</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001-37400</w:t>
            </w:r>
          </w:p>
        </w:tc>
        <w:tc>
          <w:tcPr>
            <w:tcW w:w="32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98-0486686</w:t>
            </w:r>
          </w:p>
        </w:tc>
      </w:tr>
      <w:tr>
        <w:trPr/>
        <w:tc>
          <w:tcPr>
            <w:tcW w:w="428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(State or other jurisdiction of incorporation)</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(Commission File Number)</w:t>
            </w:r>
          </w:p>
        </w:tc>
        <w:tc>
          <w:tcPr>
            <w:tcW w:w="32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(IRS Employer Identification No.)</w:t>
            </w:r>
          </w:p>
        </w:tc>
      </w:tr>
      <w:tr>
        <w:trPr/>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151 O'Connor Street, Ground Floor</w:t>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85 10th Ave, Suite 800</w:t>
            </w:r>
          </w:p>
        </w:tc>
      </w:tr>
      <w:tr>
        <w:trPr/>
        <w:tc>
          <w:tcPr>
            <w:tcW w:w="21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6"/>
              </w:rPr>
            </w:pPr>
            <w:r>
              <w:rPr>
                <w:rFonts w:ascii="Adelle Sans;sans-serif" w:hAnsi="Adelle Sans;sans-serif"/>
                <w:b/>
                <w:color w:val="000000"/>
                <w:sz w:val="16"/>
              </w:rPr>
              <w:t>Ottawa,</w:t>
            </w:r>
          </w:p>
        </w:tc>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Ontario</w:t>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6"/>
              </w:rPr>
            </w:pPr>
            <w:r>
              <w:rPr>
                <w:rFonts w:ascii="Adelle Sans;sans-serif" w:hAnsi="Adelle Sans;sans-serif"/>
                <w:b/>
                <w:color w:val="000000"/>
                <w:sz w:val="16"/>
              </w:rPr>
              <w:t>New York,</w:t>
            </w:r>
          </w:p>
        </w:tc>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New York</w:t>
            </w:r>
          </w:p>
        </w:tc>
      </w:tr>
      <w:tr>
        <w:trPr/>
        <w:tc>
          <w:tcPr>
            <w:tcW w:w="21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6"/>
              </w:rPr>
            </w:pPr>
            <w:r>
              <w:rPr>
                <w:rFonts w:ascii="Adelle Sans;sans-serif" w:hAnsi="Adelle Sans;sans-serif"/>
                <w:b/>
                <w:color w:val="000000"/>
                <w:sz w:val="16"/>
              </w:rPr>
              <w:t>Canada</w:t>
            </w:r>
          </w:p>
        </w:tc>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K2P 2L8</w:t>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6"/>
              </w:rPr>
            </w:pPr>
            <w:r>
              <w:rPr>
                <w:rFonts w:ascii="Adelle Sans;sans-serif" w:hAnsi="Adelle Sans;sans-serif"/>
                <w:b/>
                <w:color w:val="000000"/>
                <w:sz w:val="16"/>
              </w:rPr>
              <w:t>USA</w:t>
            </w:r>
          </w:p>
        </w:tc>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10011</w:t>
            </w:r>
          </w:p>
        </w:tc>
      </w:tr>
      <w:tr>
        <w:trPr/>
        <w:tc>
          <w:tcPr>
            <w:tcW w:w="100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(Address of Principal Executive Offices) (Zip Code)</w:t>
            </w:r>
          </w:p>
        </w:tc>
      </w:tr>
    </w:tbl>
    <w:p>
      <w:pPr>
        <w:pStyle w:val="TextBody"/>
        <w:bidi w:val="0"/>
        <w:spacing w:before="0" w:after="0"/>
        <w:jc w:val="left"/>
        <w:rPr/>
      </w:pPr>
      <w:r>
        <w:rPr/>
      </w:r>
    </w:p>
    <w:p>
      <w:pPr>
        <w:pStyle w:val="TextBody"/>
        <w:bidi w:val="0"/>
        <w:spacing w:lineRule="auto" w:line="333" w:before="0" w:after="0"/>
        <w:jc w:val="center"/>
        <w:rPr/>
      </w:pPr>
      <w:r>
        <w:rPr>
          <w:rFonts w:ascii="Adelle Sans;sans-serif" w:hAnsi="Adelle Sans;sans-serif"/>
          <w:b/>
          <w:color w:val="000000"/>
          <w:sz w:val="16"/>
        </w:rPr>
        <w:t>Registrant’s Telephone Number, Including Area Code:</w:t>
      </w:r>
      <w:r>
        <w:rPr>
          <w:color w:val="000000"/>
        </w:rPr>
        <w:t xml:space="preserve"> </w:t>
      </w:r>
      <w:r>
        <w:rPr>
          <w:rFonts w:ascii="Adelle Sans;sans-serif" w:hAnsi="Adelle Sans;sans-serif"/>
          <w:b/>
          <w:color w:val="000000"/>
          <w:sz w:val="16"/>
        </w:rPr>
        <w:t>(613) 241-2828 x 1045</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rFonts w:ascii="Adelle Sans;sans-serif" w:hAnsi="Adelle Sans;sans-serif"/>
          <w:b w:val="false"/>
          <w:color w:val="000000"/>
          <w:sz w:val="20"/>
          <w:u w:val="single"/>
        </w:rPr>
      </w:pPr>
      <w:r>
        <w:rPr>
          <w:rFonts w:ascii="Adelle Sans;sans-serif" w:hAnsi="Adelle Sans;sans-serif"/>
          <w:b w:val="false"/>
          <w:color w:val="000000"/>
          <w:sz w:val="20"/>
          <w:u w:val="single"/>
        </w:rPr>
        <w:t>________________________________________________</w:t>
      </w:r>
    </w:p>
    <w:p>
      <w:pPr>
        <w:pStyle w:val="TextBody"/>
        <w:bidi w:val="0"/>
        <w:spacing w:before="0" w:after="0"/>
        <w:jc w:val="left"/>
        <w:rPr/>
      </w:pPr>
      <w:r>
        <w:rPr/>
      </w:r>
    </w:p>
    <w:p>
      <w:pPr>
        <w:pStyle w:val="TextBody"/>
        <w:bidi w:val="0"/>
        <w:spacing w:lineRule="auto" w:line="333" w:before="0" w:after="0"/>
        <w:jc w:val="left"/>
        <w:rPr>
          <w:rFonts w:ascii="Adelle Sans;sans-serif" w:hAnsi="Adelle Sans;sans-serif"/>
          <w:b w:val="false"/>
          <w:color w:val="000000"/>
          <w:sz w:val="20"/>
        </w:rPr>
      </w:pPr>
      <w:r>
        <w:rPr>
          <w:rFonts w:ascii="Adelle Sans;sans-serif" w:hAnsi="Adelle Sans;sans-serif"/>
          <w:b w:val="false"/>
          <w:color w:val="000000"/>
          <w:sz w:val="20"/>
        </w:rPr>
        <w:t>Check the appropriate box below if the Form 8-K is intended to simultaneously satisfy the filing obligation of the registrant under any of the following provisions: </w:t>
      </w:r>
    </w:p>
    <w:tbl>
      <w:tblPr>
        <w:tblW w:w="94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58"/>
        <w:gridCol w:w="2558"/>
        <w:gridCol w:w="36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Written communications pursuant to Rule 425 under the Securities Act (17 CFR 230.425)</w:t>
            </w:r>
          </w:p>
        </w:tc>
      </w:tr>
    </w:tbl>
    <w:tbl>
      <w:tblPr>
        <w:tblW w:w="94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61"/>
        <w:gridCol w:w="2561"/>
        <w:gridCol w:w="36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Soliciting material pursuant to Rule 14a-12 under the Exchange Act (17 CFR 240.14a-12)</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Pre-commencement communications pursuant to Rule 14d-2(b) under the Exchange Act (17 CFR 240.14d-2(b))</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Pre-commencement communications pursuant to Rule 13e-4(c) under the Exchange Act (17 CFR 240.13e-4(c))</w:t>
            </w:r>
          </w:p>
        </w:tc>
      </w:tr>
    </w:tbl>
    <w:tbl>
      <w:tblPr>
        <w:tblW w:w="10205" w:type="dxa"/>
        <w:jc w:val="left"/>
        <w:tblInd w:w="0" w:type="dxa"/>
        <w:tblLayout w:type="fixed"/>
        <w:tblCellMar>
          <w:top w:w="28" w:type="dxa"/>
          <w:left w:w="28" w:type="dxa"/>
          <w:bottom w:w="28" w:type="dxa"/>
          <w:right w:w="28" w:type="dxa"/>
        </w:tblCellMar>
      </w:tblPr>
      <w:tblGrid>
        <w:gridCol w:w="1275"/>
        <w:gridCol w:w="1120"/>
        <w:gridCol w:w="1029"/>
        <w:gridCol w:w="317"/>
        <w:gridCol w:w="317"/>
        <w:gridCol w:w="317"/>
        <w:gridCol w:w="370"/>
        <w:gridCol w:w="368"/>
        <w:gridCol w:w="317"/>
        <w:gridCol w:w="317"/>
        <w:gridCol w:w="317"/>
        <w:gridCol w:w="317"/>
        <w:gridCol w:w="1126"/>
        <w:gridCol w:w="1126"/>
        <w:gridCol w:w="1572"/>
      </w:tblGrid>
      <w:tr>
        <w:trPr/>
        <w:tc>
          <w:tcPr>
            <w:tcW w:w="127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Securities registered pursuant to Section 12(b) of the Act:</w:t>
            </w:r>
          </w:p>
        </w:tc>
      </w:tr>
      <w:tr>
        <w:trPr/>
        <w:tc>
          <w:tcPr>
            <w:tcW w:w="3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Title of each class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Trading</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Name of each exchange on which registered</w:t>
            </w:r>
          </w:p>
        </w:tc>
      </w:tr>
      <w:tr>
        <w:trPr/>
        <w:tc>
          <w:tcPr>
            <w:tcW w:w="3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20"/>
              </w:rPr>
            </w:pPr>
            <w:r>
              <w:rPr>
                <w:rFonts w:ascii="Adelle Sans;sans-serif" w:hAnsi="Adelle Sans;sans-serif"/>
                <w:b/>
                <w:color w:val="000000"/>
                <w:sz w:val="20"/>
              </w:rPr>
              <w:t>Class A Subordinate Voting Shares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20"/>
              </w:rPr>
            </w:pPr>
            <w:r>
              <w:rPr>
                <w:rFonts w:ascii="Adelle Sans;sans-serif" w:hAnsi="Adelle Sans;sans-serif"/>
                <w:b/>
                <w:color w:val="000000"/>
                <w:sz w:val="20"/>
              </w:rPr>
              <w:t>SHOP</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20"/>
              </w:rPr>
            </w:pPr>
            <w:r>
              <w:rPr>
                <w:rFonts w:ascii="Adelle Sans;sans-serif" w:hAnsi="Adelle Sans;sans-serif"/>
                <w:b/>
                <w:color w:val="000000"/>
                <w:sz w:val="20"/>
              </w:rPr>
              <w:t>The Nasdaq Global Select Market</w:t>
            </w:r>
          </w:p>
        </w:tc>
      </w:tr>
    </w:tbl>
    <w:p>
      <w:pPr>
        <w:pStyle w:val="TextBody"/>
        <w:bidi w:val="0"/>
        <w:spacing w:before="0" w:after="0"/>
        <w:jc w:val="left"/>
        <w:rPr/>
      </w:pPr>
      <w:r>
        <w:rPr/>
      </w:r>
    </w:p>
    <w:p>
      <w:pPr>
        <w:pStyle w:val="TextBody"/>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33" w:before="0" w:after="120"/>
        <w:jc w:val="left"/>
        <w:rPr>
          <w:rFonts w:ascii="Adelle Sans;sans-serif" w:hAnsi="Adelle Sans;sans-serif"/>
          <w:b w:val="false"/>
          <w:color w:val="000000"/>
          <w:sz w:val="20"/>
        </w:rPr>
      </w:pPr>
      <w:r>
        <w:rPr>
          <w:rFonts w:ascii="Adelle Sans;sans-serif" w:hAnsi="Adelle Sans;sans-serif"/>
          <w:b w:val="false"/>
          <w:color w:val="000000"/>
          <w:sz w:val="20"/>
        </w:rPr>
        <w:t>Emerging growth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 xml:space="preserve">Item 5.02.    Departure of Directors or Certain Officers; Election of Directors; Appointment of Certain Officers; Compensatory Arrangements of Certain Officers. </w:t>
      </w:r>
    </w:p>
    <w:p>
      <w:pPr>
        <w:pStyle w:val="TextBody"/>
        <w:bidi w:val="0"/>
        <w:spacing w:before="0" w:after="0"/>
        <w:jc w:val="both"/>
        <w:rPr/>
      </w:pPr>
      <w:r>
        <w:rPr/>
      </w:r>
    </w:p>
    <w:p>
      <w:pPr>
        <w:pStyle w:val="TextBody"/>
        <w:bidi w:val="0"/>
        <w:spacing w:lineRule="auto" w:line="268" w:before="0" w:after="0"/>
        <w:jc w:val="both"/>
        <w:rPr>
          <w:rFonts w:ascii="Adelle Sans;sans-serif" w:hAnsi="Adelle Sans;sans-serif"/>
          <w:b w:val="false"/>
          <w:color w:val="000000"/>
          <w:sz w:val="20"/>
        </w:rPr>
      </w:pPr>
      <w:r>
        <w:rPr>
          <w:rFonts w:ascii="Adelle Sans;sans-serif" w:hAnsi="Adelle Sans;sans-serif"/>
          <w:b w:val="false"/>
          <w:color w:val="000000"/>
          <w:sz w:val="20"/>
        </w:rPr>
        <w:t>On July 2, 2026, Prashanth Mahendra-Rajah, a member of Shopify Inc.'s board of directors (the "Board") and Chair of the Audit Committee of the Board, informed the Company of his resignation from the Board effective immediately. Mr. Mahendra-Rajah has accepted a full time position with the U.S. Department of Commerce. Joe Natale, Chair of the Board and the Company’s Lead Independent Director, is expected to serve as the Chair of the Audit Committee of the Board following Mr. Mahendra-Rajah’s resignation.</w:t>
      </w:r>
    </w:p>
    <w:p>
      <w:pPr>
        <w:pStyle w:val="TextBody"/>
        <w:bidi w:val="0"/>
        <w:spacing w:before="0" w:after="0"/>
        <w:jc w:val="left"/>
        <w:rPr/>
      </w:pPr>
      <w:r>
        <w:rPr/>
      </w:r>
    </w:p>
    <w:p>
      <w:pPr>
        <w:pStyle w:val="TextBody"/>
        <w:bidi w:val="0"/>
        <w:spacing w:lineRule="auto" w:line="319" w:before="0" w:after="0"/>
        <w:ind w:left="0" w:right="0" w:hanging="1350"/>
        <w:jc w:val="both"/>
        <w:rPr>
          <w:rFonts w:ascii="Adelle Sans;sans-serif" w:hAnsi="Adelle Sans;sans-serif"/>
          <w:b/>
          <w:color w:val="000000"/>
          <w:sz w:val="20"/>
        </w:rPr>
      </w:pPr>
      <w:r>
        <w:rPr>
          <w:rFonts w:ascii="Adelle Sans;sans-serif" w:hAnsi="Adelle Sans;sans-serif"/>
          <w:b/>
          <w:color w:val="000000"/>
          <w:sz w:val="20"/>
        </w:rPr>
        <w:t>Item 9.01.    Financial Statements and Exhibits.</w:t>
      </w:r>
    </w:p>
    <w:tbl>
      <w:tblPr>
        <w:tblW w:w="9418" w:type="dxa"/>
        <w:jc w:val="left"/>
        <w:tblInd w:w="0" w:type="dxa"/>
        <w:tblLayout w:type="fixed"/>
        <w:tblCellMar>
          <w:top w:w="28" w:type="dxa"/>
          <w:left w:w="28" w:type="dxa"/>
          <w:bottom w:w="28" w:type="dxa"/>
          <w:right w:w="28" w:type="dxa"/>
        </w:tblCellMar>
      </w:tblPr>
      <w:tblGrid>
        <w:gridCol w:w="473"/>
        <w:gridCol w:w="416"/>
        <w:gridCol w:w="417"/>
        <w:gridCol w:w="109"/>
        <w:gridCol w:w="109"/>
        <w:gridCol w:w="109"/>
        <w:gridCol w:w="2281"/>
        <w:gridCol w:w="2281"/>
        <w:gridCol w:w="3223"/>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3223"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Description</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333" w:before="0" w:after="0"/>
        <w:jc w:val="center"/>
        <w:rPr>
          <w:rFonts w:ascii="Adelle Sans;sans-serif" w:hAnsi="Adelle Sans;sans-serif"/>
          <w:b/>
          <w:color w:val="000000"/>
          <w:sz w:val="20"/>
        </w:rPr>
      </w:pPr>
      <w:r>
        <w:rPr>
          <w:rFonts w:ascii="Adelle Sans;sans-serif" w:hAnsi="Adelle Sans;sans-serif"/>
          <w:b/>
          <w:color w:val="000000"/>
          <w:sz w:val="20"/>
        </w:rPr>
        <w:t>SIGNATURES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rFonts w:ascii="Adelle Sans;sans-serif" w:hAnsi="Adelle Sans;sans-serif"/>
          <w:b w:val="false"/>
          <w:color w:val="000000"/>
          <w:sz w:val="20"/>
        </w:rPr>
      </w:pPr>
      <w:r>
        <w:rPr>
          <w:rFonts w:ascii="Adelle Sans;sans-serif" w:hAnsi="Adelle Sans;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333" w:before="0" w:after="0"/>
        <w:jc w:val="left"/>
        <w:rPr>
          <w:color w:val="000000"/>
        </w:rPr>
      </w:pPr>
      <w:r>
        <w:rPr>
          <w:color w:val="000000"/>
        </w:rPr>
        <w:t> </w:t>
      </w:r>
    </w:p>
    <w:tbl>
      <w:tblPr>
        <w:tblW w:w="5269" w:type="dxa"/>
        <w:jc w:val="left"/>
        <w:tblInd w:w="0" w:type="dxa"/>
        <w:tblLayout w:type="fixed"/>
        <w:tblCellMar>
          <w:top w:w="28" w:type="dxa"/>
          <w:left w:w="28" w:type="dxa"/>
          <w:bottom w:w="28" w:type="dxa"/>
          <w:right w:w="28" w:type="dxa"/>
        </w:tblCellMar>
      </w:tblPr>
      <w:tblGrid>
        <w:gridCol w:w="668"/>
        <w:gridCol w:w="585"/>
        <w:gridCol w:w="591"/>
        <w:gridCol w:w="257"/>
        <w:gridCol w:w="257"/>
        <w:gridCol w:w="257"/>
        <w:gridCol w:w="773"/>
        <w:gridCol w:w="773"/>
        <w:gridCol w:w="1108"/>
      </w:tblGrid>
      <w:tr>
        <w:trPr/>
        <w:tc>
          <w:tcPr>
            <w:tcW w:w="66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SHOPIFY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Date: July 2, 2026</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By:</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/s/ Michael L. Johnson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55" w:after="30"/>
              <w:jc w:val="left"/>
              <w:rPr>
                <w:rFonts w:ascii="Adelle Sans;sans-serif" w:hAnsi="Adelle Sans;sans-serif"/>
                <w:b w:val="false"/>
                <w:color w:val="000000"/>
                <w:sz w:val="20"/>
              </w:rPr>
            </w:pPr>
            <w:r>
              <w:rPr>
                <w:rFonts w:ascii="Adelle Sans;sans-serif" w:hAnsi="Adelle Sans;sans-serif"/>
                <w:b w:val="false"/>
                <w:color w:val="000000"/>
                <w:sz w:val="20"/>
              </w:rPr>
              <w:t>Name: Michael L. Johnson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Title: Corporate Secretary</w:t>
            </w:r>
          </w:p>
        </w:tc>
      </w:tr>
    </w:tbl>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delle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477</Words>
  <Characters>2837</Characters>
  <CharactersWithSpaces>3263</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