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33"/>
        <w:ind w:left="0" w:right="0" w:hanging="10"/>
        <w:jc w:val="both"/>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33" w:before="0" w:after="0"/>
        <w:jc w:val="center"/>
        <w:rPr>
          <w:rFonts w:ascii="Adelle Sans;sans-serif" w:hAnsi="Adelle Sans;sans-serif"/>
          <w:b/>
          <w:color w:val="181717"/>
          <w:sz w:val="24"/>
        </w:rPr>
      </w:pPr>
      <w:r>
        <w:rPr>
          <w:rFonts w:ascii="Adelle Sans;sans-serif" w:hAnsi="Adelle Sans;sans-serif"/>
          <w:b/>
          <w:color w:val="181717"/>
          <w:sz w:val="24"/>
        </w:rPr>
        <w:t>UNITED STATES</w:t>
      </w:r>
    </w:p>
    <w:p>
      <w:pPr>
        <w:pStyle w:val="TextBody"/>
        <w:bidi w:val="0"/>
        <w:spacing w:lineRule="auto" w:line="333" w:before="0" w:after="0"/>
        <w:jc w:val="center"/>
        <w:rPr>
          <w:rFonts w:ascii="Adelle Sans;sans-serif" w:hAnsi="Adelle Sans;sans-serif"/>
          <w:b/>
          <w:color w:val="181717"/>
          <w:sz w:val="24"/>
        </w:rPr>
      </w:pPr>
      <w:r>
        <w:rPr>
          <w:rFonts w:ascii="Adelle Sans;sans-serif" w:hAnsi="Adelle Sans;sans-serif"/>
          <w:b/>
          <w:color w:val="181717"/>
          <w:sz w:val="24"/>
        </w:rPr>
        <w:t>SECURITIES AND EXCHANGE COMMISSION</w:t>
      </w:r>
    </w:p>
    <w:p>
      <w:pPr>
        <w:pStyle w:val="TextBody"/>
        <w:bidi w:val="0"/>
        <w:spacing w:lineRule="auto" w:line="288" w:before="0" w:after="0"/>
        <w:jc w:val="center"/>
        <w:rPr>
          <w:rFonts w:ascii="Adelle Sans;sans-serif" w:hAnsi="Adelle Sans;sans-serif"/>
          <w:b/>
          <w:color w:val="181717"/>
          <w:sz w:val="16"/>
        </w:rPr>
      </w:pPr>
      <w:r>
        <w:rPr>
          <w:rFonts w:ascii="Adelle Sans;sans-serif" w:hAnsi="Adelle Sans;sans-serif"/>
          <w:b/>
          <w:color w:val="181717"/>
          <w:sz w:val="16"/>
        </w:rPr>
        <w:t>Washington, D.C. 20549</w:t>
      </w:r>
    </w:p>
    <w:p>
      <w:pPr>
        <w:pStyle w:val="TextBody"/>
        <w:bidi w:val="0"/>
        <w:spacing w:lineRule="auto" w:line="288" w:before="0" w:after="240"/>
        <w:jc w:val="center"/>
        <w:rPr>
          <w:rFonts w:ascii="Adelle Sans;sans-serif" w:hAnsi="Adelle Sans;sans-serif"/>
          <w:b w:val="false"/>
          <w:color w:val="181717"/>
          <w:sz w:val="24"/>
        </w:rPr>
      </w:pPr>
      <w:r>
        <w:rPr>
          <w:rFonts w:ascii="Adelle Sans;sans-serif" w:hAnsi="Adelle Sans;sans-serif"/>
          <w:b w:val="false"/>
          <w:color w:val="181717"/>
          <w:sz w:val="24"/>
        </w:rPr>
        <w:t>_________________________________</w:t>
      </w:r>
    </w:p>
    <w:p>
      <w:pPr>
        <w:pStyle w:val="TextBody"/>
        <w:bidi w:val="0"/>
        <w:spacing w:lineRule="auto" w:line="288" w:before="0" w:after="0"/>
        <w:jc w:val="center"/>
        <w:rPr>
          <w:rFonts w:ascii="Adelle Sans;sans-serif" w:hAnsi="Adelle Sans;sans-serif"/>
          <w:b/>
          <w:color w:val="181717"/>
          <w:sz w:val="24"/>
        </w:rPr>
      </w:pPr>
      <w:r>
        <w:rPr>
          <w:rFonts w:ascii="Adelle Sans;sans-serif" w:hAnsi="Adelle Sans;sans-serif"/>
          <w:b/>
          <w:color w:val="181717"/>
          <w:sz w:val="24"/>
        </w:rPr>
        <w:t>Form 10-Q</w:t>
      </w:r>
    </w:p>
    <w:p>
      <w:pPr>
        <w:pStyle w:val="TextBody"/>
        <w:bidi w:val="0"/>
        <w:spacing w:lineRule="auto" w:line="288" w:before="0" w:after="0"/>
        <w:jc w:val="center"/>
        <w:rPr>
          <w:rFonts w:ascii="Adelle Sans;sans-serif" w:hAnsi="Adelle Sans;sans-serif"/>
          <w:b w:val="false"/>
          <w:color w:val="181717"/>
          <w:sz w:val="24"/>
        </w:rPr>
      </w:pPr>
      <w:r>
        <w:rPr>
          <w:rFonts w:ascii="Adelle Sans;sans-serif" w:hAnsi="Adelle Sans;sans-serif"/>
          <w:b w:val="false"/>
          <w:color w:val="181717"/>
          <w:sz w:val="24"/>
        </w:rPr>
        <w:t>_________________________________</w:t>
      </w:r>
    </w:p>
    <w:p>
      <w:pPr>
        <w:pStyle w:val="TextBody"/>
        <w:bidi w:val="0"/>
        <w:spacing w:before="0" w:after="0"/>
        <w:jc w:val="center"/>
        <w:rPr/>
      </w:pPr>
      <w:r>
        <w:rPr/>
      </w:r>
    </w:p>
    <w:tbl>
      <w:tblPr>
        <w:tblW w:w="10122" w:type="dxa"/>
        <w:jc w:val="center"/>
        <w:tblInd w:w="0" w:type="dxa"/>
        <w:tblLayout w:type="fixed"/>
        <w:tblCellMar>
          <w:top w:w="28" w:type="dxa"/>
          <w:left w:w="28" w:type="dxa"/>
          <w:bottom w:w="28" w:type="dxa"/>
          <w:right w:w="28" w:type="dxa"/>
        </w:tblCellMar>
      </w:tblPr>
      <w:tblGrid>
        <w:gridCol w:w="124"/>
        <w:gridCol w:w="109"/>
        <w:gridCol w:w="109"/>
        <w:gridCol w:w="2862"/>
        <w:gridCol w:w="2862"/>
        <w:gridCol w:w="405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62" w:type="dxa"/>
            <w:tcBorders/>
            <w:vAlign w:val="center"/>
          </w:tcPr>
          <w:p>
            <w:pPr>
              <w:pStyle w:val="TableContents"/>
              <w:bidi w:val="0"/>
              <w:spacing w:before="0" w:after="283"/>
              <w:jc w:val="left"/>
              <w:rPr>
                <w:sz w:val="4"/>
                <w:szCs w:val="4"/>
              </w:rPr>
            </w:pPr>
            <w:r>
              <w:rPr>
                <w:sz w:val="4"/>
                <w:szCs w:val="4"/>
              </w:rPr>
            </w:r>
          </w:p>
        </w:tc>
        <w:tc>
          <w:tcPr>
            <w:tcW w:w="2862" w:type="dxa"/>
            <w:tcBorders/>
            <w:vAlign w:val="center"/>
          </w:tcPr>
          <w:p>
            <w:pPr>
              <w:pStyle w:val="TableContents"/>
              <w:bidi w:val="0"/>
              <w:spacing w:before="0" w:after="283"/>
              <w:jc w:val="left"/>
              <w:rPr>
                <w:sz w:val="4"/>
                <w:szCs w:val="4"/>
              </w:rPr>
            </w:pPr>
            <w:r>
              <w:rPr>
                <w:sz w:val="4"/>
                <w:szCs w:val="4"/>
              </w:rPr>
            </w:r>
          </w:p>
        </w:tc>
        <w:tc>
          <w:tcPr>
            <w:tcW w:w="405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181717"/>
              </w:rPr>
            </w:pPr>
            <w:r>
              <w:rPr>
                <w:color w:val="181717"/>
              </w:rPr>
              <w:t>☒</w:t>
            </w:r>
          </w:p>
        </w:tc>
        <w:tc>
          <w:tcPr>
            <w:tcW w:w="97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delle Sans;sans-serif" w:hAnsi="Adelle Sans;sans-serif"/>
                <w:b/>
                <w:color w:val="000000"/>
                <w:sz w:val="16"/>
              </w:rPr>
            </w:pPr>
            <w:r>
              <w:rPr>
                <w:rFonts w:ascii="Adelle Sans;sans-serif" w:hAnsi="Adelle Sans;sans-serif"/>
                <w:b/>
                <w:color w:val="000000"/>
                <w:sz w:val="16"/>
              </w:rPr>
              <w:t>QUARTERLY REPORT PURSUANT TO SECTION 13 OR 15(d) OF THE SECURITIES EXCHANGE ACT OF 1934</w:t>
            </w:r>
          </w:p>
        </w:tc>
      </w:tr>
    </w:tbl>
    <w:p>
      <w:pPr>
        <w:pStyle w:val="TextBody"/>
        <w:bidi w:val="0"/>
        <w:spacing w:lineRule="auto" w:line="288" w:before="0" w:after="60"/>
        <w:jc w:val="center"/>
        <w:rPr/>
      </w:pPr>
      <w:r>
        <w:rPr>
          <w:rFonts w:ascii="Adelle Sans;sans-serif" w:hAnsi="Adelle Sans;sans-serif"/>
          <w:b/>
          <w:color w:val="181717"/>
          <w:sz w:val="16"/>
        </w:rPr>
        <w:t xml:space="preserve">For the quarterly period ended </w:t>
      </w:r>
      <w:r>
        <w:rPr>
          <w:rFonts w:ascii="Adelle Sans;sans-serif" w:hAnsi="Adelle Sans;sans-serif"/>
          <w:b/>
          <w:color w:val="000000"/>
          <w:sz w:val="16"/>
        </w:rPr>
        <w:t>June 30, 2026</w:t>
      </w:r>
    </w:p>
    <w:p>
      <w:pPr>
        <w:pStyle w:val="TextBody"/>
        <w:bidi w:val="0"/>
        <w:spacing w:lineRule="auto" w:line="288" w:before="0" w:after="0"/>
        <w:jc w:val="center"/>
        <w:rPr>
          <w:rFonts w:ascii="Adelle Sans;sans-serif" w:hAnsi="Adelle Sans;sans-serif"/>
          <w:b/>
          <w:color w:val="181717"/>
          <w:sz w:val="16"/>
        </w:rPr>
      </w:pPr>
      <w:r>
        <w:rPr>
          <w:rFonts w:ascii="Adelle Sans;sans-serif" w:hAnsi="Adelle Sans;sans-serif"/>
          <w:b/>
          <w:color w:val="181717"/>
          <w:sz w:val="16"/>
        </w:rPr>
        <w:t>OR</w:t>
      </w:r>
    </w:p>
    <w:tbl>
      <w:tblPr>
        <w:tblW w:w="10151" w:type="dxa"/>
        <w:jc w:val="center"/>
        <w:tblInd w:w="0" w:type="dxa"/>
        <w:tblLayout w:type="fixed"/>
        <w:tblCellMar>
          <w:top w:w="28" w:type="dxa"/>
          <w:left w:w="28" w:type="dxa"/>
          <w:bottom w:w="28" w:type="dxa"/>
          <w:right w:w="28" w:type="dxa"/>
        </w:tblCellMar>
      </w:tblPr>
      <w:tblGrid>
        <w:gridCol w:w="124"/>
        <w:gridCol w:w="109"/>
        <w:gridCol w:w="109"/>
        <w:gridCol w:w="2872"/>
        <w:gridCol w:w="2872"/>
        <w:gridCol w:w="406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72" w:type="dxa"/>
            <w:tcBorders/>
            <w:vAlign w:val="center"/>
          </w:tcPr>
          <w:p>
            <w:pPr>
              <w:pStyle w:val="TableContents"/>
              <w:bidi w:val="0"/>
              <w:spacing w:before="0" w:after="283"/>
              <w:jc w:val="left"/>
              <w:rPr>
                <w:sz w:val="4"/>
                <w:szCs w:val="4"/>
              </w:rPr>
            </w:pPr>
            <w:r>
              <w:rPr>
                <w:sz w:val="4"/>
                <w:szCs w:val="4"/>
              </w:rPr>
            </w:r>
          </w:p>
        </w:tc>
        <w:tc>
          <w:tcPr>
            <w:tcW w:w="2872" w:type="dxa"/>
            <w:tcBorders/>
            <w:vAlign w:val="center"/>
          </w:tcPr>
          <w:p>
            <w:pPr>
              <w:pStyle w:val="TableContents"/>
              <w:bidi w:val="0"/>
              <w:spacing w:before="0" w:after="283"/>
              <w:jc w:val="left"/>
              <w:rPr>
                <w:sz w:val="4"/>
                <w:szCs w:val="4"/>
              </w:rPr>
            </w:pPr>
            <w:r>
              <w:rPr>
                <w:sz w:val="4"/>
                <w:szCs w:val="4"/>
              </w:rPr>
            </w:r>
          </w:p>
        </w:tc>
        <w:tc>
          <w:tcPr>
            <w:tcW w:w="406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181717"/>
              </w:rPr>
            </w:pPr>
            <w:r>
              <w:rPr>
                <w:color w:val="181717"/>
              </w:rPr>
              <w:t>☐</w:t>
            </w:r>
          </w:p>
        </w:tc>
        <w:tc>
          <w:tcPr>
            <w:tcW w:w="98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delle Sans;sans-serif" w:hAnsi="Adelle Sans;sans-serif"/>
                <w:b/>
                <w:color w:val="000000"/>
                <w:sz w:val="16"/>
              </w:rPr>
            </w:pPr>
            <w:r>
              <w:rPr>
                <w:rFonts w:ascii="Adelle Sans;sans-serif" w:hAnsi="Adelle Sans;sans-serif"/>
                <w:b/>
                <w:color w:val="000000"/>
                <w:sz w:val="16"/>
              </w:rPr>
              <w:t>TRANSITION REPORT PURSUANT TO SECTION 13 OR 15(d) OF THE SECURITIES EXCHANGE ACT OF 1934</w:t>
            </w:r>
          </w:p>
        </w:tc>
      </w:tr>
    </w:tbl>
    <w:p>
      <w:pPr>
        <w:pStyle w:val="TextBody"/>
        <w:bidi w:val="0"/>
        <w:spacing w:lineRule="auto" w:line="288" w:before="0" w:after="0"/>
        <w:jc w:val="center"/>
        <w:rPr>
          <w:rFonts w:ascii="Adelle Sans;sans-serif" w:hAnsi="Adelle Sans;sans-serif"/>
          <w:b/>
          <w:color w:val="181717"/>
          <w:sz w:val="16"/>
        </w:rPr>
      </w:pPr>
      <w:r>
        <w:rPr>
          <w:rFonts w:ascii="Adelle Sans;sans-serif" w:hAnsi="Adelle Sans;sans-serif"/>
          <w:b/>
          <w:color w:val="181717"/>
          <w:sz w:val="16"/>
        </w:rPr>
        <w:t>For the transition period from ___________ to ___________</w:t>
      </w:r>
    </w:p>
    <w:p>
      <w:pPr>
        <w:pStyle w:val="TextBody"/>
        <w:bidi w:val="0"/>
        <w:spacing w:lineRule="auto" w:line="288" w:before="0" w:after="200"/>
        <w:jc w:val="center"/>
        <w:rPr>
          <w:rFonts w:ascii="Adelle Sans;sans-serif" w:hAnsi="Adelle Sans;sans-serif"/>
          <w:b w:val="false"/>
          <w:color w:val="181717"/>
          <w:sz w:val="24"/>
        </w:rPr>
      </w:pPr>
      <w:r>
        <w:rPr>
          <w:rFonts w:ascii="Adelle Sans;sans-serif" w:hAnsi="Adelle Sans;sans-serif"/>
          <w:b w:val="false"/>
          <w:color w:val="181717"/>
          <w:sz w:val="24"/>
        </w:rPr>
        <w:t>_________________________________</w:t>
      </w:r>
    </w:p>
    <w:p>
      <w:pPr>
        <w:pStyle w:val="TextBody"/>
        <w:bidi w:val="0"/>
        <w:spacing w:before="0" w:after="0"/>
        <w:jc w:val="center"/>
        <w:rPr/>
      </w:pPr>
      <w:r>
        <w:rPr/>
        <w:drawing>
          <wp:inline distT="0" distB="0" distL="0" distR="0">
            <wp:extent cx="1638300" cy="4667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638300" cy="466725"/>
                    </a:xfrm>
                    <a:prstGeom prst="rect">
                      <a:avLst/>
                    </a:prstGeom>
                  </pic:spPr>
                </pic:pic>
              </a:graphicData>
            </a:graphic>
          </wp:inline>
        </w:drawing>
      </w:r>
      <w:bookmarkStart w:id="0" w:name="i-1"/>
      <w:bookmarkEnd w:id="0"/>
    </w:p>
    <w:p>
      <w:pPr>
        <w:pStyle w:val="TextBody"/>
        <w:bidi w:val="0"/>
        <w:spacing w:lineRule="auto" w:line="288" w:before="0" w:after="200"/>
        <w:jc w:val="center"/>
        <w:rPr>
          <w:rFonts w:ascii="Adelle Sans;sans-serif" w:hAnsi="Adelle Sans;sans-serif"/>
          <w:b w:val="false"/>
          <w:color w:val="181717"/>
          <w:sz w:val="24"/>
        </w:rPr>
      </w:pPr>
      <w:r>
        <w:rPr>
          <w:rFonts w:ascii="Adelle Sans;sans-serif" w:hAnsi="Adelle Sans;sans-serif"/>
          <w:b w:val="false"/>
          <w:color w:val="181717"/>
          <w:sz w:val="24"/>
        </w:rPr>
        <w:t>_________________________________</w:t>
      </w:r>
    </w:p>
    <w:p>
      <w:pPr>
        <w:pStyle w:val="TextBody"/>
        <w:bidi w:val="0"/>
        <w:spacing w:lineRule="auto" w:line="288" w:before="0" w:after="0"/>
        <w:jc w:val="center"/>
        <w:rPr>
          <w:rFonts w:ascii="Adelle Sans;sans-serif" w:hAnsi="Adelle Sans;sans-serif"/>
          <w:b/>
          <w:color w:val="181717"/>
          <w:sz w:val="20"/>
        </w:rPr>
      </w:pPr>
      <w:r>
        <w:rPr>
          <w:rFonts w:ascii="Adelle Sans;sans-serif" w:hAnsi="Adelle Sans;sans-serif"/>
          <w:b/>
          <w:color w:val="181717"/>
          <w:sz w:val="20"/>
        </w:rPr>
        <w:t>Shopify Inc.</w:t>
      </w:r>
    </w:p>
    <w:p>
      <w:pPr>
        <w:pStyle w:val="TextBody"/>
        <w:bidi w:val="0"/>
        <w:spacing w:lineRule="auto" w:line="288" w:before="0" w:after="0"/>
        <w:jc w:val="center"/>
        <w:rPr>
          <w:rFonts w:ascii="Adelle Sans;sans-serif" w:hAnsi="Adelle Sans;sans-serif"/>
          <w:b w:val="false"/>
          <w:color w:val="181717"/>
          <w:sz w:val="16"/>
        </w:rPr>
      </w:pPr>
      <w:r>
        <w:rPr>
          <w:rFonts w:ascii="Adelle Sans;sans-serif" w:hAnsi="Adelle Sans;sans-serif"/>
          <w:b w:val="false"/>
          <w:color w:val="181717"/>
          <w:sz w:val="16"/>
        </w:rPr>
        <w:t>(Exact name of registrant as specified in its charter)</w:t>
      </w:r>
    </w:p>
    <w:p>
      <w:pPr>
        <w:pStyle w:val="TextBody"/>
        <w:bidi w:val="0"/>
        <w:spacing w:lineRule="auto" w:line="288" w:before="0" w:after="0"/>
        <w:jc w:val="center"/>
        <w:rPr>
          <w:rFonts w:ascii="Adelle Sans;sans-serif" w:hAnsi="Adelle Sans;sans-serif"/>
          <w:b w:val="false"/>
          <w:color w:val="181717"/>
          <w:sz w:val="24"/>
        </w:rPr>
      </w:pPr>
      <w:r>
        <w:rPr>
          <w:rFonts w:ascii="Adelle Sans;sans-serif" w:hAnsi="Adelle Sans;sans-serif"/>
          <w:b w:val="false"/>
          <w:color w:val="181717"/>
          <w:sz w:val="24"/>
        </w:rPr>
        <w:t>_________________________________</w:t>
      </w:r>
    </w:p>
    <w:tbl>
      <w:tblPr>
        <w:tblW w:w="10205" w:type="dxa"/>
        <w:jc w:val="center"/>
        <w:tblInd w:w="0" w:type="dxa"/>
        <w:tblLayout w:type="fixed"/>
        <w:tblCellMar>
          <w:top w:w="28" w:type="dxa"/>
          <w:left w:w="28" w:type="dxa"/>
          <w:bottom w:w="28" w:type="dxa"/>
          <w:right w:w="28" w:type="dxa"/>
        </w:tblCellMar>
      </w:tblPr>
      <w:tblGrid>
        <w:gridCol w:w="795"/>
        <w:gridCol w:w="694"/>
        <w:gridCol w:w="694"/>
        <w:gridCol w:w="694"/>
        <w:gridCol w:w="694"/>
        <w:gridCol w:w="732"/>
        <w:gridCol w:w="407"/>
        <w:gridCol w:w="353"/>
        <w:gridCol w:w="353"/>
        <w:gridCol w:w="407"/>
        <w:gridCol w:w="374"/>
        <w:gridCol w:w="353"/>
        <w:gridCol w:w="407"/>
        <w:gridCol w:w="358"/>
        <w:gridCol w:w="363"/>
        <w:gridCol w:w="393"/>
        <w:gridCol w:w="393"/>
        <w:gridCol w:w="393"/>
        <w:gridCol w:w="393"/>
        <w:gridCol w:w="393"/>
        <w:gridCol w:w="562"/>
      </w:tblGrid>
      <w:tr>
        <w:trPr/>
        <w:tc>
          <w:tcPr>
            <w:tcW w:w="795"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r>
      <w:tr>
        <w:trPr/>
        <w:tc>
          <w:tcPr>
            <w:tcW w:w="4303"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Adelle Sans;sans-serif" w:hAnsi="Adelle Sans;sans-serif"/>
                <w:b/>
                <w:color w:val="000000"/>
                <w:sz w:val="16"/>
              </w:rPr>
            </w:pPr>
            <w:r>
              <w:rPr>
                <w:rFonts w:ascii="Adelle Sans;sans-serif" w:hAnsi="Adelle Sans;sans-serif"/>
                <w:b/>
                <w:color w:val="000000"/>
                <w:sz w:val="16"/>
              </w:rPr>
              <w:t>Canada</w:t>
            </w:r>
          </w:p>
        </w:tc>
        <w:tc>
          <w:tcPr>
            <w:tcW w:w="337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delle Sans;sans-serif" w:hAnsi="Adelle Sans;sans-serif"/>
                <w:b/>
                <w:color w:val="000000"/>
                <w:sz w:val="16"/>
              </w:rPr>
            </w:pPr>
            <w:r>
              <w:rPr>
                <w:rFonts w:ascii="Adelle Sans;sans-serif" w:hAnsi="Adelle Sans;sans-serif"/>
                <w:b/>
                <w:color w:val="000000"/>
                <w:sz w:val="16"/>
              </w:rPr>
              <w:t>001-37400</w:t>
            </w:r>
          </w:p>
        </w:tc>
        <w:tc>
          <w:tcPr>
            <w:tcW w:w="2527"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Adelle Sans;sans-serif" w:hAnsi="Adelle Sans;sans-serif"/>
                <w:b/>
                <w:color w:val="000000"/>
                <w:sz w:val="16"/>
              </w:rPr>
            </w:pPr>
            <w:r>
              <w:rPr>
                <w:rFonts w:ascii="Adelle Sans;sans-serif" w:hAnsi="Adelle Sans;sans-serif"/>
                <w:b/>
                <w:color w:val="000000"/>
                <w:sz w:val="16"/>
              </w:rPr>
              <w:t>98-0486686</w:t>
            </w:r>
          </w:p>
        </w:tc>
      </w:tr>
      <w:tr>
        <w:trPr/>
        <w:tc>
          <w:tcPr>
            <w:tcW w:w="4303"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Adelle Sans;sans-serif" w:hAnsi="Adelle Sans;sans-serif"/>
                <w:b w:val="false"/>
                <w:color w:val="000000"/>
                <w:sz w:val="16"/>
              </w:rPr>
            </w:pPr>
            <w:r>
              <w:rPr>
                <w:rFonts w:ascii="Adelle Sans;sans-serif" w:hAnsi="Adelle Sans;sans-serif"/>
                <w:b w:val="false"/>
                <w:color w:val="000000"/>
                <w:sz w:val="16"/>
              </w:rPr>
              <w:t>(State or other jurisdiction of incorporation or organization)</w:t>
            </w:r>
          </w:p>
        </w:tc>
        <w:tc>
          <w:tcPr>
            <w:tcW w:w="337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delle Sans;sans-serif" w:hAnsi="Adelle Sans;sans-serif"/>
                <w:b w:val="false"/>
                <w:color w:val="000000"/>
                <w:sz w:val="16"/>
              </w:rPr>
            </w:pPr>
            <w:r>
              <w:rPr>
                <w:rFonts w:ascii="Adelle Sans;sans-serif" w:hAnsi="Adelle Sans;sans-serif"/>
                <w:b w:val="false"/>
                <w:color w:val="000000"/>
                <w:sz w:val="16"/>
              </w:rPr>
              <w:t>(Commission File Number)</w:t>
            </w:r>
          </w:p>
        </w:tc>
        <w:tc>
          <w:tcPr>
            <w:tcW w:w="2527"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Adelle Sans;sans-serif" w:hAnsi="Adelle Sans;sans-serif"/>
                <w:b w:val="false"/>
                <w:color w:val="000000"/>
                <w:sz w:val="16"/>
              </w:rPr>
            </w:pPr>
            <w:r>
              <w:rPr>
                <w:rFonts w:ascii="Adelle Sans;sans-serif" w:hAnsi="Adelle Sans;sans-serif"/>
                <w:b w:val="false"/>
                <w:color w:val="000000"/>
                <w:sz w:val="16"/>
              </w:rPr>
              <w:t>(IRS Employer Identification No.)</w:t>
            </w:r>
          </w:p>
        </w:tc>
      </w:tr>
      <w:tr>
        <w:trPr/>
        <w:tc>
          <w:tcPr>
            <w:tcW w:w="21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7"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3"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delle Sans;sans-serif" w:hAnsi="Adelle Sans;sans-serif"/>
                <w:b/>
                <w:color w:val="000000"/>
                <w:sz w:val="16"/>
              </w:rPr>
            </w:pPr>
            <w:r>
              <w:rPr>
                <w:rFonts w:ascii="Adelle Sans;sans-serif" w:hAnsi="Adelle Sans;sans-serif"/>
                <w:b/>
                <w:color w:val="000000"/>
                <w:sz w:val="16"/>
              </w:rPr>
              <w:t>8488 Rozita Lee Ave, Bldg 3 Suite 100</w:t>
            </w:r>
          </w:p>
        </w:tc>
        <w:tc>
          <w:tcPr>
            <w:tcW w:w="2527"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3"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color w:val="000000"/>
                <w:sz w:val="16"/>
              </w:rPr>
            </w:pPr>
            <w:r>
              <w:rPr>
                <w:rFonts w:ascii="Adelle Sans;sans-serif" w:hAnsi="Adelle Sans;sans-serif"/>
                <w:b/>
                <w:color w:val="000000"/>
                <w:sz w:val="16"/>
              </w:rPr>
              <w:t>Las Vegas,</w:t>
            </w:r>
          </w:p>
        </w:tc>
        <w:tc>
          <w:tcPr>
            <w:tcW w:w="11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delle Sans;sans-serif" w:hAnsi="Adelle Sans;sans-serif"/>
                <w:b/>
                <w:color w:val="000000"/>
                <w:sz w:val="16"/>
              </w:rPr>
            </w:pPr>
            <w:r>
              <w:rPr>
                <w:rFonts w:ascii="Adelle Sans;sans-serif" w:hAnsi="Adelle Sans;sans-serif"/>
                <w:b/>
                <w:color w:val="000000"/>
                <w:sz w:val="16"/>
              </w:rPr>
              <w:t>Nevada</w:t>
            </w:r>
          </w:p>
        </w:tc>
        <w:tc>
          <w:tcPr>
            <w:tcW w:w="1128"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delle Sans;sans-serif" w:hAnsi="Adelle Sans;sans-serif"/>
                <w:b/>
                <w:color w:val="000000"/>
                <w:sz w:val="16"/>
              </w:rPr>
            </w:pPr>
            <w:r>
              <w:rPr>
                <w:rFonts w:ascii="Adelle Sans;sans-serif" w:hAnsi="Adelle Sans;sans-serif"/>
                <w:b/>
                <w:color w:val="000000"/>
                <w:sz w:val="16"/>
              </w:rPr>
              <w:t>89113</w:t>
            </w:r>
          </w:p>
        </w:tc>
        <w:tc>
          <w:tcPr>
            <w:tcW w:w="2527"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Adelle Sans;sans-serif" w:hAnsi="Adelle Sans;sans-serif"/>
                <w:b w:val="false"/>
                <w:color w:val="000000"/>
                <w:sz w:val="16"/>
              </w:rPr>
            </w:pPr>
            <w:r>
              <w:rPr>
                <w:rFonts w:ascii="Adelle Sans;sans-serif" w:hAnsi="Adelle Sans;sans-serif"/>
                <w:b w:val="false"/>
                <w:color w:val="000000"/>
                <w:sz w:val="16"/>
              </w:rPr>
              <w:t>(Address of principal executive office, including zip code)</w:t>
            </w:r>
          </w:p>
        </w:tc>
      </w:tr>
      <w:tr>
        <w:trPr/>
        <w:tc>
          <w:tcPr>
            <w:tcW w:w="10205" w:type="dxa"/>
            <w:gridSpan w:val="21"/>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80"/>
        <w:jc w:val="center"/>
        <w:rPr/>
      </w:pPr>
      <w:r>
        <w:rPr>
          <w:rFonts w:ascii="Adelle Sans;sans-serif" w:hAnsi="Adelle Sans;sans-serif"/>
          <w:b w:val="false"/>
          <w:color w:val="181717"/>
          <w:sz w:val="16"/>
        </w:rPr>
        <w:t xml:space="preserve">Registrant’s telephone number, including area code: </w:t>
      </w:r>
      <w:r>
        <w:rPr>
          <w:rFonts w:ascii="Adelle Sans;sans-serif" w:hAnsi="Adelle Sans;sans-serif"/>
          <w:b/>
          <w:color w:val="000000"/>
          <w:sz w:val="16"/>
        </w:rPr>
        <w:t>(613) 241-2828 x 1045</w:t>
      </w:r>
    </w:p>
    <w:p>
      <w:pPr>
        <w:pStyle w:val="TextBody"/>
        <w:bidi w:val="0"/>
        <w:spacing w:lineRule="auto" w:line="288" w:before="0" w:after="80"/>
        <w:jc w:val="left"/>
        <w:rPr>
          <w:rFonts w:ascii="Adelle Sans;sans-serif" w:hAnsi="Adelle Sans;sans-serif"/>
          <w:b w:val="false"/>
          <w:color w:val="181717"/>
          <w:sz w:val="16"/>
        </w:rPr>
      </w:pPr>
      <w:r>
        <w:rPr>
          <w:rFonts w:ascii="Adelle Sans;sans-serif" w:hAnsi="Adelle Sans;sans-serif"/>
          <w:b w:val="false"/>
          <w:color w:val="181717"/>
          <w:sz w:val="16"/>
        </w:rPr>
        <w:t>Securities registered pursuant to Section 12(b) of the Act:</w:t>
      </w:r>
    </w:p>
    <w:tbl>
      <w:tblPr>
        <w:tblW w:w="8893" w:type="dxa"/>
        <w:jc w:val="left"/>
        <w:tblInd w:w="0" w:type="dxa"/>
        <w:tblLayout w:type="fixed"/>
        <w:tblCellMar>
          <w:top w:w="28" w:type="dxa"/>
          <w:left w:w="28" w:type="dxa"/>
          <w:bottom w:w="28" w:type="dxa"/>
          <w:right w:w="28" w:type="dxa"/>
        </w:tblCellMar>
      </w:tblPr>
      <w:tblGrid>
        <w:gridCol w:w="1228"/>
        <w:gridCol w:w="1078"/>
        <w:gridCol w:w="1084"/>
        <w:gridCol w:w="544"/>
        <w:gridCol w:w="544"/>
        <w:gridCol w:w="546"/>
        <w:gridCol w:w="1133"/>
        <w:gridCol w:w="1133"/>
        <w:gridCol w:w="1603"/>
      </w:tblGrid>
      <w:tr>
        <w:trPr/>
        <w:tc>
          <w:tcPr>
            <w:tcW w:w="1228" w:type="dxa"/>
            <w:tcBorders/>
            <w:vAlign w:val="center"/>
          </w:tcPr>
          <w:p>
            <w:pPr>
              <w:pStyle w:val="TableContents"/>
              <w:bidi w:val="0"/>
              <w:spacing w:before="0" w:after="283"/>
              <w:jc w:val="left"/>
              <w:rPr>
                <w:sz w:val="4"/>
                <w:szCs w:val="4"/>
              </w:rPr>
            </w:pPr>
            <w:r>
              <w:rPr>
                <w:sz w:val="4"/>
                <w:szCs w:val="4"/>
              </w:rPr>
            </w:r>
          </w:p>
        </w:tc>
        <w:tc>
          <w:tcPr>
            <w:tcW w:w="1078" w:type="dxa"/>
            <w:tcBorders/>
            <w:vAlign w:val="center"/>
          </w:tcPr>
          <w:p>
            <w:pPr>
              <w:pStyle w:val="TableContents"/>
              <w:bidi w:val="0"/>
              <w:spacing w:before="0" w:after="283"/>
              <w:jc w:val="left"/>
              <w:rPr>
                <w:sz w:val="4"/>
                <w:szCs w:val="4"/>
              </w:rPr>
            </w:pPr>
            <w:r>
              <w:rPr>
                <w:sz w:val="4"/>
                <w:szCs w:val="4"/>
              </w:rPr>
            </w:r>
          </w:p>
        </w:tc>
        <w:tc>
          <w:tcPr>
            <w:tcW w:w="1084"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1133" w:type="dxa"/>
            <w:tcBorders/>
            <w:vAlign w:val="center"/>
          </w:tcPr>
          <w:p>
            <w:pPr>
              <w:pStyle w:val="TableContents"/>
              <w:bidi w:val="0"/>
              <w:spacing w:before="0" w:after="283"/>
              <w:jc w:val="left"/>
              <w:rPr>
                <w:sz w:val="4"/>
                <w:szCs w:val="4"/>
              </w:rPr>
            </w:pPr>
            <w:r>
              <w:rPr>
                <w:sz w:val="4"/>
                <w:szCs w:val="4"/>
              </w:rPr>
            </w:r>
          </w:p>
        </w:tc>
        <w:tc>
          <w:tcPr>
            <w:tcW w:w="1133" w:type="dxa"/>
            <w:tcBorders/>
            <w:vAlign w:val="center"/>
          </w:tcPr>
          <w:p>
            <w:pPr>
              <w:pStyle w:val="TableContents"/>
              <w:bidi w:val="0"/>
              <w:spacing w:before="0" w:after="283"/>
              <w:jc w:val="left"/>
              <w:rPr>
                <w:sz w:val="4"/>
                <w:szCs w:val="4"/>
              </w:rPr>
            </w:pPr>
            <w:r>
              <w:rPr>
                <w:sz w:val="4"/>
                <w:szCs w:val="4"/>
              </w:rPr>
            </w:r>
          </w:p>
        </w:tc>
        <w:tc>
          <w:tcPr>
            <w:tcW w:w="1603" w:type="dxa"/>
            <w:tcBorders/>
            <w:vAlign w:val="center"/>
          </w:tcPr>
          <w:p>
            <w:pPr>
              <w:pStyle w:val="TableContents"/>
              <w:bidi w:val="0"/>
              <w:spacing w:before="0" w:after="283"/>
              <w:jc w:val="left"/>
              <w:rPr>
                <w:sz w:val="4"/>
                <w:szCs w:val="4"/>
              </w:rPr>
            </w:pPr>
            <w:r>
              <w:rPr>
                <w:sz w:val="4"/>
                <w:szCs w:val="4"/>
              </w:rPr>
            </w:r>
          </w:p>
        </w:tc>
      </w:tr>
      <w:tr>
        <w:trPr/>
        <w:tc>
          <w:tcPr>
            <w:tcW w:w="3390"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center"/>
              <w:rPr>
                <w:rFonts w:ascii="Adelle Sans;sans-serif" w:hAnsi="Adelle Sans;sans-serif"/>
                <w:b w:val="false"/>
                <w:color w:val="000000"/>
                <w:sz w:val="16"/>
              </w:rPr>
            </w:pPr>
            <w:r>
              <w:rPr>
                <w:rFonts w:ascii="Adelle Sans;sans-serif" w:hAnsi="Adelle Sans;sans-serif"/>
                <w:b w:val="false"/>
                <w:color w:val="000000"/>
                <w:sz w:val="16"/>
              </w:rPr>
              <w:t>Title of each class</w:t>
            </w:r>
          </w:p>
        </w:tc>
        <w:tc>
          <w:tcPr>
            <w:tcW w:w="1634"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center"/>
              <w:rPr>
                <w:rFonts w:ascii="Adelle Sans;sans-serif" w:hAnsi="Adelle Sans;sans-serif"/>
                <w:b w:val="false"/>
                <w:color w:val="000000"/>
                <w:sz w:val="16"/>
              </w:rPr>
            </w:pPr>
            <w:r>
              <w:rPr>
                <w:rFonts w:ascii="Adelle Sans;sans-serif" w:hAnsi="Adelle Sans;sans-serif"/>
                <w:b w:val="false"/>
                <w:color w:val="000000"/>
                <w:sz w:val="16"/>
              </w:rPr>
              <w:t>Trading Symbol(s)</w:t>
            </w:r>
          </w:p>
        </w:tc>
        <w:tc>
          <w:tcPr>
            <w:tcW w:w="3869" w:type="dxa"/>
            <w:gridSpan w:val="3"/>
            <w:tcBorders>
              <w:top w:val="single" w:sz="8" w:space="0" w:color="000000"/>
              <w:left w:val="single" w:sz="8" w:space="0" w:color="000000"/>
              <w:right w:val="single" w:sz="8" w:space="0" w:color="000000"/>
            </w:tcBorders>
            <w:tcMar>
              <w:top w:w="52" w:type="dxa"/>
              <w:bottom w:w="0" w:type="dxa"/>
            </w:tcMar>
            <w:vAlign w:val="center"/>
          </w:tcPr>
          <w:p>
            <w:pPr>
              <w:pStyle w:val="TableContents"/>
              <w:bidi w:val="0"/>
              <w:spacing w:lineRule="auto" w:line="240" w:before="0" w:after="283"/>
              <w:jc w:val="center"/>
              <w:rPr>
                <w:rFonts w:ascii="Adelle Sans;sans-serif" w:hAnsi="Adelle Sans;sans-serif"/>
                <w:b w:val="false"/>
                <w:color w:val="000000"/>
                <w:sz w:val="16"/>
              </w:rPr>
            </w:pPr>
            <w:r>
              <w:rPr>
                <w:rFonts w:ascii="Adelle Sans;sans-serif" w:hAnsi="Adelle Sans;sans-serif"/>
                <w:b w:val="false"/>
                <w:color w:val="000000"/>
                <w:sz w:val="16"/>
              </w:rPr>
              <w:t>Name of each exchange on which registered</w:t>
            </w:r>
          </w:p>
        </w:tc>
      </w:tr>
      <w:tr>
        <w:trPr/>
        <w:tc>
          <w:tcPr>
            <w:tcW w:w="3390" w:type="dxa"/>
            <w:gridSpan w:val="3"/>
            <w:tcBorders>
              <w:top w:val="single" w:sz="8" w:space="0" w:color="000000"/>
              <w:left w:val="single" w:sz="8" w:space="0" w:color="000000"/>
              <w:bottom w:val="single" w:sz="8" w:space="0" w:color="000000"/>
            </w:tcBorders>
            <w:tcMar>
              <w:top w:w="52" w:type="dxa"/>
              <w:bottom w:w="30" w:type="dxa"/>
              <w:right w:w="0" w:type="dxa"/>
            </w:tcMar>
            <w:vAlign w:val="center"/>
          </w:tcPr>
          <w:p>
            <w:pPr>
              <w:pStyle w:val="TableContents"/>
              <w:bidi w:val="0"/>
              <w:spacing w:lineRule="auto" w:line="240" w:before="0" w:after="283"/>
              <w:jc w:val="center"/>
              <w:rPr>
                <w:rFonts w:ascii="Adelle Sans;sans-serif" w:hAnsi="Adelle Sans;sans-serif"/>
                <w:b/>
                <w:color w:val="000000"/>
                <w:sz w:val="16"/>
              </w:rPr>
            </w:pPr>
            <w:r>
              <w:rPr>
                <w:rFonts w:ascii="Adelle Sans;sans-serif" w:hAnsi="Adelle Sans;sans-serif"/>
                <w:b/>
                <w:color w:val="000000"/>
                <w:sz w:val="16"/>
              </w:rPr>
              <w:t>Class A Subordinate Voting Shares</w:t>
            </w:r>
          </w:p>
        </w:tc>
        <w:tc>
          <w:tcPr>
            <w:tcW w:w="1634" w:type="dxa"/>
            <w:gridSpan w:val="3"/>
            <w:tcBorders>
              <w:top w:val="single" w:sz="8" w:space="0" w:color="000000"/>
              <w:left w:val="single" w:sz="8" w:space="0" w:color="000000"/>
              <w:bottom w:val="single" w:sz="8" w:space="0" w:color="000000"/>
            </w:tcBorders>
            <w:tcMar>
              <w:top w:w="52" w:type="dxa"/>
              <w:bottom w:w="30" w:type="dxa"/>
              <w:right w:w="0" w:type="dxa"/>
            </w:tcMar>
            <w:vAlign w:val="center"/>
          </w:tcPr>
          <w:p>
            <w:pPr>
              <w:pStyle w:val="TableContents"/>
              <w:bidi w:val="0"/>
              <w:spacing w:lineRule="auto" w:line="240" w:before="0" w:after="283"/>
              <w:jc w:val="center"/>
              <w:rPr>
                <w:rFonts w:ascii="Adelle Sans;sans-serif" w:hAnsi="Adelle Sans;sans-serif"/>
                <w:b/>
                <w:color w:val="000000"/>
                <w:sz w:val="16"/>
              </w:rPr>
            </w:pPr>
            <w:r>
              <w:rPr>
                <w:rFonts w:ascii="Adelle Sans;sans-serif" w:hAnsi="Adelle Sans;sans-serif"/>
                <w:b/>
                <w:color w:val="000000"/>
                <w:sz w:val="16"/>
              </w:rPr>
              <w:t>SHOP</w:t>
            </w:r>
          </w:p>
        </w:tc>
        <w:tc>
          <w:tcPr>
            <w:tcW w:w="3869" w:type="dxa"/>
            <w:gridSpan w:val="3"/>
            <w:tcBorders>
              <w:top w:val="single" w:sz="8" w:space="0" w:color="000000"/>
              <w:left w:val="single" w:sz="8" w:space="0" w:color="000000"/>
              <w:bottom w:val="single" w:sz="8" w:space="0" w:color="000000"/>
              <w:right w:val="single" w:sz="8" w:space="0" w:color="000000"/>
            </w:tcBorders>
            <w:tcMar>
              <w:top w:w="52" w:type="dxa"/>
              <w:bottom w:w="30" w:type="dxa"/>
            </w:tcMar>
            <w:vAlign w:val="center"/>
          </w:tcPr>
          <w:p>
            <w:pPr>
              <w:pStyle w:val="TableContents"/>
              <w:bidi w:val="0"/>
              <w:spacing w:lineRule="auto" w:line="240" w:before="0" w:after="283"/>
              <w:jc w:val="center"/>
              <w:rPr>
                <w:rFonts w:ascii="Adelle Sans;sans-serif" w:hAnsi="Adelle Sans;sans-serif"/>
                <w:b/>
                <w:color w:val="000000"/>
                <w:sz w:val="16"/>
              </w:rPr>
            </w:pPr>
            <w:r>
              <w:rPr>
                <w:rFonts w:ascii="Adelle Sans;sans-serif" w:hAnsi="Adelle Sans;sans-serif"/>
                <w:b/>
                <w:color w:val="000000"/>
                <w:sz w:val="16"/>
              </w:rPr>
              <w:t>The Nasdaq Global Select Market</w:t>
            </w:r>
          </w:p>
        </w:tc>
      </w:tr>
    </w:tbl>
    <w:p>
      <w:pPr>
        <w:pStyle w:val="TextBody"/>
        <w:bidi w:val="0"/>
        <w:spacing w:lineRule="auto" w:line="288" w:before="0" w:after="80"/>
        <w:jc w:val="left"/>
        <w:rPr/>
      </w:pPr>
      <w:r>
        <w:rPr>
          <w:rFonts w:ascii="Adelle Sans;sans-serif" w:hAnsi="Adelle Sans;sans-serif"/>
          <w:b w:val="false"/>
          <w:color w:val="181717"/>
          <w:sz w:val="16"/>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color w:val="000000"/>
        </w:rPr>
        <w:t>☒</w:t>
      </w:r>
      <w:r>
        <w:rPr>
          <w:color w:val="181717"/>
        </w:rPr>
        <w:t xml:space="preserve"> </w:t>
      </w:r>
      <w:r>
        <w:rPr>
          <w:rFonts w:ascii="Adelle Sans;sans-serif" w:hAnsi="Adelle Sans;sans-serif"/>
          <w:b w:val="false"/>
          <w:color w:val="181717"/>
          <w:sz w:val="16"/>
        </w:rPr>
        <w:t xml:space="preserve">No </w:t>
      </w:r>
      <w:r>
        <w:rPr>
          <w:color w:val="000000"/>
        </w:rPr>
        <w:t>☐</w:t>
      </w:r>
    </w:p>
    <w:p>
      <w:pPr>
        <w:pStyle w:val="TextBody"/>
        <w:bidi w:val="0"/>
        <w:spacing w:lineRule="auto" w:line="288" w:before="0" w:after="80"/>
        <w:jc w:val="left"/>
        <w:rPr/>
      </w:pPr>
      <w:r>
        <w:rPr>
          <w:rFonts w:ascii="Adelle Sans;sans-serif" w:hAnsi="Adelle Sans;sans-serif"/>
          <w:b w:val="false"/>
          <w:color w:val="181717"/>
          <w:sz w:val="16"/>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w:t>
      </w:r>
      <w:r>
        <w:rPr>
          <w:color w:val="000000"/>
        </w:rPr>
        <w:t xml:space="preserve"> ☒ </w:t>
      </w:r>
      <w:r>
        <w:rPr>
          <w:rFonts w:ascii="Adelle Sans;sans-serif" w:hAnsi="Adelle Sans;sans-serif"/>
          <w:b w:val="false"/>
          <w:color w:val="181717"/>
          <w:sz w:val="16"/>
        </w:rPr>
        <w:t>No</w:t>
      </w:r>
      <w:r>
        <w:rPr>
          <w:color w:val="000000"/>
        </w:rPr>
        <w:t xml:space="preserve"> ☐</w:t>
      </w:r>
    </w:p>
    <w:p>
      <w:pPr>
        <w:pStyle w:val="TextBody"/>
        <w:bidi w:val="0"/>
        <w:spacing w:lineRule="auto" w:line="288" w:before="0" w:after="80"/>
        <w:jc w:val="both"/>
        <w:rPr>
          <w:rFonts w:ascii="Adelle Sans;sans-serif" w:hAnsi="Adelle Sans;sans-serif"/>
          <w:b w:val="false"/>
          <w:color w:val="181717"/>
          <w:sz w:val="16"/>
        </w:rPr>
      </w:pPr>
      <w:r>
        <w:rPr>
          <w:rFonts w:ascii="Adelle Sans;sans-serif" w:hAnsi="Adelle Sans;sans-serif"/>
          <w:b w:val="false"/>
          <w:color w:val="181717"/>
          <w:sz w:val="16"/>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5435" w:type="dxa"/>
        <w:jc w:val="left"/>
        <w:tblInd w:w="0" w:type="dxa"/>
        <w:tblLayout w:type="fixed"/>
        <w:tblCellMar>
          <w:top w:w="28" w:type="dxa"/>
          <w:left w:w="28" w:type="dxa"/>
          <w:bottom w:w="28" w:type="dxa"/>
          <w:right w:w="28" w:type="dxa"/>
        </w:tblCellMar>
      </w:tblPr>
      <w:tblGrid>
        <w:gridCol w:w="727"/>
        <w:gridCol w:w="640"/>
        <w:gridCol w:w="642"/>
        <w:gridCol w:w="109"/>
        <w:gridCol w:w="109"/>
        <w:gridCol w:w="109"/>
        <w:gridCol w:w="109"/>
        <w:gridCol w:w="109"/>
        <w:gridCol w:w="109"/>
        <w:gridCol w:w="799"/>
        <w:gridCol w:w="799"/>
        <w:gridCol w:w="802"/>
        <w:gridCol w:w="109"/>
        <w:gridCol w:w="109"/>
        <w:gridCol w:w="154"/>
      </w:tblGrid>
      <w:tr>
        <w:trPr/>
        <w:tc>
          <w:tcPr>
            <w:tcW w:w="727"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6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9" w:type="dxa"/>
            <w:tcBorders/>
            <w:vAlign w:val="center"/>
          </w:tcPr>
          <w:p>
            <w:pPr>
              <w:pStyle w:val="TableContents"/>
              <w:bidi w:val="0"/>
              <w:spacing w:before="0" w:after="283"/>
              <w:jc w:val="left"/>
              <w:rPr>
                <w:sz w:val="4"/>
                <w:szCs w:val="4"/>
              </w:rPr>
            </w:pPr>
            <w:r>
              <w:rPr>
                <w:sz w:val="4"/>
                <w:szCs w:val="4"/>
              </w:rPr>
            </w:r>
          </w:p>
        </w:tc>
        <w:tc>
          <w:tcPr>
            <w:tcW w:w="799"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delle Sans;sans-serif" w:hAnsi="Adelle Sans;sans-serif"/>
                <w:b w:val="false"/>
                <w:color w:val="000000"/>
                <w:sz w:val="16"/>
              </w:rPr>
            </w:pPr>
            <w:r>
              <w:rPr>
                <w:rFonts w:ascii="Adelle Sans;sans-serif" w:hAnsi="Adelle Sans;sans-serif"/>
                <w:b w:val="false"/>
                <w:color w:val="000000"/>
                <w:sz w:val="16"/>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80"/>
              <w:jc w:val="right"/>
              <w:rPr>
                <w:color w:val="181717"/>
              </w:rPr>
            </w:pPr>
            <w:r>
              <w:rPr>
                <w:color w:val="181717"/>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delle Sans;sans-serif" w:hAnsi="Adelle Sans;sans-serif"/>
                <w:b w:val="false"/>
                <w:color w:val="000000"/>
                <w:sz w:val="16"/>
              </w:rPr>
            </w:pPr>
            <w:r>
              <w:rPr>
                <w:rFonts w:ascii="Adelle Sans;sans-serif" w:hAnsi="Adelle Sans;sans-serif"/>
                <w:b w:val="false"/>
                <w:color w:val="000000"/>
                <w:sz w:val="16"/>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r>
      <w:tr>
        <w:trPr/>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delle Sans;sans-serif" w:hAnsi="Adelle Sans;sans-serif"/>
                <w:b w:val="false"/>
                <w:color w:val="000000"/>
                <w:sz w:val="16"/>
              </w:rPr>
            </w:pPr>
            <w:r>
              <w:rPr>
                <w:rFonts w:ascii="Adelle Sans;sans-serif" w:hAnsi="Adelle Sans;sans-serif"/>
                <w:b w:val="false"/>
                <w:color w:val="000000"/>
                <w:sz w:val="16"/>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delle Sans;sans-serif" w:hAnsi="Adelle Sans;sans-serif"/>
                <w:b w:val="false"/>
                <w:color w:val="000000"/>
                <w:sz w:val="16"/>
              </w:rPr>
            </w:pPr>
            <w:r>
              <w:rPr>
                <w:rFonts w:ascii="Adelle Sans;sans-serif" w:hAnsi="Adelle Sans;sans-serif"/>
                <w:b w:val="false"/>
                <w:color w:val="000000"/>
                <w:sz w:val="16"/>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r>
      <w:tr>
        <w:trPr/>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delle Sans;sans-serif" w:hAnsi="Adelle Sans;sans-serif"/>
                <w:b w:val="false"/>
                <w:color w:val="000000"/>
                <w:sz w:val="16"/>
              </w:rPr>
            </w:pPr>
            <w:r>
              <w:rPr>
                <w:rFonts w:ascii="Adelle Sans;sans-serif" w:hAnsi="Adelle Sans;sans-serif"/>
                <w:b w:val="false"/>
                <w:color w:val="000000"/>
                <w:sz w:val="16"/>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r>
    </w:tbl>
    <w:p>
      <w:pPr>
        <w:pStyle w:val="TextBody"/>
        <w:bidi w:val="0"/>
        <w:spacing w:lineRule="auto" w:line="288" w:before="0" w:after="80"/>
        <w:jc w:val="left"/>
        <w:rPr/>
      </w:pPr>
      <w:r>
        <w:rPr>
          <w:rFonts w:ascii="Adelle Sans;sans-serif" w:hAnsi="Adelle Sans;sans-serif"/>
          <w:b w:val="false"/>
          <w:color w:val="181717"/>
          <w:sz w:val="16"/>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TextBody"/>
        <w:bidi w:val="0"/>
        <w:spacing w:lineRule="auto" w:line="288" w:before="0" w:after="80"/>
        <w:jc w:val="left"/>
        <w:rPr/>
      </w:pPr>
      <w:r>
        <w:rPr>
          <w:rFonts w:ascii="Adelle Sans;sans-serif" w:hAnsi="Adelle Sans;sans-serif"/>
          <w:b w:val="false"/>
          <w:color w:val="181717"/>
          <w:sz w:val="16"/>
        </w:rPr>
        <w:t>Indicate by check mark whether the registrant is a shell company (as defined in Rule 12b-2 of the Exchange Act). Yes</w:t>
      </w:r>
      <w:r>
        <w:rPr>
          <w:color w:val="000000"/>
        </w:rPr>
        <w:t xml:space="preserve"> ☐</w:t>
      </w:r>
      <w:r>
        <w:rPr>
          <w:color w:val="181717"/>
        </w:rPr>
        <w:t xml:space="preserve"> </w:t>
      </w:r>
      <w:r>
        <w:rPr>
          <w:rFonts w:ascii="Adelle Sans;sans-serif" w:hAnsi="Adelle Sans;sans-serif"/>
          <w:b w:val="false"/>
          <w:color w:val="181717"/>
          <w:sz w:val="16"/>
        </w:rPr>
        <w:t>No</w:t>
      </w:r>
      <w:r>
        <w:rPr>
          <w:color w:val="000000"/>
        </w:rPr>
        <w:t xml:space="preserve"> ☒</w:t>
      </w:r>
    </w:p>
    <w:p>
      <w:pPr>
        <w:pStyle w:val="TextBody"/>
        <w:bidi w:val="0"/>
        <w:spacing w:lineRule="auto" w:line="288" w:before="0" w:after="80"/>
        <w:jc w:val="left"/>
        <w:rPr/>
      </w:pPr>
      <w:r>
        <w:rPr>
          <w:rFonts w:ascii="Adelle Sans;sans-serif" w:hAnsi="Adelle Sans;sans-serif"/>
          <w:b w:val="false"/>
          <w:color w:val="181717"/>
          <w:sz w:val="16"/>
        </w:rPr>
        <w:t>The registrant had 1,208,570,347 Class A Subordinate Voting Shares, 78,073,584</w:t>
      </w:r>
      <w:r>
        <w:rPr>
          <w:color w:val="000000"/>
        </w:rPr>
        <w:t xml:space="preserve"> </w:t>
      </w:r>
      <w:r>
        <w:rPr>
          <w:rFonts w:ascii="Adelle Sans;sans-serif" w:hAnsi="Adelle Sans;sans-serif"/>
          <w:b w:val="false"/>
          <w:color w:val="181717"/>
          <w:sz w:val="16"/>
        </w:rPr>
        <w:t xml:space="preserve">Class B Restricted Voting Shares and </w:t>
      </w:r>
      <w:r>
        <w:rPr>
          <w:rFonts w:ascii="Adelle Sans;sans-serif" w:hAnsi="Adelle Sans;sans-serif"/>
          <w:b w:val="false"/>
          <w:color w:val="000000"/>
          <w:sz w:val="16"/>
        </w:rPr>
        <w:t>1</w:t>
      </w:r>
      <w:r>
        <w:rPr>
          <w:color w:val="181717"/>
        </w:rPr>
        <w:t xml:space="preserve"> </w:t>
      </w:r>
      <w:r>
        <w:rPr>
          <w:rFonts w:ascii="Adelle Sans;sans-serif" w:hAnsi="Adelle Sans;sans-serif"/>
          <w:b w:val="false"/>
          <w:color w:val="181717"/>
          <w:sz w:val="16"/>
        </w:rPr>
        <w:t xml:space="preserve">Founder Share issued and outstanding as of </w:t>
      </w:r>
      <w:r>
        <w:rPr>
          <w:rFonts w:ascii="Adelle Sans;sans-serif" w:hAnsi="Adelle Sans;sans-serif"/>
          <w:b w:val="false"/>
          <w:color w:val="000000"/>
          <w:sz w:val="16"/>
        </w:rPr>
        <w:t>July 31, 2026</w:t>
      </w:r>
      <w:r>
        <w:rPr>
          <w:rFonts w:ascii="Adelle Sans;sans-serif" w:hAnsi="Adelle Sans;sans-serif"/>
          <w:b w:val="false"/>
          <w:color w:val="181717"/>
          <w:sz w:val="16"/>
        </w:rPr>
        <w:t>.</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2"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200"/>
        <w:jc w:val="left"/>
        <w:rPr/>
      </w:pPr>
      <w:r>
        <w:rPr/>
      </w:r>
    </w:p>
    <w:p>
      <w:pPr>
        <w:pStyle w:val="TextBody"/>
        <w:bidi w:val="0"/>
        <w:spacing w:lineRule="auto" w:line="288" w:before="0" w:after="0"/>
        <w:jc w:val="center"/>
        <w:rPr>
          <w:rFonts w:ascii="Adelle Sans;sans-serif" w:hAnsi="Adelle Sans;sans-serif"/>
          <w:b/>
          <w:color w:val="000000"/>
          <w:sz w:val="20"/>
        </w:rPr>
      </w:pPr>
      <w:r>
        <w:rPr>
          <w:rFonts w:ascii="Adelle Sans;sans-serif" w:hAnsi="Adelle Sans;sans-serif"/>
          <w:b/>
          <w:color w:val="000000"/>
          <w:sz w:val="20"/>
        </w:rPr>
        <w:t>Shopify Inc.</w:t>
      </w:r>
    </w:p>
    <w:p>
      <w:pPr>
        <w:pStyle w:val="TextBody"/>
        <w:bidi w:val="0"/>
        <w:spacing w:lineRule="auto" w:line="288" w:before="0" w:after="200"/>
        <w:jc w:val="center"/>
        <w:rPr>
          <w:rFonts w:ascii="Adelle Sans;sans-serif" w:hAnsi="Adelle Sans;sans-serif"/>
          <w:b/>
          <w:color w:val="000000"/>
          <w:sz w:val="20"/>
        </w:rPr>
      </w:pPr>
      <w:r>
        <w:rPr>
          <w:rFonts w:ascii="Adelle Sans;sans-serif" w:hAnsi="Adelle Sans;sans-serif"/>
          <w:b/>
          <w:color w:val="000000"/>
          <w:sz w:val="20"/>
        </w:rPr>
        <w:t>TABLE OF CONTENTS</w:t>
      </w:r>
    </w:p>
    <w:tbl>
      <w:tblPr>
        <w:tblW w:w="10185" w:type="dxa"/>
        <w:jc w:val="left"/>
        <w:tblInd w:w="0" w:type="dxa"/>
        <w:tblLayout w:type="fixed"/>
        <w:tblCellMar>
          <w:top w:w="28" w:type="dxa"/>
          <w:left w:w="28" w:type="dxa"/>
          <w:bottom w:w="28" w:type="dxa"/>
          <w:right w:w="28" w:type="dxa"/>
        </w:tblCellMar>
      </w:tblPr>
      <w:tblGrid>
        <w:gridCol w:w="3433"/>
        <w:gridCol w:w="3015"/>
        <w:gridCol w:w="3031"/>
        <w:gridCol w:w="206"/>
        <w:gridCol w:w="206"/>
        <w:gridCol w:w="294"/>
      </w:tblGrid>
      <w:tr>
        <w:trPr/>
        <w:tc>
          <w:tcPr>
            <w:tcW w:w="3433" w:type="dxa"/>
            <w:tcBorders/>
            <w:vAlign w:val="center"/>
          </w:tcPr>
          <w:p>
            <w:pPr>
              <w:pStyle w:val="TableContents"/>
              <w:bidi w:val="0"/>
              <w:spacing w:before="0" w:after="283"/>
              <w:jc w:val="left"/>
              <w:rPr>
                <w:sz w:val="4"/>
                <w:szCs w:val="4"/>
              </w:rPr>
            </w:pPr>
            <w:r>
              <w:rPr>
                <w:sz w:val="4"/>
                <w:szCs w:val="4"/>
              </w:rPr>
            </w:r>
          </w:p>
        </w:tc>
        <w:tc>
          <w:tcPr>
            <w:tcW w:w="3015" w:type="dxa"/>
            <w:tcBorders/>
            <w:vAlign w:val="center"/>
          </w:tcPr>
          <w:p>
            <w:pPr>
              <w:pStyle w:val="TableContents"/>
              <w:bidi w:val="0"/>
              <w:spacing w:before="0" w:after="283"/>
              <w:jc w:val="left"/>
              <w:rPr>
                <w:sz w:val="4"/>
                <w:szCs w:val="4"/>
              </w:rPr>
            </w:pPr>
            <w:r>
              <w:rPr>
                <w:sz w:val="4"/>
                <w:szCs w:val="4"/>
              </w:rPr>
            </w:r>
          </w:p>
        </w:tc>
        <w:tc>
          <w:tcPr>
            <w:tcW w:w="3031"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r>
      <w:tr>
        <w:trPr/>
        <w:tc>
          <w:tcPr>
            <w:tcW w:w="947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delle Sans;sans-serif" w:hAnsi="Adelle Sans;sans-serif"/>
                <w:b/>
                <w:color w:val="000000"/>
                <w:sz w:val="20"/>
                <w:u w:val="single"/>
              </w:rPr>
            </w:pPr>
            <w:r>
              <w:rPr>
                <w:rFonts w:ascii="Adelle Sans;sans-serif" w:hAnsi="Adelle Sans;sans-serif"/>
                <w:b/>
                <w:color w:val="000000"/>
                <w:sz w:val="20"/>
                <w:u w:val="single"/>
              </w:rPr>
              <w:t>Part I: Financial Information</w:t>
            </w:r>
          </w:p>
        </w:tc>
        <w:tc>
          <w:tcPr>
            <w:tcW w:w="70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delle Sans;sans-serif" w:hAnsi="Adelle Sans;sans-serif"/>
                <w:b/>
                <w:color w:val="000000"/>
                <w:sz w:val="20"/>
                <w:u w:val="single"/>
              </w:rPr>
            </w:pPr>
            <w:r>
              <w:rPr>
                <w:rFonts w:ascii="Adelle Sans;sans-serif" w:hAnsi="Adelle Sans;sans-serif"/>
                <w:b/>
                <w:color w:val="000000"/>
                <w:sz w:val="20"/>
                <w:u w:val="single"/>
              </w:rPr>
              <w:t>Page</w:t>
            </w:r>
          </w:p>
        </w:tc>
      </w:tr>
      <w:tr>
        <w:trPr/>
        <w:tc>
          <w:tcPr>
            <w:tcW w:w="9479" w:type="dxa"/>
            <w:gridSpan w:val="3"/>
            <w:tcBorders/>
            <w:shd w:fill="F7F7F7" w:val="clear"/>
            <w:tcMar>
              <w:top w:w="0" w:type="dxa"/>
              <w:left w:w="0" w:type="dxa"/>
              <w:bottom w:w="0" w:type="dxa"/>
              <w:right w:w="0" w:type="dxa"/>
            </w:tcMar>
            <w:vAlign w:val="center"/>
          </w:tcPr>
          <w:p>
            <w:pPr>
              <w:pStyle w:val="TableContents"/>
              <w:bidi w:val="0"/>
              <w:spacing w:lineRule="auto" w:line="288" w:before="0" w:after="0"/>
              <w:jc w:val="left"/>
              <w:rPr/>
            </w:pPr>
            <w:hyperlink w:anchor="i72330c5c61004cc6bde9ba493181868a">
              <w:r>
                <w:rPr>
                  <w:rStyle w:val="InternetLink"/>
                  <w:rFonts w:ascii="Adelle Sans Light;sans-serif" w:hAnsi="Adelle Sans Light;sans-serif"/>
                  <w:b w:val="false"/>
                  <w:strike w:val="false"/>
                  <w:dstrike w:val="false"/>
                  <w:color w:val="000000"/>
                  <w:sz w:val="20"/>
                  <w:u w:val="none"/>
                  <w:effect w:val="none"/>
                </w:rPr>
                <w:t>Item 1: Financial Statements (unaudited)</w:t>
              </w:r>
            </w:hyperlink>
          </w:p>
        </w:tc>
        <w:tc>
          <w:tcPr>
            <w:tcW w:w="706" w:type="dxa"/>
            <w:gridSpan w:val="3"/>
            <w:tcBorders/>
            <w:shd w:fill="F7F7F7" w:val="clear"/>
            <w:tcMar>
              <w:top w:w="0" w:type="dxa"/>
              <w:left w:w="0" w:type="dxa"/>
              <w:bottom w:w="0" w:type="dxa"/>
              <w:right w:w="0" w:type="dxa"/>
            </w:tcMar>
            <w:vAlign w:val="center"/>
          </w:tcPr>
          <w:p>
            <w:pPr>
              <w:pStyle w:val="TableContents"/>
              <w:bidi w:val="0"/>
              <w:spacing w:lineRule="auto" w:line="288" w:before="0" w:after="0"/>
              <w:jc w:val="right"/>
              <w:rPr/>
            </w:pPr>
            <w:hyperlink w:anchor="i72330c5c61004cc6bde9ba493181868a">
              <w:r>
                <w:rPr>
                  <w:rStyle w:val="InternetLink"/>
                  <w:rFonts w:ascii="Adelle Sans Light;sans-serif" w:hAnsi="Adelle Sans Light;sans-serif"/>
                  <w:b w:val="false"/>
                  <w:strike w:val="false"/>
                  <w:dstrike w:val="false"/>
                  <w:color w:val="000000"/>
                  <w:sz w:val="20"/>
                  <w:u w:val="none"/>
                  <w:effect w:val="none"/>
                </w:rPr>
                <w:t>5</w:t>
              </w:r>
            </w:hyperlink>
          </w:p>
        </w:tc>
      </w:tr>
      <w:tr>
        <w:trPr/>
        <w:tc>
          <w:tcPr>
            <w:tcW w:w="947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2f71b7e5443844658a37da2455abd2cd">
              <w:r>
                <w:rPr>
                  <w:rStyle w:val="InternetLink"/>
                  <w:rFonts w:ascii="Adelle Sans Light;sans-serif" w:hAnsi="Adelle Sans Light;sans-serif"/>
                  <w:b w:val="false"/>
                  <w:strike w:val="false"/>
                  <w:dstrike w:val="false"/>
                  <w:color w:val="000000"/>
                  <w:sz w:val="20"/>
                  <w:u w:val="none"/>
                  <w:effect w:val="none"/>
                </w:rPr>
                <w:t>Item 2: Management's Discussion and Analysis of Financial Condition and Results of Operations</w:t>
              </w:r>
            </w:hyperlink>
          </w:p>
        </w:tc>
        <w:tc>
          <w:tcPr>
            <w:tcW w:w="70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pPr>
            <w:hyperlink w:anchor="i2f71b7e5443844658a37da2455abd2cd">
              <w:r>
                <w:rPr>
                  <w:rStyle w:val="InternetLink"/>
                  <w:rFonts w:ascii="Adelle Sans Light;sans-serif" w:hAnsi="Adelle Sans Light;sans-serif"/>
                  <w:b w:val="false"/>
                  <w:strike w:val="false"/>
                  <w:dstrike w:val="false"/>
                  <w:color w:val="000000"/>
                  <w:sz w:val="20"/>
                  <w:u w:val="none"/>
                  <w:effect w:val="none"/>
                </w:rPr>
                <w:t>26</w:t>
              </w:r>
            </w:hyperlink>
          </w:p>
        </w:tc>
      </w:tr>
      <w:tr>
        <w:trPr/>
        <w:tc>
          <w:tcPr>
            <w:tcW w:w="9479" w:type="dxa"/>
            <w:gridSpan w:val="3"/>
            <w:tcBorders/>
            <w:shd w:fill="F7F7F7" w:val="clear"/>
            <w:tcMar>
              <w:top w:w="0" w:type="dxa"/>
              <w:left w:w="0" w:type="dxa"/>
              <w:bottom w:w="0" w:type="dxa"/>
              <w:right w:w="0" w:type="dxa"/>
            </w:tcMar>
            <w:vAlign w:val="center"/>
          </w:tcPr>
          <w:p>
            <w:pPr>
              <w:pStyle w:val="TableContents"/>
              <w:bidi w:val="0"/>
              <w:spacing w:lineRule="auto" w:line="288" w:before="0" w:after="0"/>
              <w:jc w:val="left"/>
              <w:rPr/>
            </w:pPr>
            <w:hyperlink w:anchor="i79b7883de48b4f8b9268ff8672d7595f">
              <w:r>
                <w:rPr>
                  <w:rStyle w:val="InternetLink"/>
                  <w:rFonts w:ascii="Adelle Sans Light;sans-serif" w:hAnsi="Adelle Sans Light;sans-serif"/>
                  <w:b w:val="false"/>
                  <w:strike w:val="false"/>
                  <w:dstrike w:val="false"/>
                  <w:color w:val="000000"/>
                  <w:sz w:val="20"/>
                  <w:u w:val="none"/>
                  <w:effect w:val="none"/>
                </w:rPr>
                <w:t>Item 3: Quantitative and Qualitative Disclosures About Market Risk</w:t>
              </w:r>
            </w:hyperlink>
          </w:p>
        </w:tc>
        <w:tc>
          <w:tcPr>
            <w:tcW w:w="706" w:type="dxa"/>
            <w:gridSpan w:val="3"/>
            <w:tcBorders/>
            <w:shd w:fill="F7F7F7" w:val="clear"/>
            <w:tcMar>
              <w:top w:w="0" w:type="dxa"/>
              <w:left w:w="0" w:type="dxa"/>
              <w:bottom w:w="0" w:type="dxa"/>
              <w:right w:w="0" w:type="dxa"/>
            </w:tcMar>
            <w:vAlign w:val="center"/>
          </w:tcPr>
          <w:p>
            <w:pPr>
              <w:pStyle w:val="TableContents"/>
              <w:bidi w:val="0"/>
              <w:spacing w:lineRule="auto" w:line="288" w:before="0" w:after="0"/>
              <w:jc w:val="right"/>
              <w:rPr/>
            </w:pPr>
            <w:hyperlink w:anchor="i79b7883de48b4f8b9268ff8672d7595f">
              <w:r>
                <w:rPr>
                  <w:rStyle w:val="InternetLink"/>
                  <w:rFonts w:ascii="Adelle Sans Light;sans-serif" w:hAnsi="Adelle Sans Light;sans-serif"/>
                  <w:b w:val="false"/>
                  <w:strike w:val="false"/>
                  <w:dstrike w:val="false"/>
                  <w:color w:val="000000"/>
                  <w:sz w:val="20"/>
                  <w:u w:val="none"/>
                  <w:effect w:val="none"/>
                </w:rPr>
                <w:t>41</w:t>
              </w:r>
            </w:hyperlink>
          </w:p>
        </w:tc>
      </w:tr>
      <w:tr>
        <w:trPr/>
        <w:tc>
          <w:tcPr>
            <w:tcW w:w="947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362d3c59461e4710a30f82796b5533e3">
              <w:r>
                <w:rPr>
                  <w:rStyle w:val="InternetLink"/>
                  <w:rFonts w:ascii="Adelle Sans Light;sans-serif" w:hAnsi="Adelle Sans Light;sans-serif"/>
                  <w:b w:val="false"/>
                  <w:strike w:val="false"/>
                  <w:dstrike w:val="false"/>
                  <w:color w:val="000000"/>
                  <w:sz w:val="20"/>
                  <w:u w:val="none"/>
                  <w:effect w:val="none"/>
                </w:rPr>
                <w:t>Item 4: Controls and Procedures</w:t>
              </w:r>
            </w:hyperlink>
          </w:p>
        </w:tc>
        <w:tc>
          <w:tcPr>
            <w:tcW w:w="70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pPr>
            <w:hyperlink w:anchor="i362d3c59461e4710a30f82796b5533e3">
              <w:r>
                <w:rPr>
                  <w:rStyle w:val="InternetLink"/>
                  <w:rFonts w:ascii="Adelle Sans Light;sans-serif" w:hAnsi="Adelle Sans Light;sans-serif"/>
                  <w:b w:val="false"/>
                  <w:strike w:val="false"/>
                  <w:dstrike w:val="false"/>
                  <w:color w:val="000000"/>
                  <w:sz w:val="20"/>
                  <w:u w:val="none"/>
                  <w:effect w:val="none"/>
                </w:rPr>
                <w:t>44</w:t>
              </w:r>
            </w:hyperlink>
          </w:p>
        </w:tc>
      </w:tr>
    </w:tbl>
    <w:tbl>
      <w:tblPr>
        <w:tblW w:w="7110" w:type="dxa"/>
        <w:jc w:val="left"/>
        <w:tblInd w:w="0" w:type="dxa"/>
        <w:tblLayout w:type="fixed"/>
        <w:tblCellMar>
          <w:top w:w="28" w:type="dxa"/>
          <w:left w:w="28" w:type="dxa"/>
          <w:bottom w:w="28" w:type="dxa"/>
          <w:right w:w="28" w:type="dxa"/>
        </w:tblCellMar>
      </w:tblPr>
      <w:tblGrid>
        <w:gridCol w:w="2434"/>
        <w:gridCol w:w="2137"/>
        <w:gridCol w:w="2148"/>
        <w:gridCol w:w="114"/>
        <w:gridCol w:w="114"/>
        <w:gridCol w:w="163"/>
      </w:tblGrid>
      <w:tr>
        <w:trPr/>
        <w:tc>
          <w:tcPr>
            <w:tcW w:w="2434" w:type="dxa"/>
            <w:tcBorders/>
            <w:vAlign w:val="center"/>
          </w:tcPr>
          <w:p>
            <w:pPr>
              <w:pStyle w:val="TableContents"/>
              <w:bidi w:val="0"/>
              <w:spacing w:before="0" w:after="283"/>
              <w:jc w:val="left"/>
              <w:rPr>
                <w:sz w:val="4"/>
                <w:szCs w:val="4"/>
              </w:rPr>
            </w:pPr>
            <w:r>
              <w:rPr>
                <w:sz w:val="4"/>
                <w:szCs w:val="4"/>
              </w:rPr>
            </w:r>
          </w:p>
        </w:tc>
        <w:tc>
          <w:tcPr>
            <w:tcW w:w="2137" w:type="dxa"/>
            <w:tcBorders/>
            <w:vAlign w:val="center"/>
          </w:tcPr>
          <w:p>
            <w:pPr>
              <w:pStyle w:val="TableContents"/>
              <w:bidi w:val="0"/>
              <w:spacing w:before="0" w:after="283"/>
              <w:jc w:val="left"/>
              <w:rPr>
                <w:sz w:val="4"/>
                <w:szCs w:val="4"/>
              </w:rPr>
            </w:pPr>
            <w:r>
              <w:rPr>
                <w:sz w:val="4"/>
                <w:szCs w:val="4"/>
              </w:rPr>
            </w:r>
          </w:p>
        </w:tc>
        <w:tc>
          <w:tcPr>
            <w:tcW w:w="2148"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delle Sans;sans-serif" w:hAnsi="Adelle Sans;sans-serif"/>
                <w:b/>
                <w:color w:val="000000"/>
                <w:sz w:val="20"/>
                <w:u w:val="single"/>
              </w:rPr>
            </w:pPr>
            <w:r>
              <w:rPr>
                <w:rFonts w:ascii="Adelle Sans;sans-serif" w:hAnsi="Adelle Sans;sans-serif"/>
                <w:b/>
                <w:color w:val="000000"/>
                <w:sz w:val="20"/>
                <w:u w:val="single"/>
              </w:rPr>
              <w:t>Part II: Other Information</w:t>
            </w:r>
          </w:p>
        </w:tc>
        <w:tc>
          <w:tcPr>
            <w:tcW w:w="391"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r>
      <w:tr>
        <w:trPr/>
        <w:tc>
          <w:tcPr>
            <w:tcW w:w="6719" w:type="dxa"/>
            <w:gridSpan w:val="3"/>
            <w:tcBorders/>
            <w:shd w:fill="F7F7F7" w:val="clear"/>
            <w:tcMar>
              <w:top w:w="0" w:type="dxa"/>
              <w:left w:w="0" w:type="dxa"/>
              <w:bottom w:w="0" w:type="dxa"/>
              <w:right w:w="0" w:type="dxa"/>
            </w:tcMar>
            <w:vAlign w:val="center"/>
          </w:tcPr>
          <w:p>
            <w:pPr>
              <w:pStyle w:val="TableContents"/>
              <w:bidi w:val="0"/>
              <w:spacing w:lineRule="auto" w:line="288" w:before="0" w:after="0"/>
              <w:jc w:val="left"/>
              <w:rPr/>
            </w:pPr>
            <w:hyperlink w:anchor="ia002cf949cd44541afee63e4fa7cb060">
              <w:r>
                <w:rPr>
                  <w:rStyle w:val="InternetLink"/>
                  <w:rFonts w:ascii="Adelle Sans Light;sans-serif" w:hAnsi="Adelle Sans Light;sans-serif"/>
                  <w:b w:val="false"/>
                  <w:strike w:val="false"/>
                  <w:dstrike w:val="false"/>
                  <w:color w:val="000000"/>
                  <w:sz w:val="20"/>
                  <w:u w:val="none"/>
                  <w:effect w:val="none"/>
                </w:rPr>
                <w:t>Item 1: Legal Proceedings</w:t>
              </w:r>
            </w:hyperlink>
          </w:p>
        </w:tc>
        <w:tc>
          <w:tcPr>
            <w:tcW w:w="391" w:type="dxa"/>
            <w:gridSpan w:val="3"/>
            <w:tcBorders/>
            <w:shd w:fill="F7F7F7" w:val="clear"/>
            <w:tcMar>
              <w:top w:w="0" w:type="dxa"/>
              <w:left w:w="0" w:type="dxa"/>
              <w:bottom w:w="0" w:type="dxa"/>
              <w:right w:w="0" w:type="dxa"/>
            </w:tcMar>
            <w:vAlign w:val="center"/>
          </w:tcPr>
          <w:p>
            <w:pPr>
              <w:pStyle w:val="TableContents"/>
              <w:bidi w:val="0"/>
              <w:spacing w:lineRule="auto" w:line="288" w:before="0" w:after="0"/>
              <w:jc w:val="right"/>
              <w:rPr/>
            </w:pPr>
            <w:hyperlink w:anchor="ia002cf949cd44541afee63e4fa7cb060">
              <w:r>
                <w:rPr>
                  <w:rStyle w:val="InternetLink"/>
                  <w:rFonts w:ascii="Adelle Sans Light;sans-serif" w:hAnsi="Adelle Sans Light;sans-serif"/>
                  <w:b w:val="false"/>
                  <w:strike w:val="false"/>
                  <w:dstrike w:val="false"/>
                  <w:color w:val="000000"/>
                  <w:sz w:val="20"/>
                  <w:u w:val="none"/>
                  <w:effect w:val="none"/>
                </w:rPr>
                <w:t>46</w:t>
              </w:r>
            </w:hyperlink>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d884f3d2dbaa4ae6ba24cba613beaaf9">
              <w:r>
                <w:rPr>
                  <w:rStyle w:val="InternetLink"/>
                  <w:rFonts w:ascii="Adelle Sans Light;sans-serif" w:hAnsi="Adelle Sans Light;sans-serif"/>
                  <w:b w:val="false"/>
                  <w:strike w:val="false"/>
                  <w:dstrike w:val="false"/>
                  <w:color w:val="000000"/>
                  <w:sz w:val="20"/>
                  <w:u w:val="none"/>
                  <w:effect w:val="none"/>
                </w:rPr>
                <w:t>Item 1A: Risk Factors</w:t>
              </w:r>
            </w:hyperlink>
          </w:p>
        </w:tc>
        <w:tc>
          <w:tcPr>
            <w:tcW w:w="39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pPr>
            <w:hyperlink w:anchor="id884f3d2dbaa4ae6ba24cba613beaaf9">
              <w:r>
                <w:rPr>
                  <w:rStyle w:val="InternetLink"/>
                  <w:rFonts w:ascii="Adelle Sans Light;sans-serif" w:hAnsi="Adelle Sans Light;sans-serif"/>
                  <w:b w:val="false"/>
                  <w:strike w:val="false"/>
                  <w:dstrike w:val="false"/>
                  <w:color w:val="000000"/>
                  <w:sz w:val="20"/>
                  <w:u w:val="none"/>
                  <w:effect w:val="none"/>
                </w:rPr>
                <w:t>46</w:t>
              </w:r>
            </w:hyperlink>
          </w:p>
        </w:tc>
      </w:tr>
      <w:tr>
        <w:trPr/>
        <w:tc>
          <w:tcPr>
            <w:tcW w:w="6719" w:type="dxa"/>
            <w:gridSpan w:val="3"/>
            <w:tcBorders/>
            <w:shd w:fill="F7F7F7" w:val="clear"/>
            <w:tcMar>
              <w:top w:w="0" w:type="dxa"/>
              <w:left w:w="0" w:type="dxa"/>
              <w:bottom w:w="0" w:type="dxa"/>
              <w:right w:w="0" w:type="dxa"/>
            </w:tcMar>
            <w:vAlign w:val="center"/>
          </w:tcPr>
          <w:p>
            <w:pPr>
              <w:pStyle w:val="TableContents"/>
              <w:bidi w:val="0"/>
              <w:spacing w:lineRule="auto" w:line="288" w:before="0" w:after="0"/>
              <w:jc w:val="left"/>
              <w:rPr/>
            </w:pPr>
            <w:hyperlink w:anchor="i88fb3b904cca4a2ca2da0d47af5d8465">
              <w:r>
                <w:rPr>
                  <w:rStyle w:val="InternetLink"/>
                  <w:rFonts w:ascii="Adelle Sans Light;sans-serif" w:hAnsi="Adelle Sans Light;sans-serif"/>
                  <w:b w:val="false"/>
                  <w:strike w:val="false"/>
                  <w:dstrike w:val="false"/>
                  <w:color w:val="000000"/>
                  <w:sz w:val="20"/>
                  <w:u w:val="none"/>
                  <w:effect w:val="none"/>
                </w:rPr>
                <w:t>Item 2: Unregistered Sales of Equity Securities and Use of Proceeds</w:t>
              </w:r>
            </w:hyperlink>
          </w:p>
        </w:tc>
        <w:tc>
          <w:tcPr>
            <w:tcW w:w="391" w:type="dxa"/>
            <w:gridSpan w:val="3"/>
            <w:tcBorders/>
            <w:shd w:fill="F7F7F7" w:val="clear"/>
            <w:tcMar>
              <w:top w:w="0" w:type="dxa"/>
              <w:left w:w="0" w:type="dxa"/>
              <w:bottom w:w="0" w:type="dxa"/>
              <w:right w:w="0" w:type="dxa"/>
            </w:tcMar>
            <w:vAlign w:val="center"/>
          </w:tcPr>
          <w:p>
            <w:pPr>
              <w:pStyle w:val="TableContents"/>
              <w:bidi w:val="0"/>
              <w:spacing w:lineRule="auto" w:line="288" w:before="0" w:after="0"/>
              <w:jc w:val="right"/>
              <w:rPr/>
            </w:pPr>
            <w:hyperlink w:anchor="i88fb3b904cca4a2ca2da0d47af5d8465">
              <w:r>
                <w:rPr>
                  <w:rStyle w:val="InternetLink"/>
                  <w:rFonts w:ascii="Adelle Sans Light;sans-serif" w:hAnsi="Adelle Sans Light;sans-serif"/>
                  <w:b w:val="false"/>
                  <w:strike w:val="false"/>
                  <w:dstrike w:val="false"/>
                  <w:color w:val="000000"/>
                  <w:sz w:val="20"/>
                  <w:u w:val="none"/>
                  <w:effect w:val="none"/>
                </w:rPr>
                <w:t>46</w:t>
              </w:r>
            </w:hyperlink>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a40804f7b71f439687bcd6b2076b1966">
              <w:r>
                <w:rPr>
                  <w:rStyle w:val="InternetLink"/>
                  <w:rFonts w:ascii="Adelle Sans Light;sans-serif" w:hAnsi="Adelle Sans Light;sans-serif"/>
                  <w:b w:val="false"/>
                  <w:strike w:val="false"/>
                  <w:dstrike w:val="false"/>
                  <w:color w:val="000000"/>
                  <w:sz w:val="20"/>
                  <w:u w:val="none"/>
                  <w:effect w:val="none"/>
                </w:rPr>
                <w:t>Item 3: Defaults Upon Senior Securities</w:t>
              </w:r>
            </w:hyperlink>
          </w:p>
        </w:tc>
        <w:tc>
          <w:tcPr>
            <w:tcW w:w="39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pPr>
            <w:hyperlink w:anchor="ia40804f7b71f439687bcd6b2076b1966">
              <w:r>
                <w:rPr>
                  <w:rStyle w:val="InternetLink"/>
                  <w:rFonts w:ascii="Adelle Sans Light;sans-serif" w:hAnsi="Adelle Sans Light;sans-serif"/>
                  <w:b w:val="false"/>
                  <w:strike w:val="false"/>
                  <w:dstrike w:val="false"/>
                  <w:color w:val="000000"/>
                  <w:sz w:val="20"/>
                  <w:u w:val="none"/>
                  <w:effect w:val="none"/>
                </w:rPr>
                <w:t>46</w:t>
              </w:r>
            </w:hyperlink>
          </w:p>
        </w:tc>
      </w:tr>
      <w:tr>
        <w:trPr/>
        <w:tc>
          <w:tcPr>
            <w:tcW w:w="6719" w:type="dxa"/>
            <w:gridSpan w:val="3"/>
            <w:tcBorders/>
            <w:shd w:fill="F7F7F7" w:val="clear"/>
            <w:tcMar>
              <w:top w:w="0" w:type="dxa"/>
              <w:left w:w="0" w:type="dxa"/>
              <w:bottom w:w="0" w:type="dxa"/>
              <w:right w:w="0" w:type="dxa"/>
            </w:tcMar>
            <w:vAlign w:val="center"/>
          </w:tcPr>
          <w:p>
            <w:pPr>
              <w:pStyle w:val="TableContents"/>
              <w:bidi w:val="0"/>
              <w:spacing w:lineRule="auto" w:line="288" w:before="0" w:after="0"/>
              <w:jc w:val="left"/>
              <w:rPr/>
            </w:pPr>
            <w:hyperlink w:anchor="ie334e5bab18b436eb13b31334d867a3f">
              <w:r>
                <w:rPr>
                  <w:rStyle w:val="InternetLink"/>
                  <w:rFonts w:ascii="Adelle Sans Light;sans-serif" w:hAnsi="Adelle Sans Light;sans-serif"/>
                  <w:b w:val="false"/>
                  <w:strike w:val="false"/>
                  <w:dstrike w:val="false"/>
                  <w:color w:val="000000"/>
                  <w:sz w:val="20"/>
                  <w:u w:val="none"/>
                  <w:effect w:val="none"/>
                </w:rPr>
                <w:t>Item 4: Mine Safety Disclosures</w:t>
              </w:r>
            </w:hyperlink>
          </w:p>
        </w:tc>
        <w:tc>
          <w:tcPr>
            <w:tcW w:w="391" w:type="dxa"/>
            <w:gridSpan w:val="3"/>
            <w:tcBorders/>
            <w:shd w:fill="F7F7F7" w:val="clear"/>
            <w:tcMar>
              <w:top w:w="0" w:type="dxa"/>
              <w:left w:w="0" w:type="dxa"/>
              <w:bottom w:w="0" w:type="dxa"/>
              <w:right w:w="0" w:type="dxa"/>
            </w:tcMar>
            <w:vAlign w:val="center"/>
          </w:tcPr>
          <w:p>
            <w:pPr>
              <w:pStyle w:val="TableContents"/>
              <w:bidi w:val="0"/>
              <w:spacing w:lineRule="auto" w:line="288" w:before="0" w:after="0"/>
              <w:jc w:val="right"/>
              <w:rPr/>
            </w:pPr>
            <w:hyperlink w:anchor="ie334e5bab18b436eb13b31334d867a3f">
              <w:r>
                <w:rPr>
                  <w:rStyle w:val="InternetLink"/>
                  <w:rFonts w:ascii="Adelle Sans Light;sans-serif" w:hAnsi="Adelle Sans Light;sans-serif"/>
                  <w:b w:val="false"/>
                  <w:strike w:val="false"/>
                  <w:dstrike w:val="false"/>
                  <w:color w:val="000000"/>
                  <w:sz w:val="20"/>
                  <w:u w:val="none"/>
                  <w:effect w:val="none"/>
                </w:rPr>
                <w:t>46</w:t>
              </w:r>
            </w:hyperlink>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8be6a663cf0647bfa7972ee2378d31bf">
              <w:r>
                <w:rPr>
                  <w:rStyle w:val="InternetLink"/>
                  <w:rFonts w:ascii="Adelle Sans Light;sans-serif" w:hAnsi="Adelle Sans Light;sans-serif"/>
                  <w:b w:val="false"/>
                  <w:strike w:val="false"/>
                  <w:dstrike w:val="false"/>
                  <w:color w:val="000000"/>
                  <w:sz w:val="20"/>
                  <w:u w:val="none"/>
                  <w:effect w:val="none"/>
                </w:rPr>
                <w:t>Item 5: Other Information</w:t>
              </w:r>
            </w:hyperlink>
          </w:p>
        </w:tc>
        <w:tc>
          <w:tcPr>
            <w:tcW w:w="39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pPr>
            <w:hyperlink w:anchor="i8be6a663cf0647bfa7972ee2378d31bf">
              <w:r>
                <w:rPr>
                  <w:rStyle w:val="InternetLink"/>
                  <w:rFonts w:ascii="Adelle Sans Light;sans-serif" w:hAnsi="Adelle Sans Light;sans-serif"/>
                  <w:b w:val="false"/>
                  <w:strike w:val="false"/>
                  <w:dstrike w:val="false"/>
                  <w:color w:val="000000"/>
                  <w:sz w:val="20"/>
                  <w:u w:val="none"/>
                  <w:effect w:val="none"/>
                </w:rPr>
                <w:t>47</w:t>
              </w:r>
            </w:hyperlink>
          </w:p>
        </w:tc>
      </w:tr>
      <w:tr>
        <w:trPr/>
        <w:tc>
          <w:tcPr>
            <w:tcW w:w="6719" w:type="dxa"/>
            <w:gridSpan w:val="3"/>
            <w:tcBorders/>
            <w:shd w:fill="F7F7F7" w:val="clear"/>
            <w:tcMar>
              <w:top w:w="0" w:type="dxa"/>
              <w:left w:w="0" w:type="dxa"/>
              <w:bottom w:w="0" w:type="dxa"/>
              <w:right w:w="0" w:type="dxa"/>
            </w:tcMar>
            <w:vAlign w:val="center"/>
          </w:tcPr>
          <w:p>
            <w:pPr>
              <w:pStyle w:val="TableContents"/>
              <w:bidi w:val="0"/>
              <w:spacing w:lineRule="auto" w:line="288" w:before="0" w:after="0"/>
              <w:jc w:val="left"/>
              <w:rPr/>
            </w:pPr>
            <w:hyperlink w:anchor="ic66f2ad0762a457595a5ce4cf5738b43">
              <w:r>
                <w:rPr>
                  <w:rStyle w:val="InternetLink"/>
                  <w:rFonts w:ascii="Adelle Sans Light;sans-serif" w:hAnsi="Adelle Sans Light;sans-serif"/>
                  <w:b w:val="false"/>
                  <w:strike w:val="false"/>
                  <w:dstrike w:val="false"/>
                  <w:color w:val="000000"/>
                  <w:sz w:val="20"/>
                  <w:u w:val="none"/>
                  <w:effect w:val="none"/>
                </w:rPr>
                <w:t>Item 6: Exhibits</w:t>
              </w:r>
            </w:hyperlink>
          </w:p>
        </w:tc>
        <w:tc>
          <w:tcPr>
            <w:tcW w:w="391" w:type="dxa"/>
            <w:gridSpan w:val="3"/>
            <w:tcBorders/>
            <w:shd w:fill="F7F7F7" w:val="clear"/>
            <w:tcMar>
              <w:top w:w="0" w:type="dxa"/>
              <w:left w:w="0" w:type="dxa"/>
              <w:bottom w:w="0" w:type="dxa"/>
              <w:right w:w="0" w:type="dxa"/>
            </w:tcMar>
            <w:vAlign w:val="center"/>
          </w:tcPr>
          <w:p>
            <w:pPr>
              <w:pStyle w:val="TableContents"/>
              <w:bidi w:val="0"/>
              <w:spacing w:lineRule="auto" w:line="288" w:before="0" w:after="0"/>
              <w:jc w:val="right"/>
              <w:rPr/>
            </w:pPr>
            <w:hyperlink w:anchor="ic66f2ad0762a457595a5ce4cf5738b43">
              <w:r>
                <w:rPr>
                  <w:rStyle w:val="InternetLink"/>
                  <w:rFonts w:ascii="Adelle Sans Light;sans-serif" w:hAnsi="Adelle Sans Light;sans-serif"/>
                  <w:b w:val="false"/>
                  <w:strike w:val="false"/>
                  <w:dstrike w:val="false"/>
                  <w:color w:val="000000"/>
                  <w:sz w:val="20"/>
                  <w:u w:val="none"/>
                  <w:effect w:val="none"/>
                </w:rPr>
                <w:t>48</w:t>
              </w:r>
            </w:hyperlink>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c6faff9cb4014fd49bbf5a6987a3e90c">
              <w:r>
                <w:rPr>
                  <w:rStyle w:val="InternetLink"/>
                  <w:rFonts w:ascii="Adelle Sans Light;sans-serif" w:hAnsi="Adelle Sans Light;sans-serif"/>
                  <w:b w:val="false"/>
                  <w:strike w:val="false"/>
                  <w:dstrike w:val="false"/>
                  <w:color w:val="000000"/>
                  <w:sz w:val="20"/>
                  <w:u w:val="none"/>
                  <w:effect w:val="none"/>
                </w:rPr>
                <w:t>Signatures</w:t>
              </w:r>
            </w:hyperlink>
          </w:p>
        </w:tc>
        <w:tc>
          <w:tcPr>
            <w:tcW w:w="39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pPr>
            <w:hyperlink w:anchor="ic6faff9cb4014fd49bbf5a6987a3e90c">
              <w:r>
                <w:rPr>
                  <w:rStyle w:val="InternetLink"/>
                  <w:rFonts w:ascii="Adelle Sans Light;sans-serif" w:hAnsi="Adelle Sans Light;sans-serif"/>
                  <w:b w:val="false"/>
                  <w:strike w:val="false"/>
                  <w:dstrike w:val="false"/>
                  <w:color w:val="000000"/>
                  <w:sz w:val="20"/>
                  <w:u w:val="none"/>
                  <w:effect w:val="none"/>
                </w:rPr>
                <w:t>48</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3"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0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00"/>
                        <w:jc w:val="center"/>
                        <w:rPr/>
                      </w:pPr>
                      <w:r>
                        <w:rPr/>
                      </w:r>
                    </w:p>
                  </w:txbxContent>
                </v:textbox>
                <w10:wrap type="none"/>
              </v:rect>
            </w:pict>
          </mc:Fallback>
        </mc:AlternateContent>
      </w:r>
    </w:p>
    <w:p>
      <w:pPr>
        <w:pStyle w:val="TextBody"/>
        <w:bidi w:val="0"/>
        <w:spacing w:lineRule="auto" w:line="288" w:before="0" w:after="200"/>
        <w:jc w:val="both"/>
        <w:rPr/>
      </w:pPr>
      <w:hyperlink w:anchor="iccccf23fa31e44f0aa82c99ca0859db8_7">
        <w:r>
          <w:rPr>
            <w:rStyle w:val="InternetLink"/>
            <w:rFonts w:ascii="Adelle Sans Light;sans-serif" w:hAnsi="Adelle Sans Light;sans-serif"/>
            <w:b w:val="false"/>
            <w:color w:val="0000FF"/>
            <w:sz w:val="20"/>
            <w:u w:val="single"/>
          </w:rPr>
          <w:t>Table of Contents</w:t>
        </w:r>
      </w:hyperlink>
    </w:p>
    <w:p>
      <w:pPr>
        <w:pStyle w:val="TextBody"/>
        <w:bidi w:val="0"/>
        <w:spacing w:lineRule="auto" w:line="288" w:before="0" w:after="200"/>
        <w:jc w:val="left"/>
        <w:rPr>
          <w:rFonts w:ascii="Adelle Sans;sans-serif" w:hAnsi="Adelle Sans;sans-serif"/>
          <w:b/>
          <w:color w:val="000000"/>
          <w:sz w:val="20"/>
        </w:rPr>
      </w:pPr>
      <w:bookmarkStart w:id="1" w:name="i2e4cc65fe5994bdca65e2b00340f2a3e"/>
      <w:bookmarkEnd w:id="1"/>
      <w:r>
        <w:rPr>
          <w:rFonts w:ascii="Adelle Sans;sans-serif" w:hAnsi="Adelle Sans;sans-serif"/>
          <w:b/>
          <w:color w:val="000000"/>
          <w:sz w:val="20"/>
        </w:rPr>
        <w:t>Forward-Looking Statements</w:t>
      </w:r>
    </w:p>
    <w:p>
      <w:pPr>
        <w:pStyle w:val="TextBody"/>
        <w:bidi w:val="0"/>
        <w:spacing w:lineRule="auto" w:line="288" w:before="0" w:after="200"/>
        <w:jc w:val="both"/>
        <w:rPr>
          <w:rFonts w:ascii="Adelle Sans Light;sans-serif" w:hAnsi="Adelle Sans Light;sans-serif"/>
          <w:b w:val="false"/>
          <w:color w:val="000000"/>
          <w:sz w:val="20"/>
        </w:rPr>
      </w:pPr>
      <w:r>
        <w:rPr>
          <w:rFonts w:ascii="Adelle Sans Light;sans-serif" w:hAnsi="Adelle Sans Light;sans-serif"/>
          <w:b w:val="false"/>
          <w:color w:val="000000"/>
          <w:sz w:val="20"/>
        </w:rPr>
        <w:t>This Quarterly Report on Form 10-Q contains forward-looking statements under the provisions of the United States ("U.S.") Private Securities Litigation Reform Act of 1995, Section 27A of the U.S. Securities Act of 1933 (as amended, the "Securities Act"), Section 21E of the U.S. Securities Exchange Act of 1934 (as amended, the "Exchange Act") and forward-looking information within the meaning of applicable Canadian securities legislation.</w:t>
      </w:r>
    </w:p>
    <w:p>
      <w:pPr>
        <w:pStyle w:val="TextBody"/>
        <w:bidi w:val="0"/>
        <w:spacing w:lineRule="auto" w:line="288" w:before="0" w:after="140"/>
        <w:jc w:val="both"/>
        <w:rPr>
          <w:rFonts w:ascii="Adelle Sans Light;sans-serif" w:hAnsi="Adelle Sans Light;sans-serif"/>
          <w:b w:val="false"/>
          <w:color w:val="000000"/>
          <w:sz w:val="20"/>
        </w:rPr>
      </w:pPr>
      <w:r>
        <w:rPr>
          <w:rFonts w:ascii="Adelle Sans Light;sans-serif" w:hAnsi="Adelle Sans Light;sans-serif"/>
          <w:b w:val="false"/>
          <w:color w:val="000000"/>
          <w:sz w:val="20"/>
        </w:rPr>
        <w:t>In some cases, you can identify forward-looking statements by terminology such as "enable", "may", "might", "will", "should", "could", "expects", "focused on", "intends", "plans", "anticipates", "believes", "predicts", "potential", "continue", "become", "seek", "strive" or the negative of these terms or other similar words. Any forward-looking statements are based on our management’s perception of historic trends, current conditions and expected future developments, as well as other assumptions that management believes are appropriate in the circumstances. In addition, any statements or information that refer to expectations, beliefs, plans, projections, objectives, performance or other characterizations of future events or circumstances, including any underlying assumptions, are forward-looking. In particular, forward-looking statements include, but are not limited to, statements about:</w:t>
      </w:r>
    </w:p>
    <w:p>
      <w:pPr>
        <w:pStyle w:val="TextBody"/>
        <w:bidi w:val="0"/>
        <w:spacing w:lineRule="auto" w:line="288" w:before="0" w:after="0"/>
        <w:ind w:left="0" w:right="0" w:hanging="360"/>
        <w:jc w:val="both"/>
        <w:rPr/>
      </w:pPr>
      <w:r>
        <w:rPr>
          <w:color w:val="000000"/>
        </w:rPr>
        <w:t>•</w:t>
      </w:r>
      <w:r>
        <w:rPr>
          <w:rFonts w:ascii="Adelle Sans Light;sans-serif" w:hAnsi="Adelle Sans Light;sans-serif"/>
          <w:b w:val="false"/>
          <w:color w:val="000000"/>
          <w:sz w:val="20"/>
        </w:rPr>
        <w:t>our ability to: expand, grow and retain our merchant base; localize features; offer more sales channels that can connect to our platform; increase and extend the functionality of our platform; catalyze merchants' sales growth; leverage emerging technologies, including artificial intelligence ("AI"); enhance our ecosystem and partner programs; provide a high level of merchant service; hire key talent and retain and motivate qualified personnel; and maximize long-term value;</w:t>
      </w:r>
    </w:p>
    <w:p>
      <w:pPr>
        <w:pStyle w:val="TextBody"/>
        <w:bidi w:val="0"/>
        <w:spacing w:lineRule="auto" w:line="288" w:before="0" w:after="0"/>
        <w:ind w:left="0" w:right="0" w:hanging="360"/>
        <w:jc w:val="both"/>
        <w:rPr/>
      </w:pPr>
      <w:r>
        <w:rPr>
          <w:color w:val="000000"/>
        </w:rPr>
        <w:t>•</w:t>
      </w:r>
      <w:r>
        <w:rPr>
          <w:rFonts w:ascii="Adelle Sans Light;sans-serif" w:hAnsi="Adelle Sans Light;sans-serif"/>
          <w:b w:val="false"/>
          <w:color w:val="000000"/>
          <w:sz w:val="20"/>
        </w:rPr>
        <w:t>our products and solutions enabling and increasing the probability of merchant success;</w:t>
      </w:r>
    </w:p>
    <w:p>
      <w:pPr>
        <w:pStyle w:val="TextBody"/>
        <w:bidi w:val="0"/>
        <w:spacing w:lineRule="auto" w:line="288" w:before="0" w:after="0"/>
        <w:ind w:left="0" w:right="0" w:hanging="360"/>
        <w:jc w:val="both"/>
        <w:rPr/>
      </w:pPr>
      <w:r>
        <w:rPr>
          <w:color w:val="000000"/>
        </w:rPr>
        <w:t>•</w:t>
      </w:r>
      <w:r>
        <w:rPr>
          <w:rFonts w:ascii="Adelle Sans Light;sans-serif" w:hAnsi="Adelle Sans Light;sans-serif"/>
          <w:b w:val="false"/>
          <w:color w:val="000000"/>
          <w:sz w:val="20"/>
        </w:rPr>
        <w:t xml:space="preserve">our beliefs regarding future macroeconomic conditions and their impact on Shopify and our merchants, including with regard to inflationary pressures, international trade risks and trade protection measures, including tariffs, trade wars, barriers and restrictions, or threats of such actions and related uncertainty; </w:t>
      </w:r>
    </w:p>
    <w:p>
      <w:pPr>
        <w:pStyle w:val="TextBody"/>
        <w:bidi w:val="0"/>
        <w:spacing w:lineRule="auto" w:line="288" w:before="0" w:after="0"/>
        <w:ind w:left="0" w:right="0" w:hanging="360"/>
        <w:jc w:val="both"/>
        <w:rPr/>
      </w:pPr>
      <w:r>
        <w:rPr>
          <w:color w:val="000000"/>
        </w:rPr>
        <w:t>•</w:t>
      </w:r>
      <w:r>
        <w:rPr>
          <w:rFonts w:ascii="Adelle Sans Light;sans-serif" w:hAnsi="Adelle Sans Light;sans-serif"/>
          <w:b w:val="false"/>
          <w:color w:val="000000"/>
          <w:sz w:val="20"/>
        </w:rPr>
        <w:t>the expected impact of seasonality on our current and future business;</w:t>
      </w:r>
    </w:p>
    <w:p>
      <w:pPr>
        <w:pStyle w:val="TextBody"/>
        <w:bidi w:val="0"/>
        <w:spacing w:lineRule="auto" w:line="288" w:before="0" w:after="0"/>
        <w:ind w:left="0" w:right="0" w:hanging="360"/>
        <w:jc w:val="both"/>
        <w:rPr/>
      </w:pPr>
      <w:r>
        <w:rPr>
          <w:color w:val="000000"/>
        </w:rPr>
        <w:t>•</w:t>
      </w:r>
      <w:r>
        <w:rPr>
          <w:rFonts w:ascii="Adelle Sans Light;sans-serif" w:hAnsi="Adelle Sans Light;sans-serif"/>
          <w:b w:val="false"/>
          <w:color w:val="000000"/>
          <w:sz w:val="20"/>
        </w:rPr>
        <w:t>our exposure to fluctuations in foreign currencies;</w:t>
      </w:r>
    </w:p>
    <w:p>
      <w:pPr>
        <w:pStyle w:val="TextBody"/>
        <w:bidi w:val="0"/>
        <w:spacing w:lineRule="auto" w:line="288" w:before="0" w:after="0"/>
        <w:ind w:left="0" w:right="0" w:hanging="360"/>
        <w:jc w:val="left"/>
        <w:rPr/>
      </w:pPr>
      <w:r>
        <w:rPr>
          <w:color w:val="000000"/>
        </w:rPr>
        <w:t>•</w:t>
      </w:r>
      <w:r>
        <w:rPr>
          <w:rFonts w:ascii="Adelle Sans Light;sans-serif" w:hAnsi="Adelle Sans Light;sans-serif"/>
          <w:b w:val="false"/>
          <w:color w:val="000000"/>
          <w:sz w:val="20"/>
        </w:rPr>
        <w:t>the ability to grow our addressable markets and meet merchant needs;</w:t>
      </w:r>
    </w:p>
    <w:p>
      <w:pPr>
        <w:pStyle w:val="TextBody"/>
        <w:bidi w:val="0"/>
        <w:spacing w:lineRule="auto" w:line="288" w:before="0" w:after="0"/>
        <w:ind w:left="0" w:right="0" w:hanging="360"/>
        <w:jc w:val="both"/>
        <w:rPr/>
      </w:pPr>
      <w:r>
        <w:rPr>
          <w:color w:val="000000"/>
        </w:rPr>
        <w:t>•</w:t>
      </w:r>
      <w:r>
        <w:rPr>
          <w:rFonts w:ascii="Adelle Sans Light;sans-serif" w:hAnsi="Adelle Sans Light;sans-serif"/>
          <w:b w:val="false"/>
          <w:color w:val="000000"/>
          <w:sz w:val="20"/>
        </w:rPr>
        <w:t>our expectation that we will continue to invest in data analytics, machine learning and AI;</w:t>
      </w:r>
    </w:p>
    <w:p>
      <w:pPr>
        <w:pStyle w:val="TextBody"/>
        <w:bidi w:val="0"/>
        <w:spacing w:lineRule="auto" w:line="288" w:before="0" w:after="0"/>
        <w:ind w:left="0" w:right="0" w:hanging="360"/>
        <w:jc w:val="both"/>
        <w:rPr/>
      </w:pPr>
      <w:r>
        <w:rPr>
          <w:color w:val="000000"/>
        </w:rPr>
        <w:t>•</w:t>
      </w:r>
      <w:r>
        <w:rPr>
          <w:rFonts w:ascii="Adelle Sans Light;sans-serif" w:hAnsi="Adelle Sans Light;sans-serif"/>
          <w:b w:val="false"/>
          <w:color w:val="000000"/>
          <w:sz w:val="20"/>
        </w:rPr>
        <w:t>our expectations regarding the development of emerging technologies, including AI, and applications of these technologies to our business;</w:t>
      </w:r>
    </w:p>
    <w:p>
      <w:pPr>
        <w:pStyle w:val="TextBody"/>
        <w:bidi w:val="0"/>
        <w:spacing w:lineRule="auto" w:line="288" w:before="0" w:after="0"/>
        <w:ind w:left="0" w:right="0" w:hanging="360"/>
        <w:jc w:val="both"/>
        <w:rPr/>
      </w:pPr>
      <w:r>
        <w:rPr>
          <w:color w:val="000000"/>
        </w:rPr>
        <w:t>•</w:t>
      </w:r>
      <w:r>
        <w:rPr>
          <w:rFonts w:ascii="Adelle Sans Light;sans-serif" w:hAnsi="Adelle Sans Light;sans-serif"/>
          <w:b w:val="false"/>
          <w:color w:val="000000"/>
          <w:sz w:val="20"/>
        </w:rPr>
        <w:t>our intentions regarding future growth and investments to drive future growth, the impact of those investments and our ability to manage such growth effectively;</w:t>
      </w:r>
    </w:p>
    <w:p>
      <w:pPr>
        <w:pStyle w:val="TextBody"/>
        <w:bidi w:val="0"/>
        <w:spacing w:lineRule="auto" w:line="288" w:before="0" w:after="0"/>
        <w:ind w:left="0" w:right="0" w:hanging="360"/>
        <w:jc w:val="both"/>
        <w:rPr/>
      </w:pPr>
      <w:r>
        <w:rPr>
          <w:color w:val="000000"/>
        </w:rPr>
        <w:t>•</w:t>
      </w:r>
      <w:r>
        <w:rPr>
          <w:rFonts w:ascii="Adelle Sans Light;sans-serif" w:hAnsi="Adelle Sans Light;sans-serif"/>
          <w:b w:val="false"/>
          <w:color w:val="000000"/>
          <w:sz w:val="20"/>
        </w:rPr>
        <w:t>our intention to further tailor our sales strategies to attract large volume brands;</w:t>
      </w:r>
    </w:p>
    <w:p>
      <w:pPr>
        <w:pStyle w:val="TextBody"/>
        <w:bidi w:val="0"/>
        <w:spacing w:lineRule="auto" w:line="288" w:before="0" w:after="0"/>
        <w:ind w:left="0" w:right="0" w:hanging="360"/>
        <w:jc w:val="both"/>
        <w:rPr/>
      </w:pPr>
      <w:r>
        <w:rPr>
          <w:color w:val="000000"/>
        </w:rPr>
        <w:t>•</w:t>
      </w:r>
      <w:r>
        <w:rPr>
          <w:rFonts w:ascii="Adelle Sans Light;sans-serif" w:hAnsi="Adelle Sans Light;sans-serif"/>
          <w:b w:val="false"/>
          <w:color w:val="000000"/>
          <w:sz w:val="20"/>
        </w:rPr>
        <w:t>expansion of our platform's capabilities;</w:t>
      </w:r>
    </w:p>
    <w:p>
      <w:pPr>
        <w:pStyle w:val="TextBody"/>
        <w:bidi w:val="0"/>
        <w:spacing w:lineRule="auto" w:line="288" w:before="0" w:after="0"/>
        <w:ind w:left="0" w:right="0" w:hanging="360"/>
        <w:jc w:val="both"/>
        <w:rPr/>
      </w:pPr>
      <w:r>
        <w:rPr>
          <w:color w:val="000000"/>
        </w:rPr>
        <w:t>•</w:t>
      </w:r>
      <w:r>
        <w:rPr>
          <w:rFonts w:ascii="Adelle Sans Light;sans-serif" w:hAnsi="Adelle Sans Light;sans-serif"/>
          <w:b w:val="false"/>
          <w:color w:val="000000"/>
          <w:sz w:val="20"/>
        </w:rPr>
        <w:t>enhancing our ecosystem and partner program, including through the formation of strategic partnerships;</w:t>
      </w:r>
    </w:p>
    <w:p>
      <w:pPr>
        <w:pStyle w:val="TextBody"/>
        <w:bidi w:val="0"/>
        <w:spacing w:lineRule="auto" w:line="288" w:before="0" w:after="0"/>
        <w:ind w:left="0" w:right="0" w:hanging="360"/>
        <w:jc w:val="both"/>
        <w:rPr/>
      </w:pPr>
      <w:r>
        <w:rPr>
          <w:color w:val="000000"/>
        </w:rPr>
        <w:t>•</w:t>
      </w:r>
      <w:r>
        <w:rPr>
          <w:rFonts w:ascii="Adelle Sans Light;sans-serif" w:hAnsi="Adelle Sans Light;sans-serif"/>
          <w:b w:val="false"/>
          <w:color w:val="000000"/>
          <w:sz w:val="20"/>
        </w:rPr>
        <w:t>our ability to quickly distribute new versions of our platform;</w:t>
      </w:r>
    </w:p>
    <w:p>
      <w:pPr>
        <w:pStyle w:val="TextBody"/>
        <w:bidi w:val="0"/>
        <w:spacing w:lineRule="auto" w:line="288" w:before="0" w:after="0"/>
        <w:ind w:left="0" w:right="0" w:hanging="360"/>
        <w:jc w:val="both"/>
        <w:rPr/>
      </w:pPr>
      <w:r>
        <w:rPr>
          <w:color w:val="000000"/>
        </w:rPr>
        <w:t>•</w:t>
      </w:r>
      <w:r>
        <w:rPr>
          <w:rFonts w:ascii="Adelle Sans Light;sans-serif" w:hAnsi="Adelle Sans Light;sans-serif"/>
          <w:b w:val="false"/>
          <w:color w:val="000000"/>
          <w:sz w:val="20"/>
        </w:rPr>
        <w:t>our expectations regarding our sustainability initiatives;</w:t>
      </w:r>
    </w:p>
    <w:p>
      <w:pPr>
        <w:pStyle w:val="TextBody"/>
        <w:bidi w:val="0"/>
        <w:spacing w:lineRule="auto" w:line="288" w:before="0" w:after="0"/>
        <w:ind w:left="0" w:right="0" w:hanging="360"/>
        <w:jc w:val="both"/>
        <w:rPr/>
      </w:pPr>
      <w:r>
        <w:rPr>
          <w:color w:val="000000"/>
        </w:rPr>
        <w:t>•</w:t>
      </w:r>
      <w:r>
        <w:rPr>
          <w:rFonts w:ascii="Adelle Sans Light;sans-serif" w:hAnsi="Adelle Sans Light;sans-serif"/>
          <w:b w:val="false"/>
          <w:color w:val="000000"/>
          <w:sz w:val="20"/>
        </w:rPr>
        <w:t xml:space="preserve">our assumptions regarding competitive factors in our markets and the expectation of increased competition; </w:t>
      </w:r>
    </w:p>
    <w:p>
      <w:pPr>
        <w:pStyle w:val="TextBody"/>
        <w:bidi w:val="0"/>
        <w:spacing w:lineRule="auto" w:line="288" w:before="0" w:after="0"/>
        <w:ind w:left="0" w:right="0" w:hanging="360"/>
        <w:jc w:val="both"/>
        <w:rPr/>
      </w:pPr>
      <w:r>
        <w:rPr>
          <w:color w:val="000000"/>
        </w:rPr>
        <w:t>•</w:t>
      </w:r>
      <w:r>
        <w:rPr>
          <w:rFonts w:ascii="Adelle Sans Light;sans-serif" w:hAnsi="Adelle Sans Light;sans-serif"/>
          <w:b w:val="false"/>
          <w:color w:val="000000"/>
          <w:sz w:val="20"/>
        </w:rPr>
        <w:t xml:space="preserve">our ability to continuously enhance, protect and safeguard our intellectual property; </w:t>
      </w:r>
    </w:p>
    <w:p>
      <w:pPr>
        <w:pStyle w:val="TextBody"/>
        <w:bidi w:val="0"/>
        <w:spacing w:lineRule="auto" w:line="288" w:before="0" w:after="0"/>
        <w:ind w:left="0" w:right="0" w:hanging="360"/>
        <w:jc w:val="both"/>
        <w:rPr/>
      </w:pPr>
      <w:r>
        <w:rPr>
          <w:color w:val="000000"/>
        </w:rPr>
        <w:t>•</w:t>
      </w:r>
      <w:r>
        <w:rPr>
          <w:rFonts w:ascii="Adelle Sans Light;sans-serif" w:hAnsi="Adelle Sans Light;sans-serif"/>
          <w:b w:val="false"/>
          <w:color w:val="000000"/>
          <w:sz w:val="20"/>
        </w:rPr>
        <w:t>the possibility that we may experience cybersecurity attacks in the future and future efforts to harden our infrastructure to build resilience in the face of such threats;</w:t>
      </w:r>
    </w:p>
    <w:p>
      <w:pPr>
        <w:pStyle w:val="TextBody"/>
        <w:bidi w:val="0"/>
        <w:spacing w:lineRule="auto" w:line="288" w:before="0" w:after="0"/>
        <w:ind w:left="0" w:right="0" w:hanging="360"/>
        <w:jc w:val="both"/>
        <w:rPr/>
      </w:pPr>
      <w:r>
        <w:rPr>
          <w:color w:val="000000"/>
        </w:rPr>
        <w:t>•</w:t>
      </w:r>
      <w:r>
        <w:rPr>
          <w:rFonts w:ascii="Adelle Sans Light;sans-serif" w:hAnsi="Adelle Sans Light;sans-serif"/>
          <w:b w:val="false"/>
          <w:color w:val="000000"/>
          <w:sz w:val="20"/>
        </w:rPr>
        <w:t>our expectations of legislation and government regulation and the impact on our platform;</w:t>
      </w:r>
    </w:p>
    <w:p>
      <w:pPr>
        <w:pStyle w:val="TextBody"/>
        <w:bidi w:val="0"/>
        <w:spacing w:lineRule="auto" w:line="288" w:before="0" w:after="0"/>
        <w:ind w:left="0" w:right="0" w:hanging="360"/>
        <w:jc w:val="left"/>
        <w:rPr/>
      </w:pPr>
      <w:r>
        <w:rPr>
          <w:color w:val="000000"/>
        </w:rPr>
        <w:t>•</w:t>
      </w:r>
      <w:r>
        <w:rPr>
          <w:rFonts w:ascii="Adelle Sans Light;sans-serif" w:hAnsi="Adelle Sans Light;sans-serif"/>
          <w:b w:val="false"/>
          <w:color w:val="000000"/>
          <w:sz w:val="20"/>
        </w:rPr>
        <w:t>the impact of strategic decisions on short-term revenue or profitability;</w:t>
      </w:r>
    </w:p>
    <w:p>
      <w:pPr>
        <w:pStyle w:val="TextBody"/>
        <w:bidi w:val="0"/>
        <w:spacing w:lineRule="auto" w:line="288" w:before="0" w:after="0"/>
        <w:ind w:left="0" w:right="0" w:hanging="360"/>
        <w:jc w:val="left"/>
        <w:rPr/>
      </w:pPr>
      <w:r>
        <w:rPr>
          <w:color w:val="000000"/>
        </w:rPr>
        <w:t>•</w:t>
      </w:r>
      <w:r>
        <w:rPr>
          <w:rFonts w:ascii="Adelle Sans Light;sans-serif" w:hAnsi="Adelle Sans Light;sans-serif"/>
          <w:b w:val="false"/>
          <w:color w:val="000000"/>
          <w:sz w:val="20"/>
        </w:rPr>
        <w:t>the need to devote additional resources to improve our operational infrastructure and continue to enhance its scalability;</w:t>
      </w:r>
    </w:p>
    <w:p>
      <w:pPr>
        <w:pStyle w:val="TextBody"/>
        <w:bidi w:val="0"/>
        <w:spacing w:lineRule="auto" w:line="288" w:before="0" w:after="0"/>
        <w:ind w:left="0" w:right="0" w:hanging="360"/>
        <w:jc w:val="both"/>
        <w:rPr/>
      </w:pPr>
      <w:r>
        <w:rPr>
          <w:color w:val="000000"/>
        </w:rPr>
        <w:t>•</w:t>
      </w:r>
      <w:r>
        <w:rPr>
          <w:rFonts w:ascii="Adelle Sans Light;sans-serif" w:hAnsi="Adelle Sans Light;sans-serif"/>
          <w:b w:val="false"/>
          <w:color w:val="000000"/>
          <w:sz w:val="20"/>
        </w:rPr>
        <w:t>our expectations regarding our future financial performance, including revenue, gross margin, operating expenses and cash flows;</w:t>
      </w:r>
    </w:p>
    <w:p>
      <w:pPr>
        <w:pStyle w:val="TextBody"/>
        <w:bidi w:val="0"/>
        <w:spacing w:lineRule="auto" w:line="288" w:before="0" w:after="0"/>
        <w:ind w:left="0" w:right="0" w:hanging="360"/>
        <w:jc w:val="both"/>
        <w:rPr/>
      </w:pPr>
      <w:r>
        <w:rPr>
          <w:color w:val="000000"/>
        </w:rPr>
        <w:t>•</w:t>
      </w:r>
      <w:r>
        <w:rPr>
          <w:rFonts w:ascii="Adelle Sans Light;sans-serif" w:hAnsi="Adelle Sans Light;sans-serif"/>
          <w:b w:val="false"/>
          <w:color w:val="000000"/>
          <w:sz w:val="20"/>
        </w:rPr>
        <w:t>our expectations regarding market risks, including foreign currency exchange risk and interest rate risk, and the effectiveness of our hedging activities;</w:t>
      </w:r>
    </w:p>
    <w:p>
      <w:pPr>
        <w:pStyle w:val="TextBody"/>
        <w:bidi w:val="0"/>
        <w:spacing w:lineRule="auto" w:line="288" w:before="0" w:after="0"/>
        <w:ind w:left="0" w:right="0" w:hanging="360"/>
        <w:jc w:val="left"/>
        <w:rPr/>
      </w:pPr>
      <w:r>
        <w:rPr>
          <w:color w:val="000000"/>
        </w:rPr>
        <w:t>•</w:t>
      </w:r>
      <w:r>
        <w:rPr>
          <w:rFonts w:ascii="Adelle Sans Light;sans-serif" w:hAnsi="Adelle Sans Light;sans-serif"/>
          <w:b w:val="false"/>
          <w:color w:val="000000"/>
          <w:sz w:val="20"/>
        </w:rPr>
        <w:t>our expectations regarding our liquidity position;</w:t>
      </w:r>
    </w:p>
    <w:p>
      <w:pPr>
        <w:pStyle w:val="TextBody"/>
        <w:bidi w:val="0"/>
        <w:spacing w:lineRule="auto" w:line="288" w:before="0" w:after="0"/>
        <w:ind w:left="0" w:right="0" w:hanging="360"/>
        <w:jc w:val="left"/>
        <w:rPr/>
      </w:pPr>
      <w:r>
        <w:rPr>
          <w:color w:val="000000"/>
        </w:rPr>
        <w:t>•</w:t>
      </w:r>
      <w:r>
        <w:rPr>
          <w:rFonts w:ascii="Adelle Sans Light;sans-serif" w:hAnsi="Adelle Sans Light;sans-serif"/>
          <w:b w:val="false"/>
          <w:color w:val="000000"/>
          <w:sz w:val="20"/>
        </w:rPr>
        <w:t>the expansion of our platform and offerings internationally;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7955"/>
                <wp:effectExtent l="0" t="0" r="0" b="0"/>
                <wp:wrapNone/>
                <wp:docPr id="4" name="Frame3"/>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200"/>
                              <w:jc w:val="center"/>
                              <w:rPr>
                                <w:rFonts w:ascii="Adelle Sans Light;sans-serif" w:hAnsi="Adelle Sans Light;sans-serif"/>
                                <w:b w:val="false"/>
                                <w:color w:val="000000"/>
                                <w:sz w:val="20"/>
                              </w:rPr>
                            </w:pPr>
                            <w:r>
                              <w:rPr>
                                <w:rFonts w:ascii="Adelle Sans Light;sans-serif" w:hAnsi="Adelle Sans Light;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Adelle Sans Light;sans-serif" w:hAnsi="Adelle Sans Light;sans-serif"/>
                          <w:b w:val="false"/>
                          <w:color w:val="000000"/>
                          <w:sz w:val="20"/>
                        </w:rPr>
                      </w:pPr>
                      <w:r>
                        <w:rPr>
                          <w:rFonts w:ascii="Adelle Sans Light;sans-serif" w:hAnsi="Adelle Sans Light;sans-serif"/>
                          <w:b w:val="false"/>
                          <w:color w:val="000000"/>
                          <w:sz w:val="20"/>
                        </w:rPr>
                        <w:t>3</w:t>
                      </w:r>
                    </w:p>
                  </w:txbxContent>
                </v:textbox>
                <w10:wrap type="none"/>
              </v:rect>
            </w:pict>
          </mc:Fallback>
        </mc:AlternateContent>
      </w:r>
    </w:p>
    <w:p>
      <w:pPr>
        <w:pStyle w:val="TextBody"/>
        <w:bidi w:val="0"/>
        <w:spacing w:lineRule="auto" w:line="288" w:before="0" w:after="200"/>
        <w:jc w:val="both"/>
        <w:rPr/>
      </w:pPr>
      <w:hyperlink w:anchor="iccccf23fa31e44f0aa82c99ca0859db8_7">
        <w:r>
          <w:rPr>
            <w:rStyle w:val="InternetLink"/>
            <w:rFonts w:ascii="Adelle Sans Light;sans-serif" w:hAnsi="Adelle Sans Light;sans-serif"/>
            <w:b w:val="false"/>
            <w:color w:val="0000FF"/>
            <w:sz w:val="20"/>
            <w:u w:val="single"/>
          </w:rPr>
          <w:t>Table of Contents</w:t>
        </w:r>
      </w:hyperlink>
    </w:p>
    <w:p>
      <w:pPr>
        <w:pStyle w:val="TextBody"/>
        <w:bidi w:val="0"/>
        <w:spacing w:lineRule="auto" w:line="288" w:before="0" w:after="0"/>
        <w:ind w:left="0" w:right="0" w:hanging="360"/>
        <w:jc w:val="both"/>
        <w:rPr/>
      </w:pPr>
      <w:r>
        <w:rPr>
          <w:color w:val="000000"/>
        </w:rPr>
        <w:t>•</w:t>
      </w:r>
      <w:r>
        <w:rPr>
          <w:rFonts w:ascii="Adelle Sans Light;sans-serif" w:hAnsi="Adelle Sans Light;sans-serif"/>
          <w:b w:val="false"/>
          <w:color w:val="000000"/>
          <w:sz w:val="20"/>
        </w:rPr>
        <w:t>our ability to maintain our corporate culture as we execute with a remote-first global workforce;</w:t>
      </w:r>
    </w:p>
    <w:p>
      <w:pPr>
        <w:pStyle w:val="TextBody"/>
        <w:bidi w:val="0"/>
        <w:spacing w:lineRule="auto" w:line="288" w:before="0" w:after="0"/>
        <w:ind w:left="0" w:right="0" w:hanging="360"/>
        <w:jc w:val="both"/>
        <w:rPr/>
      </w:pPr>
      <w:r>
        <w:rPr>
          <w:color w:val="000000"/>
        </w:rPr>
        <w:t>•</w:t>
      </w:r>
      <w:r>
        <w:rPr>
          <w:rFonts w:ascii="Adelle Sans Light;sans-serif" w:hAnsi="Adelle Sans Light;sans-serif"/>
          <w:b w:val="false"/>
          <w:color w:val="000000"/>
          <w:sz w:val="20"/>
        </w:rPr>
        <w:t>our expectations regarding the adoption of our platform and solutions by Shopify Plus merchants and enterprise-level businesses;</w:t>
      </w:r>
    </w:p>
    <w:p>
      <w:pPr>
        <w:pStyle w:val="TextBody"/>
        <w:bidi w:val="0"/>
        <w:spacing w:lineRule="auto" w:line="288" w:before="0" w:after="0"/>
        <w:ind w:left="0" w:right="0" w:hanging="360"/>
        <w:jc w:val="both"/>
        <w:rPr/>
      </w:pPr>
      <w:r>
        <w:rPr>
          <w:color w:val="000000"/>
        </w:rPr>
        <w:t>•</w:t>
      </w:r>
      <w:r>
        <w:rPr>
          <w:rFonts w:ascii="Adelle Sans Light;sans-serif" w:hAnsi="Adelle Sans Light;sans-serif"/>
          <w:b w:val="false"/>
          <w:color w:val="000000"/>
          <w:sz w:val="20"/>
        </w:rPr>
        <w:t>our expectation that the growth of our business will depend in part on the success of our relationships with third parties;</w:t>
      </w:r>
    </w:p>
    <w:p>
      <w:pPr>
        <w:pStyle w:val="TextBody"/>
        <w:bidi w:val="0"/>
        <w:spacing w:lineRule="auto" w:line="288" w:before="0" w:after="0"/>
        <w:ind w:left="0" w:right="0" w:hanging="360"/>
        <w:jc w:val="both"/>
        <w:rPr/>
      </w:pPr>
      <w:r>
        <w:rPr>
          <w:color w:val="000000"/>
        </w:rPr>
        <w:t>•</w:t>
      </w:r>
      <w:r>
        <w:rPr>
          <w:rFonts w:ascii="Adelle Sans Light;sans-serif" w:hAnsi="Adelle Sans Light;sans-serif"/>
          <w:b w:val="false"/>
          <w:color w:val="000000"/>
          <w:sz w:val="20"/>
        </w:rPr>
        <w:t>our intention to pursue additional third-party relationships;</w:t>
      </w:r>
    </w:p>
    <w:p>
      <w:pPr>
        <w:pStyle w:val="TextBody"/>
        <w:bidi w:val="0"/>
        <w:spacing w:lineRule="auto" w:line="288" w:before="0" w:after="0"/>
        <w:ind w:left="0" w:right="0" w:hanging="360"/>
        <w:jc w:val="both"/>
        <w:rPr/>
      </w:pPr>
      <w:r>
        <w:rPr>
          <w:color w:val="000000"/>
        </w:rPr>
        <w:t>•</w:t>
      </w:r>
      <w:r>
        <w:rPr>
          <w:rFonts w:ascii="Adelle Sans Light;sans-serif" w:hAnsi="Adelle Sans Light;sans-serif"/>
          <w:b w:val="false"/>
          <w:color w:val="000000"/>
          <w:sz w:val="20"/>
        </w:rPr>
        <w:t>our expectations regarding future investment in the business, including with respect to key talent, sales and marketing, research and development, the creation and implementation of new products and services, the functionality of our platform, merchant service and support, security and operational requirements, our network infrastructure, acquisitions and the expansion of our international operations;</w:t>
      </w:r>
    </w:p>
    <w:p>
      <w:pPr>
        <w:pStyle w:val="TextBody"/>
        <w:bidi w:val="0"/>
        <w:spacing w:lineRule="auto" w:line="288" w:before="0" w:after="0"/>
        <w:ind w:left="0" w:right="0" w:hanging="360"/>
        <w:jc w:val="both"/>
        <w:rPr/>
      </w:pPr>
      <w:r>
        <w:rPr>
          <w:color w:val="000000"/>
        </w:rPr>
        <w:t>•</w:t>
      </w:r>
      <w:r>
        <w:rPr>
          <w:rFonts w:ascii="Adelle Sans Light;sans-serif" w:hAnsi="Adelle Sans Light;sans-serif"/>
          <w:b w:val="false"/>
          <w:color w:val="000000"/>
          <w:sz w:val="20"/>
        </w:rPr>
        <w:t>our ability to optimize marketing spend and successfully sell to and support enterprise merchants in order to drive growth;</w:t>
      </w:r>
    </w:p>
    <w:p>
      <w:pPr>
        <w:pStyle w:val="TextBody"/>
        <w:bidi w:val="0"/>
        <w:spacing w:lineRule="auto" w:line="288" w:before="0" w:after="0"/>
        <w:ind w:left="0" w:right="0" w:hanging="360"/>
        <w:jc w:val="both"/>
        <w:rPr/>
      </w:pPr>
      <w:r>
        <w:rPr>
          <w:color w:val="000000"/>
        </w:rPr>
        <w:t>•</w:t>
      </w:r>
      <w:r>
        <w:rPr>
          <w:rFonts w:ascii="Adelle Sans Light;sans-serif" w:hAnsi="Adelle Sans Light;sans-serif"/>
          <w:b w:val="false"/>
          <w:color w:val="000000"/>
          <w:sz w:val="20"/>
        </w:rPr>
        <w:t>the effectiveness of our Flex Comp compensation system in attracting, motivating and retaining qualified personnel;</w:t>
      </w:r>
    </w:p>
    <w:p>
      <w:pPr>
        <w:pStyle w:val="TextBody"/>
        <w:bidi w:val="0"/>
        <w:spacing w:lineRule="auto" w:line="288" w:before="0" w:after="0"/>
        <w:ind w:left="0" w:right="0" w:hanging="360"/>
        <w:jc w:val="both"/>
        <w:rPr/>
      </w:pPr>
      <w:r>
        <w:rPr>
          <w:color w:val="000000"/>
        </w:rPr>
        <w:t>•</w:t>
      </w:r>
      <w:r>
        <w:rPr>
          <w:rFonts w:ascii="Adelle Sans Light;sans-serif" w:hAnsi="Adelle Sans Light;sans-serif"/>
          <w:b w:val="false"/>
          <w:color w:val="000000"/>
          <w:sz w:val="20"/>
        </w:rPr>
        <w:t>our expectation that as our consumer-facing offerings evolve and grow in popularity, the risk of additional laws and regulations impacting our business will also increase;</w:t>
      </w:r>
    </w:p>
    <w:p>
      <w:pPr>
        <w:pStyle w:val="TextBody"/>
        <w:bidi w:val="0"/>
        <w:spacing w:lineRule="auto" w:line="288" w:before="0" w:after="0"/>
        <w:ind w:left="0" w:right="0" w:hanging="360"/>
        <w:jc w:val="both"/>
        <w:rPr/>
      </w:pPr>
      <w:r>
        <w:rPr>
          <w:color w:val="000000"/>
        </w:rPr>
        <w:t>•</w:t>
      </w:r>
      <w:r>
        <w:rPr>
          <w:rFonts w:ascii="Adelle Sans Light;sans-serif" w:hAnsi="Adelle Sans Light;sans-serif"/>
          <w:b w:val="false"/>
          <w:color w:val="000000"/>
          <w:sz w:val="20"/>
        </w:rPr>
        <w:t>our intention to continue our use and development of open source software;</w:t>
      </w:r>
    </w:p>
    <w:p>
      <w:pPr>
        <w:pStyle w:val="TextBody"/>
        <w:bidi w:val="0"/>
        <w:spacing w:lineRule="auto" w:line="288" w:before="0" w:after="0"/>
        <w:ind w:left="0" w:right="0" w:hanging="360"/>
        <w:jc w:val="left"/>
        <w:rPr/>
      </w:pPr>
      <w:r>
        <w:rPr>
          <w:color w:val="000000"/>
        </w:rPr>
        <w:t>•</w:t>
      </w:r>
      <w:r>
        <w:rPr>
          <w:rFonts w:ascii="Adelle Sans Light;sans-serif" w:hAnsi="Adelle Sans Light;sans-serif"/>
          <w:b w:val="false"/>
          <w:color w:val="000000"/>
          <w:sz w:val="20"/>
        </w:rPr>
        <w:t>potential acquisitions, divestitures and investments;</w:t>
      </w:r>
    </w:p>
    <w:p>
      <w:pPr>
        <w:pStyle w:val="TextBody"/>
        <w:bidi w:val="0"/>
        <w:spacing w:lineRule="auto" w:line="288" w:before="0" w:after="0"/>
        <w:ind w:left="0" w:right="0" w:hanging="360"/>
        <w:jc w:val="left"/>
        <w:rPr/>
      </w:pPr>
      <w:r>
        <w:rPr>
          <w:color w:val="000000"/>
        </w:rPr>
        <w:t>•</w:t>
      </w:r>
      <w:r>
        <w:rPr>
          <w:rFonts w:ascii="Adelle Sans Light;sans-serif" w:hAnsi="Adelle Sans Light;sans-serif"/>
          <w:b w:val="false"/>
          <w:color w:val="000000"/>
          <w:sz w:val="20"/>
        </w:rPr>
        <w:t>expected synergies and other benefits from acquisitions, including from the integration of acquired technology;</w:t>
      </w:r>
    </w:p>
    <w:p>
      <w:pPr>
        <w:pStyle w:val="TextBody"/>
        <w:bidi w:val="0"/>
        <w:spacing w:lineRule="auto" w:line="288" w:before="0" w:after="0"/>
        <w:ind w:left="0" w:right="0" w:hanging="360"/>
        <w:jc w:val="both"/>
        <w:rPr/>
      </w:pPr>
      <w:r>
        <w:rPr>
          <w:color w:val="000000"/>
        </w:rPr>
        <w:t>•</w:t>
      </w:r>
      <w:r>
        <w:rPr>
          <w:rFonts w:ascii="Adelle Sans Light;sans-serif" w:hAnsi="Adelle Sans Light;sans-serif"/>
          <w:b w:val="false"/>
          <w:color w:val="000000"/>
          <w:sz w:val="20"/>
        </w:rPr>
        <w:t>the exploration, expansion and evolution of other products, models, structures and additional markets for our lending and financing products;</w:t>
      </w:r>
    </w:p>
    <w:p>
      <w:pPr>
        <w:pStyle w:val="TextBody"/>
        <w:bidi w:val="0"/>
        <w:spacing w:lineRule="auto" w:line="288" w:before="0" w:after="0"/>
        <w:ind w:left="0" w:right="0" w:hanging="360"/>
        <w:jc w:val="both"/>
        <w:rPr/>
      </w:pPr>
      <w:r>
        <w:rPr>
          <w:color w:val="000000"/>
        </w:rPr>
        <w:t>•</w:t>
      </w:r>
      <w:r>
        <w:rPr>
          <w:rFonts w:ascii="Adelle Sans Light;sans-serif" w:hAnsi="Adelle Sans Light;sans-serif"/>
          <w:b w:val="false"/>
          <w:color w:val="000000"/>
          <w:sz w:val="20"/>
        </w:rPr>
        <w:t>our expectations with respect to changes in our pricing models;</w:t>
      </w:r>
    </w:p>
    <w:p>
      <w:pPr>
        <w:pStyle w:val="TextBody"/>
        <w:bidi w:val="0"/>
        <w:spacing w:lineRule="auto" w:line="288" w:before="0" w:after="0"/>
        <w:ind w:left="0" w:right="0" w:hanging="360"/>
        <w:jc w:val="left"/>
        <w:rPr/>
      </w:pPr>
      <w:r>
        <w:rPr>
          <w:color w:val="000000"/>
        </w:rPr>
        <w:t>•</w:t>
      </w:r>
      <w:r>
        <w:rPr>
          <w:rFonts w:ascii="Adelle Sans Light;sans-serif" w:hAnsi="Adelle Sans Light;sans-serif"/>
          <w:b w:val="false"/>
          <w:color w:val="000000"/>
          <w:sz w:val="20"/>
        </w:rPr>
        <w:t>our expectation that we will not pay any cash dividends in the foreseeable future;</w:t>
      </w:r>
    </w:p>
    <w:p>
      <w:pPr>
        <w:pStyle w:val="TextBody"/>
        <w:bidi w:val="0"/>
        <w:spacing w:lineRule="auto" w:line="288" w:before="0" w:after="0"/>
        <w:ind w:left="0" w:right="0" w:hanging="360"/>
        <w:jc w:val="left"/>
        <w:rPr/>
      </w:pPr>
      <w:r>
        <w:rPr>
          <w:color w:val="000000"/>
        </w:rPr>
        <w:t>•</w:t>
      </w:r>
      <w:r>
        <w:rPr>
          <w:rFonts w:ascii="Adelle Sans Light;sans-serif" w:hAnsi="Adelle Sans Light;sans-serif"/>
          <w:b w:val="false"/>
          <w:color w:val="000000"/>
          <w:sz w:val="20"/>
        </w:rPr>
        <w:t>our expectations regarding the adoption and impact of new accounting standards;</w:t>
      </w:r>
    </w:p>
    <w:p>
      <w:pPr>
        <w:pStyle w:val="TextBody"/>
        <w:bidi w:val="0"/>
        <w:spacing w:lineRule="auto" w:line="288" w:before="0" w:after="0"/>
        <w:ind w:left="0" w:right="0" w:hanging="360"/>
        <w:jc w:val="left"/>
        <w:rPr/>
      </w:pPr>
      <w:r>
        <w:rPr>
          <w:color w:val="000000"/>
        </w:rPr>
        <w:t>•</w:t>
      </w:r>
      <w:r>
        <w:rPr>
          <w:rFonts w:ascii="Adelle Sans Light;sans-serif" w:hAnsi="Adelle Sans Light;sans-serif"/>
          <w:b w:val="false"/>
          <w:color w:val="000000"/>
          <w:sz w:val="20"/>
        </w:rPr>
        <w:t xml:space="preserve">issuances of Class B restricted voting shares and preferred shares; </w:t>
      </w:r>
    </w:p>
    <w:p>
      <w:pPr>
        <w:pStyle w:val="TextBody"/>
        <w:bidi w:val="0"/>
        <w:spacing w:lineRule="auto" w:line="288" w:before="0" w:after="0"/>
        <w:ind w:left="0" w:right="0" w:hanging="360"/>
        <w:jc w:val="both"/>
        <w:rPr/>
      </w:pPr>
      <w:r>
        <w:rPr>
          <w:color w:val="000000"/>
        </w:rPr>
        <w:t>•</w:t>
      </w:r>
      <w:r>
        <w:rPr>
          <w:rFonts w:ascii="Adelle Sans Light;sans-serif" w:hAnsi="Adelle Sans Light;sans-serif"/>
          <w:b w:val="false"/>
          <w:color w:val="000000"/>
          <w:sz w:val="20"/>
        </w:rPr>
        <w:t>redemption of the Founder Share;</w:t>
      </w:r>
    </w:p>
    <w:p>
      <w:pPr>
        <w:pStyle w:val="TextBody"/>
        <w:bidi w:val="0"/>
        <w:spacing w:lineRule="auto" w:line="288" w:before="0" w:after="0"/>
        <w:ind w:left="0" w:right="0" w:hanging="360"/>
        <w:jc w:val="left"/>
        <w:rPr/>
      </w:pPr>
      <w:r>
        <w:rPr>
          <w:color w:val="000000"/>
        </w:rPr>
        <w:t>•</w:t>
      </w:r>
      <w:r>
        <w:rPr>
          <w:rFonts w:ascii="Adelle Sans Light;sans-serif" w:hAnsi="Adelle Sans Light;sans-serif"/>
          <w:b w:val="false"/>
          <w:color w:val="000000"/>
          <w:sz w:val="20"/>
        </w:rPr>
        <w:t>our intention to invest our future earnings, if any, to fund our growth; and</w:t>
      </w:r>
    </w:p>
    <w:p>
      <w:pPr>
        <w:pStyle w:val="TextBody"/>
        <w:bidi w:val="0"/>
        <w:spacing w:lineRule="auto" w:line="288" w:before="0" w:after="160"/>
        <w:ind w:left="0" w:right="0" w:hanging="360"/>
        <w:jc w:val="left"/>
        <w:rPr/>
      </w:pPr>
      <w:r>
        <w:rPr>
          <w:color w:val="000000"/>
        </w:rPr>
        <w:t>•</w:t>
      </w:r>
      <w:r>
        <w:rPr>
          <w:rFonts w:ascii="Adelle Sans Light;sans-serif" w:hAnsi="Adelle Sans Light;sans-serif"/>
          <w:b w:val="false"/>
          <w:color w:val="000000"/>
          <w:sz w:val="20"/>
        </w:rPr>
        <w:t>our expectations with respect to adapting our current facilities.</w:t>
      </w:r>
    </w:p>
    <w:p>
      <w:pPr>
        <w:pStyle w:val="TextBody"/>
        <w:bidi w:val="0"/>
        <w:spacing w:lineRule="auto" w:line="288" w:before="0" w:after="160"/>
        <w:jc w:val="both"/>
        <w:rPr>
          <w:rFonts w:ascii="Adelle Sans Light;sans-serif" w:hAnsi="Adelle Sans Light;sans-serif"/>
          <w:b w:val="false"/>
          <w:color w:val="000000"/>
          <w:sz w:val="20"/>
        </w:rPr>
      </w:pPr>
      <w:r>
        <w:rPr>
          <w:rFonts w:ascii="Adelle Sans Light;sans-serif" w:hAnsi="Adelle Sans Light;sans-serif"/>
          <w:b w:val="false"/>
          <w:color w:val="000000"/>
          <w:sz w:val="20"/>
        </w:rPr>
        <w:t>Factors that may cause actual results to differ materially from current expectations may include, but are not limited to, risks and uncertainties that are discussed in greater detail in Part I — Item 1A "Risk Factors" of the Company’s Annual Report on Form 10-K for the year ended December 31, 2025 (the "2025 Form 10-K"), as well as in our condensed consolidated financial statements, related notes, and the other information appearing elsewhere in this report and our other filings with the Securities and Exchange Commission ("SEC").</w:t>
      </w:r>
    </w:p>
    <w:p>
      <w:pPr>
        <w:pStyle w:val="TextBody"/>
        <w:bidi w:val="0"/>
        <w:spacing w:lineRule="auto" w:line="288" w:before="0" w:after="160"/>
        <w:jc w:val="both"/>
        <w:rPr>
          <w:rFonts w:ascii="Adelle Sans Light;sans-serif" w:hAnsi="Adelle Sans Light;sans-serif"/>
          <w:b w:val="false"/>
          <w:color w:val="000000"/>
          <w:sz w:val="20"/>
        </w:rPr>
      </w:pPr>
      <w:r>
        <w:rPr>
          <w:rFonts w:ascii="Adelle Sans Light;sans-serif" w:hAnsi="Adelle Sans Light;sans-serif"/>
          <w:b w:val="false"/>
          <w:color w:val="000000"/>
          <w:sz w:val="20"/>
        </w:rPr>
        <w:t>Although we believe that the plans, intentions, expectations, assumptions and strategies reflected in our forward-looking statements are reasonable, these statements relate to future events or our future financial performance, and involve known and unknown risks, uncertainties and other factors which are, in some cases, beyond our control. If one or more of these risks or uncertainties occur, or if our underlying assumptions prove to be incorrect, actual results may vary significantly from those implied or projected by the forward-looking statements. In addition, we operate in a highly competitive and rapidly changing environment. New risks and uncertainties emerge from time to time, and it is not possible for us to predict all risks and uncertainties that could have an impact on the forward-looking statements contained in this Quarterly Report on Form 10-Q. No forward-looking statement is a guarantee of future results. These statements are inherently uncertain and investors are cautioned not to unduly rely upon these statements. You should read this Quarterly Report on Form 10-Q and the documents that we reference in this Quarterly Report on Form 10-Q completely and with the understanding that our actual future results may be materially different from any future results expressed or implied by these forward-looking statements.</w:t>
      </w:r>
    </w:p>
    <w:p>
      <w:pPr>
        <w:pStyle w:val="TextBody"/>
        <w:bidi w:val="0"/>
        <w:spacing w:lineRule="auto" w:line="288" w:before="0" w:after="160"/>
        <w:jc w:val="both"/>
        <w:rPr>
          <w:rFonts w:ascii="Adelle Sans Light;sans-serif" w:hAnsi="Adelle Sans Light;sans-serif"/>
          <w:b w:val="false"/>
          <w:color w:val="000000"/>
          <w:sz w:val="20"/>
        </w:rPr>
      </w:pPr>
      <w:r>
        <w:rPr>
          <w:rFonts w:ascii="Adelle Sans Light;sans-serif" w:hAnsi="Adelle Sans Light;sans-serif"/>
          <w:b w:val="false"/>
          <w:color w:val="000000"/>
          <w:sz w:val="20"/>
        </w:rPr>
        <w:t>The forward-looking statements in this Quarterly Report on Form 10-Q represent our views as at the date of this Quarterly Report on Form 10-Q. We anticipate that subsequent events and developments may cause our views to change. However, while we may elect to update these forward-looking statements at some point in the future, we have no current intention of doing so except to the extent required by applicable law. Therefore, these forward-looking statements do not represent our views as of any date other than the date of this Quarterly Report on Form 10-Q.</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7955"/>
                <wp:effectExtent l="0" t="0" r="0" b="0"/>
                <wp:wrapNone/>
                <wp:docPr id="5" name="Frame4"/>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200"/>
                              <w:jc w:val="center"/>
                              <w:rPr>
                                <w:rFonts w:ascii="Adelle Sans Light;sans-serif" w:hAnsi="Adelle Sans Light;sans-serif"/>
                                <w:b w:val="false"/>
                                <w:color w:val="000000"/>
                                <w:sz w:val="20"/>
                              </w:rPr>
                            </w:pPr>
                            <w:r>
                              <w:rPr>
                                <w:rFonts w:ascii="Adelle Sans Light;sans-serif" w:hAnsi="Adelle Sans Light;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Adelle Sans Light;sans-serif" w:hAnsi="Adelle Sans Light;sans-serif"/>
                          <w:b w:val="false"/>
                          <w:color w:val="000000"/>
                          <w:sz w:val="20"/>
                        </w:rPr>
                      </w:pPr>
                      <w:r>
                        <w:rPr>
                          <w:rFonts w:ascii="Adelle Sans Light;sans-serif" w:hAnsi="Adelle Sans Light;sans-serif"/>
                          <w:b w:val="false"/>
                          <w:color w:val="000000"/>
                          <w:sz w:val="20"/>
                        </w:rPr>
                        <w:t>4</w:t>
                      </w:r>
                    </w:p>
                  </w:txbxContent>
                </v:textbox>
                <w10:wrap type="none"/>
              </v:rect>
            </w:pict>
          </mc:Fallback>
        </mc:AlternateContent>
      </w:r>
    </w:p>
    <w:p>
      <w:pPr>
        <w:pStyle w:val="TextBody"/>
        <w:bidi w:val="0"/>
        <w:spacing w:before="0" w:after="200"/>
        <w:jc w:val="both"/>
        <w:rPr/>
      </w:pPr>
      <w:r>
        <w:rPr/>
      </w:r>
    </w:p>
    <w:p>
      <w:pPr>
        <w:pStyle w:val="TextBody"/>
        <w:bidi w:val="0"/>
        <w:spacing w:lineRule="auto" w:line="288" w:before="200" w:after="200"/>
        <w:jc w:val="left"/>
        <w:rPr>
          <w:rFonts w:ascii="Adelle Sans;sans-serif" w:hAnsi="Adelle Sans;sans-serif"/>
          <w:b/>
          <w:color w:val="000000"/>
          <w:sz w:val="20"/>
        </w:rPr>
      </w:pPr>
      <w:bookmarkStart w:id="2" w:name="i015455737fdb4ee7a1a9ada31c2e861b"/>
      <w:bookmarkEnd w:id="2"/>
      <w:r>
        <w:rPr>
          <w:rFonts w:ascii="Adelle Sans;sans-serif" w:hAnsi="Adelle Sans;sans-serif"/>
          <w:b/>
          <w:color w:val="000000"/>
          <w:sz w:val="20"/>
        </w:rPr>
        <w:t>PART I: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left"/>
        <w:rPr>
          <w:rFonts w:ascii="Adelle Sans;sans-serif" w:hAnsi="Adelle Sans;sans-serif"/>
          <w:b/>
          <w:color w:val="000000"/>
          <w:sz w:val="20"/>
        </w:rPr>
      </w:pPr>
      <w:bookmarkStart w:id="3" w:name="i72330c5c61004cc6bde9ba493181868a"/>
      <w:bookmarkEnd w:id="3"/>
      <w:r>
        <w:rPr>
          <w:rFonts w:ascii="Adelle Sans;sans-serif" w:hAnsi="Adelle Sans;sans-serif"/>
          <w:b/>
          <w:color w:val="000000"/>
          <w:sz w:val="20"/>
        </w:rPr>
        <w:t>Item 1: Financial Statements (unaudited)</w:t>
      </w:r>
    </w:p>
    <w:tbl>
      <w:tblPr>
        <w:tblW w:w="9600" w:type="dxa"/>
        <w:jc w:val="left"/>
        <w:tblInd w:w="0" w:type="dxa"/>
        <w:tblLayout w:type="fixed"/>
        <w:tblCellMar>
          <w:top w:w="28" w:type="dxa"/>
          <w:left w:w="28" w:type="dxa"/>
          <w:bottom w:w="28" w:type="dxa"/>
          <w:right w:w="28" w:type="dxa"/>
        </w:tblCellMar>
      </w:tblPr>
      <w:tblGrid>
        <w:gridCol w:w="3217"/>
        <w:gridCol w:w="2824"/>
        <w:gridCol w:w="2853"/>
        <w:gridCol w:w="206"/>
        <w:gridCol w:w="206"/>
        <w:gridCol w:w="294"/>
      </w:tblGrid>
      <w:tr>
        <w:trPr/>
        <w:tc>
          <w:tcPr>
            <w:tcW w:w="3217" w:type="dxa"/>
            <w:tcBorders/>
            <w:vAlign w:val="center"/>
          </w:tcPr>
          <w:p>
            <w:pPr>
              <w:pStyle w:val="TableContents"/>
              <w:bidi w:val="0"/>
              <w:spacing w:before="0" w:after="283"/>
              <w:jc w:val="left"/>
              <w:rPr>
                <w:sz w:val="4"/>
                <w:szCs w:val="4"/>
              </w:rPr>
            </w:pPr>
            <w:r>
              <w:rPr>
                <w:sz w:val="4"/>
                <w:szCs w:val="4"/>
              </w:rPr>
            </w:r>
          </w:p>
        </w:tc>
        <w:tc>
          <w:tcPr>
            <w:tcW w:w="2824" w:type="dxa"/>
            <w:tcBorders/>
            <w:vAlign w:val="center"/>
          </w:tcPr>
          <w:p>
            <w:pPr>
              <w:pStyle w:val="TableContents"/>
              <w:bidi w:val="0"/>
              <w:spacing w:before="0" w:after="283"/>
              <w:jc w:val="left"/>
              <w:rPr>
                <w:sz w:val="4"/>
                <w:szCs w:val="4"/>
              </w:rPr>
            </w:pPr>
            <w:r>
              <w:rPr>
                <w:sz w:val="4"/>
                <w:szCs w:val="4"/>
              </w:rPr>
            </w:r>
          </w:p>
        </w:tc>
        <w:tc>
          <w:tcPr>
            <w:tcW w:w="2853"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r>
      <w:tr>
        <w:trPr/>
        <w:tc>
          <w:tcPr>
            <w:tcW w:w="889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delle Sans;sans-serif" w:hAnsi="Adelle Sans;sans-serif"/>
                <w:b/>
                <w:color w:val="000000"/>
                <w:sz w:val="20"/>
                <w:u w:val="single"/>
              </w:rPr>
            </w:pPr>
            <w:r>
              <w:rPr>
                <w:rFonts w:ascii="Adelle Sans;sans-serif" w:hAnsi="Adelle Sans;sans-serif"/>
                <w:b/>
                <w:color w:val="000000"/>
                <w:sz w:val="20"/>
                <w:u w:val="single"/>
              </w:rPr>
              <w:t>Index</w:t>
            </w:r>
          </w:p>
        </w:tc>
        <w:tc>
          <w:tcPr>
            <w:tcW w:w="70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delle Sans;sans-serif" w:hAnsi="Adelle Sans;sans-serif"/>
                <w:b/>
                <w:color w:val="000000"/>
                <w:sz w:val="20"/>
                <w:u w:val="single"/>
              </w:rPr>
            </w:pPr>
            <w:r>
              <w:rPr>
                <w:rFonts w:ascii="Adelle Sans;sans-serif" w:hAnsi="Adelle Sans;sans-serif"/>
                <w:b/>
                <w:color w:val="000000"/>
                <w:sz w:val="20"/>
                <w:u w:val="single"/>
              </w:rPr>
              <w:t>Page</w:t>
            </w:r>
          </w:p>
        </w:tc>
      </w:tr>
      <w:tr>
        <w:trPr/>
        <w:tc>
          <w:tcPr>
            <w:tcW w:w="889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2a9b7ebca45a45ea86067ee43feebd79">
              <w:r>
                <w:rPr>
                  <w:rStyle w:val="InternetLink"/>
                  <w:rFonts w:ascii="Adelle Sans;sans-serif" w:hAnsi="Adelle Sans;sans-serif"/>
                  <w:b/>
                  <w:strike w:val="false"/>
                  <w:dstrike w:val="false"/>
                  <w:color w:val="000000"/>
                  <w:sz w:val="20"/>
                  <w:u w:val="none"/>
                  <w:effect w:val="none"/>
                </w:rPr>
                <w:t>Condensed Consolidated Balance Sheets</w:t>
              </w:r>
            </w:hyperlink>
          </w:p>
        </w:tc>
        <w:tc>
          <w:tcPr>
            <w:tcW w:w="706"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2a9b7ebca45a45ea86067ee43feebd79">
              <w:r>
                <w:rPr>
                  <w:rStyle w:val="InternetLink"/>
                  <w:rFonts w:ascii="Adelle Sans;sans-serif" w:hAnsi="Adelle Sans;sans-serif"/>
                  <w:b/>
                  <w:strike w:val="false"/>
                  <w:dstrike w:val="false"/>
                  <w:color w:val="000000"/>
                  <w:sz w:val="20"/>
                  <w:u w:val="none"/>
                  <w:effect w:val="none"/>
                </w:rPr>
                <w:t>6</w:t>
              </w:r>
            </w:hyperlink>
          </w:p>
        </w:tc>
      </w:tr>
      <w:tr>
        <w:trPr/>
        <w:tc>
          <w:tcPr>
            <w:tcW w:w="889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9ac939a5e84f48989ce5c98acebe20e0">
              <w:r>
                <w:rPr>
                  <w:rStyle w:val="InternetLink"/>
                  <w:rFonts w:ascii="Adelle Sans;sans-serif" w:hAnsi="Adelle Sans;sans-serif"/>
                  <w:b/>
                  <w:strike w:val="false"/>
                  <w:dstrike w:val="false"/>
                  <w:color w:val="000000"/>
                  <w:sz w:val="20"/>
                  <w:u w:val="none"/>
                  <w:effect w:val="none"/>
                </w:rPr>
                <w:t>Condensed Consolidated Statements of Operations and Comprehensive Income</w:t>
              </w:r>
            </w:hyperlink>
          </w:p>
        </w:tc>
        <w:tc>
          <w:tcPr>
            <w:tcW w:w="706"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9ac939a5e84f48989ce5c98acebe20e0">
              <w:r>
                <w:rPr>
                  <w:rStyle w:val="InternetLink"/>
                  <w:rFonts w:ascii="Adelle Sans;sans-serif" w:hAnsi="Adelle Sans;sans-serif"/>
                  <w:b/>
                  <w:strike w:val="false"/>
                  <w:dstrike w:val="false"/>
                  <w:color w:val="000000"/>
                  <w:sz w:val="20"/>
                  <w:u w:val="none"/>
                  <w:effect w:val="none"/>
                </w:rPr>
                <w:t>7</w:t>
              </w:r>
            </w:hyperlink>
          </w:p>
        </w:tc>
      </w:tr>
      <w:tr>
        <w:trPr/>
        <w:tc>
          <w:tcPr>
            <w:tcW w:w="889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14f8a316f24b4a8089f8c01a17c436de">
              <w:r>
                <w:rPr>
                  <w:rStyle w:val="InternetLink"/>
                  <w:rFonts w:ascii="Adelle Sans;sans-serif" w:hAnsi="Adelle Sans;sans-serif"/>
                  <w:b/>
                  <w:strike w:val="false"/>
                  <w:dstrike w:val="false"/>
                  <w:color w:val="000000"/>
                  <w:sz w:val="20"/>
                  <w:u w:val="none"/>
                  <w:effect w:val="none"/>
                </w:rPr>
                <w:t xml:space="preserve">Condensed Consolidated Statements of Changes in Shareholders’ Equity </w:t>
              </w:r>
            </w:hyperlink>
          </w:p>
        </w:tc>
        <w:tc>
          <w:tcPr>
            <w:tcW w:w="706"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14f8a316f24b4a8089f8c01a17c436de">
              <w:r>
                <w:rPr>
                  <w:rStyle w:val="InternetLink"/>
                  <w:rFonts w:ascii="Adelle Sans;sans-serif" w:hAnsi="Adelle Sans;sans-serif"/>
                  <w:b/>
                  <w:strike w:val="false"/>
                  <w:dstrike w:val="false"/>
                  <w:color w:val="000000"/>
                  <w:sz w:val="20"/>
                  <w:u w:val="none"/>
                  <w:effect w:val="none"/>
                </w:rPr>
                <w:t>8</w:t>
              </w:r>
            </w:hyperlink>
          </w:p>
        </w:tc>
      </w:tr>
      <w:tr>
        <w:trPr/>
        <w:tc>
          <w:tcPr>
            <w:tcW w:w="889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809f16f26bc54c8ab3ee1fa12dbc1cdb">
              <w:r>
                <w:rPr>
                  <w:rStyle w:val="InternetLink"/>
                  <w:rFonts w:ascii="Adelle Sans;sans-serif" w:hAnsi="Adelle Sans;sans-serif"/>
                  <w:b/>
                  <w:strike w:val="false"/>
                  <w:dstrike w:val="false"/>
                  <w:color w:val="000000"/>
                  <w:sz w:val="20"/>
                  <w:u w:val="none"/>
                  <w:effect w:val="none"/>
                </w:rPr>
                <w:t>Condensed Consolidated Statements of Cash Flows</w:t>
              </w:r>
            </w:hyperlink>
          </w:p>
        </w:tc>
        <w:tc>
          <w:tcPr>
            <w:tcW w:w="706"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809f16f26bc54c8ab3ee1fa12dbc1cdb">
              <w:r>
                <w:rPr>
                  <w:rStyle w:val="InternetLink"/>
                  <w:rFonts w:ascii="Adelle Sans;sans-serif" w:hAnsi="Adelle Sans;sans-serif"/>
                  <w:b/>
                  <w:strike w:val="false"/>
                  <w:dstrike w:val="false"/>
                  <w:color w:val="000000"/>
                  <w:sz w:val="20"/>
                  <w:u w:val="none"/>
                  <w:effect w:val="none"/>
                </w:rPr>
                <w:t>9</w:t>
              </w:r>
            </w:hyperlink>
          </w:p>
        </w:tc>
      </w:tr>
      <w:tr>
        <w:trPr/>
        <w:tc>
          <w:tcPr>
            <w:tcW w:w="889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9230894641644083a983e5014de6c53d">
              <w:r>
                <w:rPr>
                  <w:rStyle w:val="InternetLink"/>
                  <w:rFonts w:ascii="Adelle Sans;sans-serif" w:hAnsi="Adelle Sans;sans-serif"/>
                  <w:b/>
                  <w:strike w:val="false"/>
                  <w:dstrike w:val="false"/>
                  <w:color w:val="000000"/>
                  <w:sz w:val="20"/>
                  <w:u w:val="none"/>
                  <w:effect w:val="none"/>
                </w:rPr>
                <w:t>Notes to the Condensed Consolidated Financial Statements</w:t>
              </w:r>
            </w:hyperlink>
          </w:p>
        </w:tc>
        <w:tc>
          <w:tcPr>
            <w:tcW w:w="706"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9230894641644083a983e5014de6c53d">
              <w:r>
                <w:rPr>
                  <w:rStyle w:val="InternetLink"/>
                  <w:rFonts w:ascii="Adelle Sans;sans-serif" w:hAnsi="Adelle Sans;sans-serif"/>
                  <w:b/>
                  <w:strike w:val="false"/>
                  <w:dstrike w:val="false"/>
                  <w:color w:val="000000"/>
                  <w:sz w:val="20"/>
                  <w:u w:val="none"/>
                  <w:effect w:val="none"/>
                </w:rPr>
                <w:t>10</w:t>
              </w:r>
            </w:hyperlink>
          </w:p>
        </w:tc>
      </w:tr>
      <w:tr>
        <w:trPr/>
        <w:tc>
          <w:tcPr>
            <w:tcW w:w="889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aba9b07a0c2f4cb4be9c97030e1d6816">
              <w:r>
                <w:rPr>
                  <w:rStyle w:val="InternetLink"/>
                  <w:rFonts w:ascii="Adelle Sans Light;sans-serif" w:hAnsi="Adelle Sans Light;sans-serif"/>
                  <w:b w:val="false"/>
                  <w:strike w:val="false"/>
                  <w:dstrike w:val="false"/>
                  <w:color w:val="000000"/>
                  <w:sz w:val="20"/>
                  <w:u w:val="none"/>
                  <w:effect w:val="none"/>
                </w:rPr>
                <w:t>1.    Nature of Business</w:t>
              </w:r>
            </w:hyperlink>
          </w:p>
        </w:tc>
        <w:tc>
          <w:tcPr>
            <w:tcW w:w="706"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aba9b07a0c2f4cb4be9c97030e1d6816">
              <w:r>
                <w:rPr>
                  <w:rStyle w:val="InternetLink"/>
                  <w:rFonts w:ascii="Adelle Sans Light;sans-serif" w:hAnsi="Adelle Sans Light;sans-serif"/>
                  <w:b w:val="false"/>
                  <w:strike w:val="false"/>
                  <w:dstrike w:val="false"/>
                  <w:color w:val="000000"/>
                  <w:sz w:val="20"/>
                  <w:u w:val="none"/>
                  <w:effect w:val="none"/>
                </w:rPr>
                <w:t>10</w:t>
              </w:r>
            </w:hyperlink>
          </w:p>
        </w:tc>
      </w:tr>
      <w:tr>
        <w:trPr/>
        <w:tc>
          <w:tcPr>
            <w:tcW w:w="889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c681e0e1e3c54e648e0098840188599f">
              <w:r>
                <w:rPr>
                  <w:rStyle w:val="InternetLink"/>
                  <w:rFonts w:ascii="Adelle Sans Light;sans-serif" w:hAnsi="Adelle Sans Light;sans-serif"/>
                  <w:b w:val="false"/>
                  <w:strike w:val="false"/>
                  <w:dstrike w:val="false"/>
                  <w:color w:val="000000"/>
                  <w:sz w:val="20"/>
                  <w:u w:val="none"/>
                  <w:effect w:val="none"/>
                </w:rPr>
                <w:t xml:space="preserve">2.    Basis of Presentation and Consolidation </w:t>
              </w:r>
            </w:hyperlink>
          </w:p>
        </w:tc>
        <w:tc>
          <w:tcPr>
            <w:tcW w:w="706"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c681e0e1e3c54e648e0098840188599f">
              <w:r>
                <w:rPr>
                  <w:rStyle w:val="InternetLink"/>
                  <w:rFonts w:ascii="Adelle Sans Light;sans-serif" w:hAnsi="Adelle Sans Light;sans-serif"/>
                  <w:b w:val="false"/>
                  <w:strike w:val="false"/>
                  <w:dstrike w:val="false"/>
                  <w:color w:val="000000"/>
                  <w:sz w:val="20"/>
                  <w:u w:val="none"/>
                  <w:effect w:val="none"/>
                </w:rPr>
                <w:t>10</w:t>
              </w:r>
            </w:hyperlink>
          </w:p>
        </w:tc>
      </w:tr>
      <w:tr>
        <w:trPr/>
        <w:tc>
          <w:tcPr>
            <w:tcW w:w="889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4ca41ec616134b1cb62aea8827cc98bb">
              <w:r>
                <w:rPr>
                  <w:rStyle w:val="InternetLink"/>
                  <w:rFonts w:ascii="Adelle Sans Light;sans-serif" w:hAnsi="Adelle Sans Light;sans-serif"/>
                  <w:b w:val="false"/>
                  <w:strike w:val="false"/>
                  <w:dstrike w:val="false"/>
                  <w:color w:val="000000"/>
                  <w:sz w:val="20"/>
                  <w:u w:val="none"/>
                  <w:effect w:val="none"/>
                </w:rPr>
                <w:t xml:space="preserve">3.    Significant Accounting Policies </w:t>
              </w:r>
            </w:hyperlink>
          </w:p>
        </w:tc>
        <w:tc>
          <w:tcPr>
            <w:tcW w:w="706"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4ca41ec616134b1cb62aea8827cc98bb">
              <w:r>
                <w:rPr>
                  <w:rStyle w:val="InternetLink"/>
                  <w:rFonts w:ascii="Adelle Sans Light;sans-serif" w:hAnsi="Adelle Sans Light;sans-serif"/>
                  <w:b w:val="false"/>
                  <w:strike w:val="false"/>
                  <w:dstrike w:val="false"/>
                  <w:color w:val="000000"/>
                  <w:sz w:val="20"/>
                  <w:u w:val="none"/>
                  <w:effect w:val="none"/>
                </w:rPr>
                <w:t>10</w:t>
              </w:r>
            </w:hyperlink>
          </w:p>
        </w:tc>
      </w:tr>
      <w:tr>
        <w:trPr/>
        <w:tc>
          <w:tcPr>
            <w:tcW w:w="889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8189c9cc52a447aeb438c87dc6021b47">
              <w:r>
                <w:rPr>
                  <w:rStyle w:val="InternetLink"/>
                  <w:rFonts w:ascii="Adelle Sans Light;sans-serif" w:hAnsi="Adelle Sans Light;sans-serif"/>
                  <w:b w:val="false"/>
                  <w:strike w:val="false"/>
                  <w:dstrike w:val="false"/>
                  <w:color w:val="000000"/>
                  <w:sz w:val="20"/>
                  <w:u w:val="none"/>
                  <w:effect w:val="none"/>
                </w:rPr>
                <w:t>4.    Financial Instruments</w:t>
              </w:r>
            </w:hyperlink>
          </w:p>
        </w:tc>
        <w:tc>
          <w:tcPr>
            <w:tcW w:w="706"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8189c9cc52a447aeb438c87dc6021b47">
              <w:r>
                <w:rPr>
                  <w:rStyle w:val="InternetLink"/>
                  <w:rFonts w:ascii="Adelle Sans Light;sans-serif" w:hAnsi="Adelle Sans Light;sans-serif"/>
                  <w:b w:val="false"/>
                  <w:strike w:val="false"/>
                  <w:dstrike w:val="false"/>
                  <w:color w:val="000000"/>
                  <w:sz w:val="20"/>
                  <w:u w:val="none"/>
                  <w:effect w:val="none"/>
                </w:rPr>
                <w:t>12</w:t>
              </w:r>
            </w:hyperlink>
          </w:p>
        </w:tc>
      </w:tr>
      <w:tr>
        <w:trPr/>
        <w:tc>
          <w:tcPr>
            <w:tcW w:w="889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ef9f56160f264f2a9139289e39c60b13">
              <w:r>
                <w:rPr>
                  <w:rStyle w:val="InternetLink"/>
                  <w:rFonts w:ascii="Adelle Sans Light;sans-serif" w:hAnsi="Adelle Sans Light;sans-serif"/>
                  <w:b w:val="false"/>
                  <w:strike w:val="false"/>
                  <w:dstrike w:val="false"/>
                  <w:color w:val="000000"/>
                  <w:sz w:val="20"/>
                  <w:u w:val="none"/>
                  <w:effect w:val="none"/>
                </w:rPr>
                <w:t>5.    Trade and Other Receivables</w:t>
              </w:r>
            </w:hyperlink>
          </w:p>
        </w:tc>
        <w:tc>
          <w:tcPr>
            <w:tcW w:w="706"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ef9f56160f264f2a9139289e39c60b13">
              <w:r>
                <w:rPr>
                  <w:rStyle w:val="InternetLink"/>
                  <w:rFonts w:ascii="Adelle Sans Light;sans-serif" w:hAnsi="Adelle Sans Light;sans-serif"/>
                  <w:b w:val="false"/>
                  <w:strike w:val="false"/>
                  <w:dstrike w:val="false"/>
                  <w:color w:val="000000"/>
                  <w:sz w:val="20"/>
                  <w:u w:val="none"/>
                  <w:effect w:val="none"/>
                </w:rPr>
                <w:t>17</w:t>
              </w:r>
            </w:hyperlink>
          </w:p>
        </w:tc>
      </w:tr>
      <w:tr>
        <w:trPr/>
        <w:tc>
          <w:tcPr>
            <w:tcW w:w="889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312ff1f513d14bf48eac4f8a4571bd9c">
              <w:r>
                <w:rPr>
                  <w:rStyle w:val="InternetLink"/>
                  <w:rFonts w:ascii="Adelle Sans Light;sans-serif" w:hAnsi="Adelle Sans Light;sans-serif"/>
                  <w:b w:val="false"/>
                  <w:strike w:val="false"/>
                  <w:dstrike w:val="false"/>
                  <w:color w:val="000000"/>
                  <w:sz w:val="20"/>
                  <w:u w:val="none"/>
                  <w:effect w:val="none"/>
                </w:rPr>
                <w:t>6.    Loans and Merchant Cash Advances</w:t>
              </w:r>
            </w:hyperlink>
          </w:p>
        </w:tc>
        <w:tc>
          <w:tcPr>
            <w:tcW w:w="706"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312ff1f513d14bf48eac4f8a4571bd9c">
              <w:r>
                <w:rPr>
                  <w:rStyle w:val="InternetLink"/>
                  <w:rFonts w:ascii="Adelle Sans Light;sans-serif" w:hAnsi="Adelle Sans Light;sans-serif"/>
                  <w:b w:val="false"/>
                  <w:strike w:val="false"/>
                  <w:dstrike w:val="false"/>
                  <w:color w:val="000000"/>
                  <w:sz w:val="20"/>
                  <w:u w:val="none"/>
                  <w:effect w:val="none"/>
                </w:rPr>
                <w:t>17</w:t>
              </w:r>
            </w:hyperlink>
          </w:p>
        </w:tc>
      </w:tr>
      <w:tr>
        <w:trPr/>
        <w:tc>
          <w:tcPr>
            <w:tcW w:w="889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89a683237c0243c1aca0a8dada03feb5">
              <w:r>
                <w:rPr>
                  <w:rStyle w:val="InternetLink"/>
                  <w:rFonts w:ascii="Adelle Sans Light;sans-serif" w:hAnsi="Adelle Sans Light;sans-serif"/>
                  <w:b w:val="false"/>
                  <w:strike w:val="false"/>
                  <w:dstrike w:val="false"/>
                  <w:color w:val="000000"/>
                  <w:sz w:val="20"/>
                  <w:u w:val="none"/>
                  <w:effect w:val="none"/>
                </w:rPr>
                <w:t>7.    Deferred Revenue</w:t>
              </w:r>
            </w:hyperlink>
          </w:p>
        </w:tc>
        <w:tc>
          <w:tcPr>
            <w:tcW w:w="706"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89a683237c0243c1aca0a8dada03feb5">
              <w:r>
                <w:rPr>
                  <w:rStyle w:val="InternetLink"/>
                  <w:rFonts w:ascii="Adelle Sans Light;sans-serif" w:hAnsi="Adelle Sans Light;sans-serif"/>
                  <w:b w:val="false"/>
                  <w:strike w:val="false"/>
                  <w:dstrike w:val="false"/>
                  <w:color w:val="000000"/>
                  <w:sz w:val="20"/>
                  <w:u w:val="none"/>
                  <w:effect w:val="none"/>
                </w:rPr>
                <w:t>19</w:t>
              </w:r>
            </w:hyperlink>
          </w:p>
        </w:tc>
      </w:tr>
      <w:tr>
        <w:trPr/>
        <w:tc>
          <w:tcPr>
            <w:tcW w:w="889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5a275e4c50cf48b1b487fc7ed22b62b8">
              <w:r>
                <w:rPr>
                  <w:rStyle w:val="InternetLink"/>
                  <w:rFonts w:ascii="Adelle Sans Light;sans-serif" w:hAnsi="Adelle Sans Light;sans-serif"/>
                  <w:b w:val="false"/>
                  <w:strike w:val="false"/>
                  <w:dstrike w:val="false"/>
                  <w:color w:val="000000"/>
                  <w:sz w:val="20"/>
                  <w:u w:val="none"/>
                  <w:effect w:val="none"/>
                </w:rPr>
                <w:t>8.    Contingencies</w:t>
              </w:r>
            </w:hyperlink>
          </w:p>
        </w:tc>
        <w:tc>
          <w:tcPr>
            <w:tcW w:w="706"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5a275e4c50cf48b1b487fc7ed22b62b8">
              <w:r>
                <w:rPr>
                  <w:rStyle w:val="InternetLink"/>
                  <w:rFonts w:ascii="Adelle Sans Light;sans-serif" w:hAnsi="Adelle Sans Light;sans-serif"/>
                  <w:b w:val="false"/>
                  <w:strike w:val="false"/>
                  <w:dstrike w:val="false"/>
                  <w:color w:val="000000"/>
                  <w:sz w:val="20"/>
                  <w:u w:val="none"/>
                  <w:effect w:val="none"/>
                </w:rPr>
                <w:t>20</w:t>
              </w:r>
            </w:hyperlink>
          </w:p>
        </w:tc>
      </w:tr>
      <w:tr>
        <w:trPr/>
        <w:tc>
          <w:tcPr>
            <w:tcW w:w="889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f5abe7dee37c475ca1096aaa306a80af">
              <w:r>
                <w:rPr>
                  <w:rStyle w:val="InternetLink"/>
                  <w:rFonts w:ascii="Adelle Sans Light;sans-serif" w:hAnsi="Adelle Sans Light;sans-serif"/>
                  <w:b w:val="false"/>
                  <w:strike w:val="false"/>
                  <w:dstrike w:val="false"/>
                  <w:color w:val="000000"/>
                  <w:sz w:val="20"/>
                  <w:u w:val="none"/>
                  <w:effect w:val="none"/>
                </w:rPr>
                <w:t>9.    Related Parties</w:t>
              </w:r>
            </w:hyperlink>
          </w:p>
        </w:tc>
        <w:tc>
          <w:tcPr>
            <w:tcW w:w="706"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f5abe7dee37c475ca1096aaa306a80af">
              <w:r>
                <w:rPr>
                  <w:rStyle w:val="InternetLink"/>
                  <w:rFonts w:ascii="Adelle Sans Light;sans-serif" w:hAnsi="Adelle Sans Light;sans-serif"/>
                  <w:b w:val="false"/>
                  <w:strike w:val="false"/>
                  <w:dstrike w:val="false"/>
                  <w:color w:val="000000"/>
                  <w:sz w:val="20"/>
                  <w:u w:val="none"/>
                  <w:effect w:val="none"/>
                </w:rPr>
                <w:t>20</w:t>
              </w:r>
            </w:hyperlink>
          </w:p>
        </w:tc>
      </w:tr>
      <w:tr>
        <w:trPr/>
        <w:tc>
          <w:tcPr>
            <w:tcW w:w="889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529a9ed20a85410bbafea0003d3008d9">
              <w:r>
                <w:rPr>
                  <w:rStyle w:val="InternetLink"/>
                  <w:rFonts w:ascii="Adelle Sans Light;sans-serif" w:hAnsi="Adelle Sans Light;sans-serif"/>
                  <w:b w:val="false"/>
                  <w:strike w:val="false"/>
                  <w:dstrike w:val="false"/>
                  <w:color w:val="000000"/>
                  <w:sz w:val="20"/>
                  <w:u w:val="none"/>
                  <w:effect w:val="none"/>
                </w:rPr>
                <w:t xml:space="preserve">10.    Shareholders’ Equity </w:t>
              </w:r>
            </w:hyperlink>
          </w:p>
        </w:tc>
        <w:tc>
          <w:tcPr>
            <w:tcW w:w="706"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529a9ed20a85410bbafea0003d3008d9">
              <w:r>
                <w:rPr>
                  <w:rStyle w:val="InternetLink"/>
                  <w:rFonts w:ascii="Adelle Sans Light;sans-serif" w:hAnsi="Adelle Sans Light;sans-serif"/>
                  <w:b w:val="false"/>
                  <w:strike w:val="false"/>
                  <w:dstrike w:val="false"/>
                  <w:color w:val="000000"/>
                  <w:sz w:val="20"/>
                  <w:u w:val="none"/>
                  <w:effect w:val="none"/>
                </w:rPr>
                <w:t>21</w:t>
              </w:r>
            </w:hyperlink>
          </w:p>
        </w:tc>
      </w:tr>
      <w:tr>
        <w:trPr/>
        <w:tc>
          <w:tcPr>
            <w:tcW w:w="889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e2bfc01ba62140e896f1f01adc5f58ea">
              <w:r>
                <w:rPr>
                  <w:rStyle w:val="InternetLink"/>
                  <w:rFonts w:ascii="Adelle Sans Light;sans-serif" w:hAnsi="Adelle Sans Light;sans-serif"/>
                  <w:b w:val="false"/>
                  <w:strike w:val="false"/>
                  <w:dstrike w:val="false"/>
                  <w:color w:val="000000"/>
                  <w:sz w:val="20"/>
                  <w:u w:val="none"/>
                  <w:effect w:val="none"/>
                </w:rPr>
                <w:t>11.    Changes in Accumulated Other Comprehensive (Loss) Income</w:t>
              </w:r>
            </w:hyperlink>
          </w:p>
        </w:tc>
        <w:tc>
          <w:tcPr>
            <w:tcW w:w="706"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e2bfc01ba62140e896f1f01adc5f58ea">
              <w:r>
                <w:rPr>
                  <w:rStyle w:val="InternetLink"/>
                  <w:rFonts w:ascii="Adelle Sans Light;sans-serif" w:hAnsi="Adelle Sans Light;sans-serif"/>
                  <w:b w:val="false"/>
                  <w:strike w:val="false"/>
                  <w:dstrike w:val="false"/>
                  <w:color w:val="000000"/>
                  <w:sz w:val="20"/>
                  <w:u w:val="none"/>
                  <w:effect w:val="none"/>
                </w:rPr>
                <w:t>23</w:t>
              </w:r>
            </w:hyperlink>
          </w:p>
        </w:tc>
      </w:tr>
      <w:tr>
        <w:trPr/>
        <w:tc>
          <w:tcPr>
            <w:tcW w:w="889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6d4cc79f40f2434aa3bbf6dd77d21d6b">
              <w:r>
                <w:rPr>
                  <w:rStyle w:val="InternetLink"/>
                  <w:rFonts w:ascii="Adelle Sans Light;sans-serif" w:hAnsi="Adelle Sans Light;sans-serif"/>
                  <w:b w:val="false"/>
                  <w:strike w:val="false"/>
                  <w:dstrike w:val="false"/>
                  <w:color w:val="000000"/>
                  <w:sz w:val="20"/>
                  <w:u w:val="none"/>
                  <w:effect w:val="none"/>
                </w:rPr>
                <w:t>12.    Income Taxes</w:t>
              </w:r>
            </w:hyperlink>
          </w:p>
        </w:tc>
        <w:tc>
          <w:tcPr>
            <w:tcW w:w="706"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6d4cc79f40f2434aa3bbf6dd77d21d6b">
              <w:r>
                <w:rPr>
                  <w:rStyle w:val="InternetLink"/>
                  <w:rFonts w:ascii="Adelle Sans Light;sans-serif" w:hAnsi="Adelle Sans Light;sans-serif"/>
                  <w:b w:val="false"/>
                  <w:strike w:val="false"/>
                  <w:dstrike w:val="false"/>
                  <w:color w:val="000000"/>
                  <w:sz w:val="20"/>
                  <w:u w:val="none"/>
                  <w:effect w:val="none"/>
                </w:rPr>
                <w:t>23</w:t>
              </w:r>
            </w:hyperlink>
          </w:p>
        </w:tc>
      </w:tr>
      <w:tr>
        <w:trPr/>
        <w:tc>
          <w:tcPr>
            <w:tcW w:w="889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6fc43b7b0457464eb58d5d0813a809b8">
              <w:r>
                <w:rPr>
                  <w:rStyle w:val="InternetLink"/>
                  <w:rFonts w:ascii="Adelle Sans Light;sans-serif" w:hAnsi="Adelle Sans Light;sans-serif"/>
                  <w:b w:val="false"/>
                  <w:strike w:val="false"/>
                  <w:dstrike w:val="false"/>
                  <w:color w:val="000000"/>
                  <w:sz w:val="20"/>
                  <w:u w:val="none"/>
                  <w:effect w:val="none"/>
                </w:rPr>
                <w:t xml:space="preserve">13.    Net Income per Share </w:t>
              </w:r>
            </w:hyperlink>
          </w:p>
        </w:tc>
        <w:tc>
          <w:tcPr>
            <w:tcW w:w="706"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6fc43b7b0457464eb58d5d0813a809b8">
              <w:r>
                <w:rPr>
                  <w:rStyle w:val="InternetLink"/>
                  <w:rFonts w:ascii="Adelle Sans Light;sans-serif" w:hAnsi="Adelle Sans Light;sans-serif"/>
                  <w:b w:val="false"/>
                  <w:strike w:val="false"/>
                  <w:dstrike w:val="false"/>
                  <w:color w:val="000000"/>
                  <w:sz w:val="20"/>
                  <w:u w:val="none"/>
                  <w:effect w:val="none"/>
                </w:rPr>
                <w:t>24</w:t>
              </w:r>
            </w:hyperlink>
          </w:p>
        </w:tc>
      </w:tr>
      <w:tr>
        <w:trPr/>
        <w:tc>
          <w:tcPr>
            <w:tcW w:w="889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e9b971e6f29046eebd6a3d08f278ade1">
              <w:r>
                <w:rPr>
                  <w:rStyle w:val="InternetLink"/>
                  <w:rFonts w:ascii="Adelle Sans Light;sans-serif" w:hAnsi="Adelle Sans Light;sans-serif"/>
                  <w:b w:val="false"/>
                  <w:strike w:val="false"/>
                  <w:dstrike w:val="false"/>
                  <w:color w:val="000000"/>
                  <w:sz w:val="20"/>
                  <w:u w:val="none"/>
                  <w:effect w:val="none"/>
                </w:rPr>
                <w:t xml:space="preserve">14.    Segment and Geographical Information </w:t>
              </w:r>
            </w:hyperlink>
          </w:p>
        </w:tc>
        <w:tc>
          <w:tcPr>
            <w:tcW w:w="706"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e9b971e6f29046eebd6a3d08f278ade1">
              <w:r>
                <w:rPr>
                  <w:rStyle w:val="InternetLink"/>
                  <w:rFonts w:ascii="Adelle Sans Light;sans-serif" w:hAnsi="Adelle Sans Light;sans-serif"/>
                  <w:b w:val="false"/>
                  <w:strike w:val="false"/>
                  <w:dstrike w:val="false"/>
                  <w:color w:val="000000"/>
                  <w:sz w:val="20"/>
                  <w:u w:val="none"/>
                  <w:effect w:val="none"/>
                </w:rPr>
                <w:t>25</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7955"/>
                <wp:effectExtent l="0" t="0" r="0" b="0"/>
                <wp:wrapNone/>
                <wp:docPr id="6" name="Frame5"/>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200"/>
                              <w:jc w:val="center"/>
                              <w:rPr>
                                <w:rFonts w:ascii="Adelle Sans Light;sans-serif" w:hAnsi="Adelle Sans Light;sans-serif"/>
                                <w:b w:val="false"/>
                                <w:color w:val="000000"/>
                                <w:sz w:val="20"/>
                              </w:rPr>
                            </w:pPr>
                            <w:r>
                              <w:rPr>
                                <w:rFonts w:ascii="Adelle Sans Light;sans-serif" w:hAnsi="Adelle Sans Light;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Adelle Sans Light;sans-serif" w:hAnsi="Adelle Sans Light;sans-serif"/>
                          <w:b w:val="false"/>
                          <w:color w:val="000000"/>
                          <w:sz w:val="20"/>
                        </w:rPr>
                      </w:pPr>
                      <w:r>
                        <w:rPr>
                          <w:rFonts w:ascii="Adelle Sans Light;sans-serif" w:hAnsi="Adelle Sans Light;sans-serif"/>
                          <w:b w:val="false"/>
                          <w:color w:val="000000"/>
                          <w:sz w:val="20"/>
                        </w:rPr>
                        <w:t>5</w:t>
                      </w:r>
                    </w:p>
                  </w:txbxContent>
                </v:textbox>
                <w10:wrap type="none"/>
              </v:rect>
            </w:pict>
          </mc:Fallback>
        </mc:AlternateContent>
      </w:r>
    </w:p>
    <w:p>
      <w:pPr>
        <w:pStyle w:val="TextBody"/>
        <w:bidi w:val="0"/>
        <w:spacing w:before="0" w:after="200"/>
        <w:jc w:val="both"/>
        <w:rPr/>
      </w:pPr>
      <w:r>
        <w:rPr/>
      </w:r>
    </w:p>
    <w:p>
      <w:pPr>
        <w:pStyle w:val="TextBody"/>
        <w:bidi w:val="0"/>
        <w:spacing w:lineRule="auto" w:line="288" w:before="0" w:after="0"/>
        <w:jc w:val="left"/>
        <w:rPr>
          <w:rFonts w:ascii="Adelle Sans;sans-serif" w:hAnsi="Adelle Sans;sans-serif"/>
          <w:b/>
          <w:color w:val="000000"/>
          <w:sz w:val="20"/>
        </w:rPr>
      </w:pPr>
      <w:bookmarkStart w:id="4" w:name="ibfd115c2fc524784898dd729621fcc37"/>
      <w:bookmarkEnd w:id="4"/>
      <w:r>
        <w:rPr>
          <w:rFonts w:ascii="Adelle Sans;sans-serif" w:hAnsi="Adelle Sans;sans-serif"/>
          <w:b/>
          <w:color w:val="000000"/>
          <w:sz w:val="20"/>
        </w:rPr>
        <w:t xml:space="preserve">Shopify Inc. </w:t>
      </w:r>
    </w:p>
    <w:p>
      <w:pPr>
        <w:pStyle w:val="TextBody"/>
        <w:bidi w:val="0"/>
        <w:spacing w:lineRule="auto" w:line="288" w:before="0" w:after="0"/>
        <w:jc w:val="left"/>
        <w:rPr>
          <w:rFonts w:ascii="Adelle Sans;sans-serif" w:hAnsi="Adelle Sans;sans-serif"/>
          <w:b/>
          <w:color w:val="000000"/>
          <w:sz w:val="20"/>
        </w:rPr>
      </w:pPr>
      <w:bookmarkStart w:id="5" w:name="i2a9b7ebca45a45ea86067ee43feebd79"/>
      <w:bookmarkEnd w:id="5"/>
      <w:r>
        <w:rPr>
          <w:rFonts w:ascii="Adelle Sans;sans-serif" w:hAnsi="Adelle Sans;sans-serif"/>
          <w:b/>
          <w:color w:val="000000"/>
          <w:sz w:val="20"/>
        </w:rPr>
        <w:t>Condensed Consolidated Balance Sheets</w:t>
      </w:r>
    </w:p>
    <w:p>
      <w:pPr>
        <w:pStyle w:val="TextBody"/>
        <w:bidi w:val="0"/>
        <w:spacing w:lineRule="auto" w:line="288" w:before="0" w:after="0"/>
        <w:jc w:val="both"/>
        <w:rPr>
          <w:rFonts w:ascii="Adelle Sans;sans-serif" w:hAnsi="Adelle Sans;sans-serif"/>
          <w:b/>
          <w:color w:val="000000"/>
          <w:sz w:val="20"/>
        </w:rPr>
      </w:pPr>
      <w:r>
        <w:rPr>
          <w:rFonts w:ascii="Adelle Sans;sans-serif" w:hAnsi="Adelle Sans;sans-serif"/>
          <w:b/>
          <w:color w:val="000000"/>
          <w:sz w:val="20"/>
        </w:rPr>
        <w:t>(unaudited)</w:t>
      </w:r>
    </w:p>
    <w:p>
      <w:pPr>
        <w:pStyle w:val="TextBody"/>
        <w:bidi w:val="0"/>
        <w:spacing w:lineRule="auto" w:line="288" w:before="0" w:after="0"/>
        <w:jc w:val="both"/>
        <w:rPr>
          <w:rFonts w:ascii="Adelle Sans Light;sans-serif" w:hAnsi="Adelle Sans Light;sans-serif"/>
          <w:b w:val="false"/>
          <w:color w:val="000000"/>
          <w:sz w:val="18"/>
        </w:rPr>
      </w:pPr>
      <w:r>
        <w:rPr>
          <w:rFonts w:ascii="Adelle Sans Light;sans-serif" w:hAnsi="Adelle Sans Light;sans-serif"/>
          <w:b w:val="false"/>
          <w:color w:val="000000"/>
          <w:sz w:val="18"/>
        </w:rPr>
        <w:t>(Expressed in US $ millions, except share amounts)</w:t>
      </w:r>
    </w:p>
    <w:tbl>
      <w:tblPr>
        <w:tblW w:w="10205" w:type="dxa"/>
        <w:jc w:val="center"/>
        <w:tblInd w:w="0" w:type="dxa"/>
        <w:tblLayout w:type="fixed"/>
        <w:tblCellMar>
          <w:top w:w="28" w:type="dxa"/>
          <w:left w:w="28" w:type="dxa"/>
          <w:bottom w:w="28" w:type="dxa"/>
          <w:right w:w="28" w:type="dxa"/>
        </w:tblCellMar>
      </w:tblPr>
      <w:tblGrid>
        <w:gridCol w:w="3012"/>
        <w:gridCol w:w="2195"/>
        <w:gridCol w:w="2233"/>
        <w:gridCol w:w="427"/>
        <w:gridCol w:w="253"/>
        <w:gridCol w:w="254"/>
        <w:gridCol w:w="109"/>
        <w:gridCol w:w="109"/>
        <w:gridCol w:w="109"/>
        <w:gridCol w:w="448"/>
        <w:gridCol w:w="448"/>
        <w:gridCol w:w="449"/>
        <w:gridCol w:w="159"/>
      </w:tblGrid>
      <w:tr>
        <w:trPr/>
        <w:tc>
          <w:tcPr>
            <w:tcW w:w="3012" w:type="dxa"/>
            <w:tcBorders/>
            <w:vAlign w:val="center"/>
          </w:tcPr>
          <w:p>
            <w:pPr>
              <w:pStyle w:val="TableContents"/>
              <w:bidi w:val="0"/>
              <w:spacing w:before="0" w:after="283"/>
              <w:jc w:val="left"/>
              <w:rPr>
                <w:sz w:val="4"/>
                <w:szCs w:val="4"/>
              </w:rPr>
            </w:pPr>
            <w:r>
              <w:rPr>
                <w:sz w:val="4"/>
                <w:szCs w:val="4"/>
              </w:rPr>
            </w:r>
          </w:p>
        </w:tc>
        <w:tc>
          <w:tcPr>
            <w:tcW w:w="2195" w:type="dxa"/>
            <w:tcBorders/>
            <w:vAlign w:val="center"/>
          </w:tcPr>
          <w:p>
            <w:pPr>
              <w:pStyle w:val="TableContents"/>
              <w:bidi w:val="0"/>
              <w:spacing w:before="0" w:after="283"/>
              <w:jc w:val="left"/>
              <w:rPr>
                <w:sz w:val="4"/>
                <w:szCs w:val="4"/>
              </w:rPr>
            </w:pPr>
            <w:r>
              <w:rPr>
                <w:sz w:val="4"/>
                <w:szCs w:val="4"/>
              </w:rPr>
            </w:r>
          </w:p>
        </w:tc>
        <w:tc>
          <w:tcPr>
            <w:tcW w:w="2233"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7440"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3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delle Sans;sans-serif" w:hAnsi="Adelle Sans;sans-serif"/>
                <w:b/>
                <w:color w:val="000000"/>
                <w:sz w:val="18"/>
              </w:rPr>
            </w:pPr>
            <w:r>
              <w:rPr>
                <w:rFonts w:ascii="Adelle Sans;sans-serif" w:hAnsi="Adelle Sans;sans-serif"/>
                <w:b/>
                <w:color w:val="000000"/>
                <w:sz w:val="18"/>
              </w:rPr>
              <w:t>June 30, 2026</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delle Sans;sans-serif" w:hAnsi="Adelle Sans;sans-serif"/>
                <w:b/>
                <w:color w:val="000000"/>
                <w:sz w:val="18"/>
              </w:rPr>
            </w:pPr>
            <w:r>
              <w:rPr>
                <w:rFonts w:ascii="Adelle Sans;sans-serif" w:hAnsi="Adelle Sans;sans-serif"/>
                <w:b/>
                <w:color w:val="000000"/>
                <w:sz w:val="18"/>
              </w:rPr>
              <w:t>December 31, 2025</w:t>
            </w:r>
          </w:p>
        </w:tc>
        <w:tc>
          <w:tcPr>
            <w:tcW w:w="159" w:type="dxa"/>
            <w:tcBorders/>
            <w:vAlign w:val="center"/>
          </w:tcPr>
          <w:p>
            <w:pPr>
              <w:pStyle w:val="TableContents"/>
              <w:bidi w:val="0"/>
              <w:spacing w:before="0" w:after="283"/>
              <w:jc w:val="left"/>
              <w:rPr>
                <w:sz w:val="4"/>
                <w:szCs w:val="4"/>
              </w:rPr>
            </w:pPr>
            <w:r>
              <w:rPr>
                <w:sz w:val="4"/>
                <w:szCs w:val="4"/>
              </w:rPr>
            </w:r>
          </w:p>
        </w:tc>
      </w:tr>
      <w:tr>
        <w:trPr/>
        <w:tc>
          <w:tcPr>
            <w:tcW w:w="7440"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delle Sans;sans-serif" w:hAnsi="Adelle Sans;sans-serif"/>
                <w:b/>
                <w:color w:val="000000"/>
                <w:sz w:val="18"/>
              </w:rPr>
            </w:pPr>
            <w:r>
              <w:rPr>
                <w:rFonts w:ascii="Adelle Sans;sans-serif" w:hAnsi="Adelle Sans;sans-serif"/>
                <w:b/>
                <w:color w:val="000000"/>
                <w:sz w:val="18"/>
              </w:rPr>
              <w:t>Assets</w:t>
            </w:r>
          </w:p>
        </w:tc>
        <w:tc>
          <w:tcPr>
            <w:tcW w:w="93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7440" w:type="dxa"/>
            <w:gridSpan w:val="3"/>
            <w:tcBorders/>
            <w:shd w:fill="F7F7F7" w:val="clear"/>
            <w:tcMar>
              <w:top w:w="0" w:type="dxa"/>
              <w:left w:w="0" w:type="dxa"/>
              <w:bottom w:w="0" w:type="dxa"/>
              <w:right w:w="0" w:type="dxa"/>
            </w:tcMar>
            <w:vAlign w:val="center"/>
          </w:tcPr>
          <w:p>
            <w:pPr>
              <w:pStyle w:val="TableContents"/>
              <w:bidi w:val="0"/>
              <w:spacing w:lineRule="auto" w:line="240" w:before="0" w:after="283"/>
              <w:jc w:val="left"/>
              <w:rPr>
                <w:rFonts w:ascii="Adelle Sans;sans-serif" w:hAnsi="Adelle Sans;sans-serif"/>
                <w:b/>
                <w:color w:val="000000"/>
                <w:sz w:val="18"/>
              </w:rPr>
            </w:pPr>
            <w:r>
              <w:rPr>
                <w:rFonts w:ascii="Adelle Sans;sans-serif" w:hAnsi="Adelle Sans;sans-serif"/>
                <w:b/>
                <w:color w:val="000000"/>
                <w:sz w:val="18"/>
              </w:rPr>
              <w:t>Current assets</w:t>
            </w:r>
          </w:p>
        </w:tc>
        <w:tc>
          <w:tcPr>
            <w:tcW w:w="934"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74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delle Sans;sans-serif" w:hAnsi="Adelle Sans;sans-serif"/>
                <w:b w:val="false"/>
                <w:color w:val="000000"/>
                <w:sz w:val="18"/>
              </w:rPr>
            </w:pPr>
            <w:r>
              <w:rPr>
                <w:rFonts w:ascii="Adelle Sans;sans-serif" w:hAnsi="Adelle Sans;sans-serif"/>
                <w:b w:val="false"/>
                <w:color w:val="000000"/>
                <w:sz w:val="18"/>
              </w:rPr>
              <w:t>Cash and cash equivalents</w:t>
            </w:r>
          </w:p>
        </w:tc>
        <w:tc>
          <w:tcPr>
            <w:tcW w:w="9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1,656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1,545</w:t>
            </w:r>
          </w:p>
        </w:tc>
        <w:tc>
          <w:tcPr>
            <w:tcW w:w="159" w:type="dxa"/>
            <w:tcBorders/>
            <w:vAlign w:val="center"/>
          </w:tcPr>
          <w:p>
            <w:pPr>
              <w:pStyle w:val="TableContents"/>
              <w:bidi w:val="0"/>
              <w:spacing w:before="0" w:after="283"/>
              <w:jc w:val="left"/>
              <w:rPr>
                <w:sz w:val="4"/>
                <w:szCs w:val="4"/>
              </w:rPr>
            </w:pPr>
            <w:r>
              <w:rPr>
                <w:sz w:val="4"/>
                <w:szCs w:val="4"/>
              </w:rPr>
            </w:r>
          </w:p>
        </w:tc>
      </w:tr>
      <w:tr>
        <w:trPr/>
        <w:tc>
          <w:tcPr>
            <w:tcW w:w="7440" w:type="dxa"/>
            <w:gridSpan w:val="3"/>
            <w:tcBorders/>
            <w:shd w:fill="F7F7F7" w:val="clear"/>
            <w:tcMar>
              <w:top w:w="0" w:type="dxa"/>
              <w:left w:w="0" w:type="dxa"/>
              <w:bottom w:w="0" w:type="dxa"/>
              <w:right w:w="0" w:type="dxa"/>
            </w:tcMar>
            <w:vAlign w:val="center"/>
          </w:tcPr>
          <w:p>
            <w:pPr>
              <w:pStyle w:val="TableContents"/>
              <w:bidi w:val="0"/>
              <w:spacing w:lineRule="auto" w:line="240" w:before="0" w:after="283"/>
              <w:jc w:val="left"/>
              <w:rPr>
                <w:rFonts w:ascii="Adelle Sans;sans-serif" w:hAnsi="Adelle Sans;sans-serif"/>
                <w:b w:val="false"/>
                <w:color w:val="000000"/>
                <w:sz w:val="18"/>
              </w:rPr>
            </w:pPr>
            <w:r>
              <w:rPr>
                <w:rFonts w:ascii="Adelle Sans;sans-serif" w:hAnsi="Adelle Sans;sans-serif"/>
                <w:b w:val="false"/>
                <w:color w:val="000000"/>
                <w:sz w:val="18"/>
              </w:rPr>
              <w:t>Marketable securities</w:t>
            </w:r>
          </w:p>
        </w:tc>
        <w:tc>
          <w:tcPr>
            <w:tcW w:w="934" w:type="dxa"/>
            <w:gridSpan w:val="3"/>
            <w:tcBorders/>
            <w:shd w:fill="F7F7F7"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3,291</w:t>
            </w:r>
          </w:p>
        </w:tc>
        <w:tc>
          <w:tcPr>
            <w:tcW w:w="327"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3"/>
            <w:tcBorders/>
            <w:shd w:fill="F7F7F7"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4,233</w:t>
            </w:r>
          </w:p>
        </w:tc>
        <w:tc>
          <w:tcPr>
            <w:tcW w:w="159" w:type="dxa"/>
            <w:tcBorders/>
            <w:vAlign w:val="center"/>
          </w:tcPr>
          <w:p>
            <w:pPr>
              <w:pStyle w:val="TableContents"/>
              <w:bidi w:val="0"/>
              <w:spacing w:before="0" w:after="283"/>
              <w:jc w:val="left"/>
              <w:rPr>
                <w:sz w:val="4"/>
                <w:szCs w:val="4"/>
              </w:rPr>
            </w:pPr>
            <w:r>
              <w:rPr>
                <w:sz w:val="4"/>
                <w:szCs w:val="4"/>
              </w:rPr>
            </w:r>
          </w:p>
        </w:tc>
      </w:tr>
      <w:tr>
        <w:trPr/>
        <w:tc>
          <w:tcPr>
            <w:tcW w:w="74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delle Sans;sans-serif" w:hAnsi="Adelle Sans;sans-serif"/>
                <w:b w:val="false"/>
                <w:color w:val="000000"/>
                <w:sz w:val="18"/>
              </w:rPr>
            </w:pPr>
            <w:r>
              <w:rPr>
                <w:rFonts w:ascii="Adelle Sans;sans-serif" w:hAnsi="Adelle Sans;sans-serif"/>
                <w:b w:val="false"/>
                <w:color w:val="000000"/>
                <w:sz w:val="18"/>
              </w:rPr>
              <w:t>Trade and other receivables, net</w:t>
            </w:r>
          </w:p>
        </w:tc>
        <w:tc>
          <w:tcPr>
            <w:tcW w:w="9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466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500</w:t>
            </w:r>
          </w:p>
        </w:tc>
        <w:tc>
          <w:tcPr>
            <w:tcW w:w="159" w:type="dxa"/>
            <w:tcBorders/>
            <w:vAlign w:val="center"/>
          </w:tcPr>
          <w:p>
            <w:pPr>
              <w:pStyle w:val="TableContents"/>
              <w:bidi w:val="0"/>
              <w:spacing w:before="0" w:after="283"/>
              <w:jc w:val="left"/>
              <w:rPr>
                <w:sz w:val="4"/>
                <w:szCs w:val="4"/>
              </w:rPr>
            </w:pPr>
            <w:r>
              <w:rPr>
                <w:sz w:val="4"/>
                <w:szCs w:val="4"/>
              </w:rPr>
            </w:r>
          </w:p>
        </w:tc>
      </w:tr>
      <w:tr>
        <w:trPr/>
        <w:tc>
          <w:tcPr>
            <w:tcW w:w="7440" w:type="dxa"/>
            <w:gridSpan w:val="3"/>
            <w:tcBorders/>
            <w:shd w:fill="F7F7F7" w:val="clear"/>
            <w:tcMar>
              <w:top w:w="0" w:type="dxa"/>
              <w:left w:w="0" w:type="dxa"/>
              <w:bottom w:w="0" w:type="dxa"/>
              <w:right w:w="0" w:type="dxa"/>
            </w:tcMar>
            <w:vAlign w:val="center"/>
          </w:tcPr>
          <w:p>
            <w:pPr>
              <w:pStyle w:val="TableContents"/>
              <w:bidi w:val="0"/>
              <w:spacing w:lineRule="auto" w:line="240" w:before="0" w:after="283"/>
              <w:jc w:val="left"/>
              <w:rPr>
                <w:rFonts w:ascii="Adelle Sans;sans-serif" w:hAnsi="Adelle Sans;sans-serif"/>
                <w:b w:val="false"/>
                <w:color w:val="000000"/>
                <w:sz w:val="18"/>
              </w:rPr>
            </w:pPr>
            <w:r>
              <w:rPr>
                <w:rFonts w:ascii="Adelle Sans;sans-serif" w:hAnsi="Adelle Sans;sans-serif"/>
                <w:b w:val="false"/>
                <w:color w:val="000000"/>
                <w:sz w:val="18"/>
              </w:rPr>
              <w:t>Loans and merchant cash advances, net</w:t>
            </w:r>
          </w:p>
        </w:tc>
        <w:tc>
          <w:tcPr>
            <w:tcW w:w="934" w:type="dxa"/>
            <w:gridSpan w:val="3"/>
            <w:tcBorders/>
            <w:shd w:fill="F7F7F7"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2,184</w:t>
            </w:r>
          </w:p>
        </w:tc>
        <w:tc>
          <w:tcPr>
            <w:tcW w:w="327"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3"/>
            <w:tcBorders/>
            <w:shd w:fill="F7F7F7"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1,784</w:t>
            </w:r>
          </w:p>
        </w:tc>
        <w:tc>
          <w:tcPr>
            <w:tcW w:w="159" w:type="dxa"/>
            <w:tcBorders/>
            <w:vAlign w:val="center"/>
          </w:tcPr>
          <w:p>
            <w:pPr>
              <w:pStyle w:val="TableContents"/>
              <w:bidi w:val="0"/>
              <w:spacing w:before="0" w:after="283"/>
              <w:jc w:val="left"/>
              <w:rPr>
                <w:sz w:val="4"/>
                <w:szCs w:val="4"/>
              </w:rPr>
            </w:pPr>
            <w:r>
              <w:rPr>
                <w:sz w:val="4"/>
                <w:szCs w:val="4"/>
              </w:rPr>
            </w:r>
          </w:p>
        </w:tc>
      </w:tr>
      <w:tr>
        <w:trPr/>
        <w:tc>
          <w:tcPr>
            <w:tcW w:w="74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delle Sans;sans-serif" w:hAnsi="Adelle Sans;sans-serif"/>
                <w:b w:val="false"/>
                <w:color w:val="000000"/>
                <w:sz w:val="18"/>
              </w:rPr>
            </w:pPr>
            <w:r>
              <w:rPr>
                <w:rFonts w:ascii="Adelle Sans;sans-serif" w:hAnsi="Adelle Sans;sans-serif"/>
                <w:b w:val="false"/>
                <w:color w:val="000000"/>
                <w:sz w:val="18"/>
              </w:rPr>
              <w:t>Other current assets</w:t>
            </w:r>
          </w:p>
        </w:tc>
        <w:tc>
          <w:tcPr>
            <w:tcW w:w="9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219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234</w:t>
            </w:r>
          </w:p>
        </w:tc>
        <w:tc>
          <w:tcPr>
            <w:tcW w:w="159" w:type="dxa"/>
            <w:tcBorders/>
            <w:vAlign w:val="center"/>
          </w:tcPr>
          <w:p>
            <w:pPr>
              <w:pStyle w:val="TableContents"/>
              <w:bidi w:val="0"/>
              <w:spacing w:before="0" w:after="283"/>
              <w:jc w:val="left"/>
              <w:rPr>
                <w:sz w:val="4"/>
                <w:szCs w:val="4"/>
              </w:rPr>
            </w:pPr>
            <w:r>
              <w:rPr>
                <w:sz w:val="4"/>
                <w:szCs w:val="4"/>
              </w:rPr>
            </w:r>
          </w:p>
        </w:tc>
      </w:tr>
      <w:tr>
        <w:trPr/>
        <w:tc>
          <w:tcPr>
            <w:tcW w:w="7440"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3"/>
            <w:tcBorders>
              <w:top w:val="single" w:sz="4" w:space="0" w:color="000000"/>
            </w:tcBorders>
            <w:shd w:fill="F7F7F7" w:val="clear"/>
            <w:tcMar>
              <w:top w:w="52"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7,816</w:t>
            </w:r>
          </w:p>
        </w:tc>
        <w:tc>
          <w:tcPr>
            <w:tcW w:w="327" w:type="dxa"/>
            <w:gridSpan w:val="3"/>
            <w:tcBorders>
              <w:top w:val="single" w:sz="4" w:space="0" w:color="000000"/>
            </w:tcBorders>
            <w:shd w:fill="F7F7F7"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3"/>
            <w:tcBorders>
              <w:top w:val="single" w:sz="4" w:space="0" w:color="000000"/>
            </w:tcBorders>
            <w:shd w:fill="F7F7F7" w:val="clear"/>
            <w:tcMar>
              <w:top w:w="52"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8,296</w:t>
            </w:r>
          </w:p>
        </w:tc>
        <w:tc>
          <w:tcPr>
            <w:tcW w:w="159" w:type="dxa"/>
            <w:tcBorders/>
            <w:vAlign w:val="center"/>
          </w:tcPr>
          <w:p>
            <w:pPr>
              <w:pStyle w:val="TableContents"/>
              <w:bidi w:val="0"/>
              <w:spacing w:before="0" w:after="283"/>
              <w:jc w:val="left"/>
              <w:rPr>
                <w:sz w:val="4"/>
                <w:szCs w:val="4"/>
              </w:rPr>
            </w:pPr>
            <w:r>
              <w:rPr>
                <w:sz w:val="4"/>
                <w:szCs w:val="4"/>
              </w:rPr>
            </w:r>
          </w:p>
        </w:tc>
      </w:tr>
      <w:tr>
        <w:trPr/>
        <w:tc>
          <w:tcPr>
            <w:tcW w:w="74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delle Sans;sans-serif" w:hAnsi="Adelle Sans;sans-serif"/>
                <w:b/>
                <w:color w:val="000000"/>
                <w:sz w:val="18"/>
              </w:rPr>
            </w:pPr>
            <w:r>
              <w:rPr>
                <w:rFonts w:ascii="Adelle Sans;sans-serif" w:hAnsi="Adelle Sans;sans-serif"/>
                <w:b/>
                <w:color w:val="000000"/>
                <w:sz w:val="18"/>
              </w:rPr>
              <w:t>Long-term assets</w:t>
            </w:r>
          </w:p>
        </w:tc>
        <w:tc>
          <w:tcPr>
            <w:tcW w:w="934"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7440" w:type="dxa"/>
            <w:gridSpan w:val="3"/>
            <w:tcBorders/>
            <w:shd w:fill="F7F7F7" w:val="clear"/>
            <w:tcMar>
              <w:top w:w="0" w:type="dxa"/>
              <w:left w:w="0" w:type="dxa"/>
              <w:bottom w:w="0" w:type="dxa"/>
              <w:right w:w="0" w:type="dxa"/>
            </w:tcMar>
            <w:vAlign w:val="center"/>
          </w:tcPr>
          <w:p>
            <w:pPr>
              <w:pStyle w:val="TableContents"/>
              <w:bidi w:val="0"/>
              <w:spacing w:lineRule="auto" w:line="240" w:before="0" w:after="283"/>
              <w:jc w:val="left"/>
              <w:rPr>
                <w:rFonts w:ascii="Adelle Sans;sans-serif" w:hAnsi="Adelle Sans;sans-serif"/>
                <w:b w:val="false"/>
                <w:color w:val="000000"/>
                <w:sz w:val="18"/>
              </w:rPr>
            </w:pPr>
            <w:r>
              <w:rPr>
                <w:rFonts w:ascii="Adelle Sans;sans-serif" w:hAnsi="Adelle Sans;sans-serif"/>
                <w:b w:val="false"/>
                <w:color w:val="000000"/>
                <w:sz w:val="18"/>
              </w:rPr>
              <w:t>Property and equipment, net</w:t>
            </w:r>
          </w:p>
        </w:tc>
        <w:tc>
          <w:tcPr>
            <w:tcW w:w="934" w:type="dxa"/>
            <w:gridSpan w:val="3"/>
            <w:tcBorders/>
            <w:shd w:fill="F7F7F7"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53</w:t>
            </w:r>
          </w:p>
        </w:tc>
        <w:tc>
          <w:tcPr>
            <w:tcW w:w="327"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3"/>
            <w:tcBorders/>
            <w:shd w:fill="F7F7F7"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53</w:t>
            </w:r>
          </w:p>
        </w:tc>
        <w:tc>
          <w:tcPr>
            <w:tcW w:w="159" w:type="dxa"/>
            <w:tcBorders/>
            <w:vAlign w:val="center"/>
          </w:tcPr>
          <w:p>
            <w:pPr>
              <w:pStyle w:val="TableContents"/>
              <w:bidi w:val="0"/>
              <w:spacing w:before="0" w:after="283"/>
              <w:jc w:val="left"/>
              <w:rPr>
                <w:sz w:val="4"/>
                <w:szCs w:val="4"/>
              </w:rPr>
            </w:pPr>
            <w:r>
              <w:rPr>
                <w:sz w:val="4"/>
                <w:szCs w:val="4"/>
              </w:rPr>
            </w:r>
          </w:p>
        </w:tc>
      </w:tr>
      <w:tr>
        <w:trPr/>
        <w:tc>
          <w:tcPr>
            <w:tcW w:w="74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delle Sans;sans-serif" w:hAnsi="Adelle Sans;sans-serif"/>
                <w:b w:val="false"/>
                <w:color w:val="000000"/>
                <w:sz w:val="18"/>
              </w:rPr>
            </w:pPr>
            <w:r>
              <w:rPr>
                <w:rFonts w:ascii="Adelle Sans;sans-serif" w:hAnsi="Adelle Sans;sans-serif"/>
                <w:b w:val="false"/>
                <w:color w:val="000000"/>
                <w:sz w:val="18"/>
              </w:rPr>
              <w:t>Operating lease right-of-use assets, net</w:t>
            </w:r>
          </w:p>
        </w:tc>
        <w:tc>
          <w:tcPr>
            <w:tcW w:w="9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90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88</w:t>
            </w:r>
          </w:p>
        </w:tc>
        <w:tc>
          <w:tcPr>
            <w:tcW w:w="159" w:type="dxa"/>
            <w:tcBorders/>
            <w:vAlign w:val="center"/>
          </w:tcPr>
          <w:p>
            <w:pPr>
              <w:pStyle w:val="TableContents"/>
              <w:bidi w:val="0"/>
              <w:spacing w:before="0" w:after="283"/>
              <w:jc w:val="left"/>
              <w:rPr>
                <w:sz w:val="4"/>
                <w:szCs w:val="4"/>
              </w:rPr>
            </w:pPr>
            <w:r>
              <w:rPr>
                <w:sz w:val="4"/>
                <w:szCs w:val="4"/>
              </w:rPr>
            </w:r>
          </w:p>
        </w:tc>
      </w:tr>
      <w:tr>
        <w:trPr/>
        <w:tc>
          <w:tcPr>
            <w:tcW w:w="7440" w:type="dxa"/>
            <w:gridSpan w:val="3"/>
            <w:tcBorders/>
            <w:shd w:fill="F7F7F7" w:val="clear"/>
            <w:tcMar>
              <w:top w:w="0" w:type="dxa"/>
              <w:left w:w="0" w:type="dxa"/>
              <w:bottom w:w="0" w:type="dxa"/>
              <w:right w:w="0" w:type="dxa"/>
            </w:tcMar>
            <w:vAlign w:val="center"/>
          </w:tcPr>
          <w:p>
            <w:pPr>
              <w:pStyle w:val="TableContents"/>
              <w:bidi w:val="0"/>
              <w:spacing w:lineRule="auto" w:line="240" w:before="0" w:after="283"/>
              <w:jc w:val="left"/>
              <w:rPr>
                <w:rFonts w:ascii="Adelle Sans;sans-serif" w:hAnsi="Adelle Sans;sans-serif"/>
                <w:b w:val="false"/>
                <w:color w:val="000000"/>
                <w:sz w:val="18"/>
              </w:rPr>
            </w:pPr>
            <w:r>
              <w:rPr>
                <w:rFonts w:ascii="Adelle Sans;sans-serif" w:hAnsi="Adelle Sans;sans-serif"/>
                <w:b w:val="false"/>
                <w:color w:val="000000"/>
                <w:sz w:val="18"/>
              </w:rPr>
              <w:t>Intangible assets, net</w:t>
            </w:r>
          </w:p>
        </w:tc>
        <w:tc>
          <w:tcPr>
            <w:tcW w:w="934" w:type="dxa"/>
            <w:gridSpan w:val="3"/>
            <w:tcBorders/>
            <w:shd w:fill="F7F7F7"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27</w:t>
            </w:r>
          </w:p>
        </w:tc>
        <w:tc>
          <w:tcPr>
            <w:tcW w:w="327"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3"/>
            <w:tcBorders/>
            <w:shd w:fill="F7F7F7"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30</w:t>
            </w:r>
          </w:p>
        </w:tc>
        <w:tc>
          <w:tcPr>
            <w:tcW w:w="159" w:type="dxa"/>
            <w:tcBorders/>
            <w:vAlign w:val="center"/>
          </w:tcPr>
          <w:p>
            <w:pPr>
              <w:pStyle w:val="TableContents"/>
              <w:bidi w:val="0"/>
              <w:spacing w:before="0" w:after="283"/>
              <w:jc w:val="left"/>
              <w:rPr>
                <w:sz w:val="4"/>
                <w:szCs w:val="4"/>
              </w:rPr>
            </w:pPr>
            <w:r>
              <w:rPr>
                <w:sz w:val="4"/>
                <w:szCs w:val="4"/>
              </w:rPr>
            </w:r>
          </w:p>
        </w:tc>
      </w:tr>
      <w:tr>
        <w:trPr/>
        <w:tc>
          <w:tcPr>
            <w:tcW w:w="74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delle Sans;sans-serif" w:hAnsi="Adelle Sans;sans-serif"/>
                <w:b w:val="false"/>
                <w:color w:val="000000"/>
                <w:sz w:val="18"/>
              </w:rPr>
            </w:pPr>
            <w:r>
              <w:rPr>
                <w:rFonts w:ascii="Adelle Sans;sans-serif" w:hAnsi="Adelle Sans;sans-serif"/>
                <w:b w:val="false"/>
                <w:color w:val="000000"/>
                <w:sz w:val="18"/>
              </w:rPr>
              <w:t>Deferred tax assets</w:t>
            </w:r>
          </w:p>
        </w:tc>
        <w:tc>
          <w:tcPr>
            <w:tcW w:w="9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33</w:t>
            </w:r>
          </w:p>
        </w:tc>
        <w:tc>
          <w:tcPr>
            <w:tcW w:w="159" w:type="dxa"/>
            <w:tcBorders/>
            <w:vAlign w:val="center"/>
          </w:tcPr>
          <w:p>
            <w:pPr>
              <w:pStyle w:val="TableContents"/>
              <w:bidi w:val="0"/>
              <w:spacing w:before="0" w:after="283"/>
              <w:jc w:val="left"/>
              <w:rPr>
                <w:sz w:val="4"/>
                <w:szCs w:val="4"/>
              </w:rPr>
            </w:pPr>
            <w:r>
              <w:rPr>
                <w:sz w:val="4"/>
                <w:szCs w:val="4"/>
              </w:rPr>
            </w:r>
          </w:p>
        </w:tc>
      </w:tr>
      <w:tr>
        <w:trPr/>
        <w:tc>
          <w:tcPr>
            <w:tcW w:w="7440" w:type="dxa"/>
            <w:gridSpan w:val="3"/>
            <w:tcBorders/>
            <w:shd w:fill="F7F7F7" w:val="clear"/>
            <w:tcMar>
              <w:top w:w="0" w:type="dxa"/>
              <w:left w:w="0" w:type="dxa"/>
              <w:bottom w:w="0" w:type="dxa"/>
              <w:right w:w="0" w:type="dxa"/>
            </w:tcMar>
            <w:vAlign w:val="center"/>
          </w:tcPr>
          <w:p>
            <w:pPr>
              <w:pStyle w:val="TableContents"/>
              <w:bidi w:val="0"/>
              <w:spacing w:lineRule="auto" w:line="240" w:before="0" w:after="283"/>
              <w:jc w:val="left"/>
              <w:rPr>
                <w:rFonts w:ascii="Adelle Sans;sans-serif" w:hAnsi="Adelle Sans;sans-serif"/>
                <w:b w:val="false"/>
                <w:color w:val="000000"/>
                <w:sz w:val="18"/>
              </w:rPr>
            </w:pPr>
            <w:r>
              <w:rPr>
                <w:rFonts w:ascii="Adelle Sans;sans-serif" w:hAnsi="Adelle Sans;sans-serif"/>
                <w:b w:val="false"/>
                <w:color w:val="000000"/>
                <w:sz w:val="18"/>
              </w:rPr>
              <w:t>Other long-term assets</w:t>
            </w:r>
          </w:p>
        </w:tc>
        <w:tc>
          <w:tcPr>
            <w:tcW w:w="934" w:type="dxa"/>
            <w:gridSpan w:val="3"/>
            <w:tcBorders/>
            <w:shd w:fill="F7F7F7"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25</w:t>
            </w:r>
          </w:p>
        </w:tc>
        <w:tc>
          <w:tcPr>
            <w:tcW w:w="327"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3"/>
            <w:tcBorders/>
            <w:shd w:fill="F7F7F7"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39</w:t>
            </w:r>
          </w:p>
        </w:tc>
        <w:tc>
          <w:tcPr>
            <w:tcW w:w="159" w:type="dxa"/>
            <w:tcBorders/>
            <w:vAlign w:val="center"/>
          </w:tcPr>
          <w:p>
            <w:pPr>
              <w:pStyle w:val="TableContents"/>
              <w:bidi w:val="0"/>
              <w:spacing w:before="0" w:after="283"/>
              <w:jc w:val="left"/>
              <w:rPr>
                <w:sz w:val="4"/>
                <w:szCs w:val="4"/>
              </w:rPr>
            </w:pPr>
            <w:r>
              <w:rPr>
                <w:sz w:val="4"/>
                <w:szCs w:val="4"/>
              </w:rPr>
            </w:r>
          </w:p>
        </w:tc>
      </w:tr>
      <w:tr>
        <w:trPr/>
        <w:tc>
          <w:tcPr>
            <w:tcW w:w="74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delle Sans;sans-serif" w:hAnsi="Adelle Sans;sans-serif"/>
                <w:b w:val="false"/>
                <w:color w:val="000000"/>
                <w:sz w:val="18"/>
              </w:rPr>
            </w:pPr>
            <w:r>
              <w:rPr>
                <w:rFonts w:ascii="Adelle Sans;sans-serif" w:hAnsi="Adelle Sans;sans-serif"/>
                <w:b w:val="false"/>
                <w:color w:val="000000"/>
                <w:sz w:val="18"/>
              </w:rPr>
              <w:t>Long-term investments</w:t>
            </w:r>
          </w:p>
        </w:tc>
        <w:tc>
          <w:tcPr>
            <w:tcW w:w="9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525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975</w:t>
            </w:r>
          </w:p>
        </w:tc>
        <w:tc>
          <w:tcPr>
            <w:tcW w:w="159" w:type="dxa"/>
            <w:tcBorders/>
            <w:vAlign w:val="center"/>
          </w:tcPr>
          <w:p>
            <w:pPr>
              <w:pStyle w:val="TableContents"/>
              <w:bidi w:val="0"/>
              <w:spacing w:before="0" w:after="283"/>
              <w:jc w:val="left"/>
              <w:rPr>
                <w:sz w:val="4"/>
                <w:szCs w:val="4"/>
              </w:rPr>
            </w:pPr>
            <w:r>
              <w:rPr>
                <w:sz w:val="4"/>
                <w:szCs w:val="4"/>
              </w:rPr>
            </w:r>
          </w:p>
        </w:tc>
      </w:tr>
      <w:tr>
        <w:trPr/>
        <w:tc>
          <w:tcPr>
            <w:tcW w:w="7440" w:type="dxa"/>
            <w:gridSpan w:val="3"/>
            <w:tcBorders/>
            <w:shd w:fill="F7F7F7" w:val="clear"/>
            <w:tcMar>
              <w:top w:w="0" w:type="dxa"/>
              <w:left w:w="0" w:type="dxa"/>
              <w:bottom w:w="0" w:type="dxa"/>
              <w:right w:w="0" w:type="dxa"/>
            </w:tcMar>
            <w:vAlign w:val="center"/>
          </w:tcPr>
          <w:p>
            <w:pPr>
              <w:pStyle w:val="TableContents"/>
              <w:bidi w:val="0"/>
              <w:spacing w:lineRule="auto" w:line="240" w:before="0" w:after="0"/>
              <w:jc w:val="left"/>
              <w:rPr>
                <w:rFonts w:ascii="Adelle Sans;sans-serif" w:hAnsi="Adelle Sans;sans-serif"/>
                <w:b w:val="false"/>
                <w:color w:val="000000"/>
                <w:sz w:val="18"/>
              </w:rPr>
            </w:pPr>
            <w:r>
              <w:rPr>
                <w:rFonts w:ascii="Adelle Sans;sans-serif" w:hAnsi="Adelle Sans;sans-serif"/>
                <w:b w:val="false"/>
                <w:color w:val="000000"/>
                <w:sz w:val="18"/>
              </w:rPr>
              <w:t>Equity and other investments ($3,299 and $3,619, carried at fair value)</w:t>
            </w:r>
          </w:p>
        </w:tc>
        <w:tc>
          <w:tcPr>
            <w:tcW w:w="934" w:type="dxa"/>
            <w:gridSpan w:val="3"/>
            <w:tcBorders/>
            <w:shd w:fill="F7F7F7"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4,854</w:t>
            </w:r>
          </w:p>
        </w:tc>
        <w:tc>
          <w:tcPr>
            <w:tcW w:w="327"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3"/>
            <w:tcBorders/>
            <w:shd w:fill="F7F7F7"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4,582</w:t>
            </w:r>
          </w:p>
        </w:tc>
        <w:tc>
          <w:tcPr>
            <w:tcW w:w="159" w:type="dxa"/>
            <w:tcBorders/>
            <w:vAlign w:val="center"/>
          </w:tcPr>
          <w:p>
            <w:pPr>
              <w:pStyle w:val="TableContents"/>
              <w:bidi w:val="0"/>
              <w:spacing w:before="0" w:after="283"/>
              <w:jc w:val="left"/>
              <w:rPr>
                <w:sz w:val="4"/>
                <w:szCs w:val="4"/>
              </w:rPr>
            </w:pPr>
            <w:r>
              <w:rPr>
                <w:sz w:val="4"/>
                <w:szCs w:val="4"/>
              </w:rPr>
            </w:r>
          </w:p>
        </w:tc>
      </w:tr>
      <w:tr>
        <w:trPr/>
        <w:tc>
          <w:tcPr>
            <w:tcW w:w="74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delle Sans;sans-serif" w:hAnsi="Adelle Sans;sans-serif"/>
                <w:b w:val="false"/>
                <w:color w:val="000000"/>
                <w:sz w:val="18"/>
              </w:rPr>
            </w:pPr>
            <w:r>
              <w:rPr>
                <w:rFonts w:ascii="Adelle Sans;sans-serif" w:hAnsi="Adelle Sans;sans-serif"/>
                <w:b w:val="false"/>
                <w:color w:val="000000"/>
                <w:sz w:val="18"/>
              </w:rPr>
              <w:t>Equity method investment</w:t>
            </w:r>
          </w:p>
        </w:tc>
        <w:tc>
          <w:tcPr>
            <w:tcW w:w="9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559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602</w:t>
            </w:r>
          </w:p>
        </w:tc>
        <w:tc>
          <w:tcPr>
            <w:tcW w:w="159" w:type="dxa"/>
            <w:tcBorders/>
            <w:vAlign w:val="center"/>
          </w:tcPr>
          <w:p>
            <w:pPr>
              <w:pStyle w:val="TableContents"/>
              <w:bidi w:val="0"/>
              <w:spacing w:before="0" w:after="283"/>
              <w:jc w:val="left"/>
              <w:rPr>
                <w:sz w:val="4"/>
                <w:szCs w:val="4"/>
              </w:rPr>
            </w:pPr>
            <w:r>
              <w:rPr>
                <w:sz w:val="4"/>
                <w:szCs w:val="4"/>
              </w:rPr>
            </w:r>
          </w:p>
        </w:tc>
      </w:tr>
      <w:tr>
        <w:trPr/>
        <w:tc>
          <w:tcPr>
            <w:tcW w:w="7440" w:type="dxa"/>
            <w:gridSpan w:val="3"/>
            <w:tcBorders/>
            <w:shd w:fill="F7F7F7" w:val="clear"/>
            <w:tcMar>
              <w:top w:w="0" w:type="dxa"/>
              <w:left w:w="0" w:type="dxa"/>
              <w:bottom w:w="0" w:type="dxa"/>
              <w:right w:w="0" w:type="dxa"/>
            </w:tcMar>
            <w:vAlign w:val="center"/>
          </w:tcPr>
          <w:p>
            <w:pPr>
              <w:pStyle w:val="TableContents"/>
              <w:bidi w:val="0"/>
              <w:spacing w:lineRule="auto" w:line="240" w:before="0" w:after="283"/>
              <w:jc w:val="left"/>
              <w:rPr>
                <w:rFonts w:ascii="Adelle Sans;sans-serif" w:hAnsi="Adelle Sans;sans-serif"/>
                <w:b w:val="false"/>
                <w:color w:val="000000"/>
                <w:sz w:val="18"/>
              </w:rPr>
            </w:pPr>
            <w:r>
              <w:rPr>
                <w:rFonts w:ascii="Adelle Sans;sans-serif" w:hAnsi="Adelle Sans;sans-serif"/>
                <w:b w:val="false"/>
                <w:color w:val="000000"/>
                <w:sz w:val="18"/>
              </w:rPr>
              <w:t>Goodwill</w:t>
            </w:r>
          </w:p>
        </w:tc>
        <w:tc>
          <w:tcPr>
            <w:tcW w:w="934" w:type="dxa"/>
            <w:gridSpan w:val="3"/>
            <w:tcBorders/>
            <w:shd w:fill="F7F7F7"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491</w:t>
            </w:r>
          </w:p>
        </w:tc>
        <w:tc>
          <w:tcPr>
            <w:tcW w:w="327"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3"/>
            <w:tcBorders/>
            <w:shd w:fill="F7F7F7"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491</w:t>
            </w:r>
          </w:p>
        </w:tc>
        <w:tc>
          <w:tcPr>
            <w:tcW w:w="159" w:type="dxa"/>
            <w:tcBorders/>
            <w:vAlign w:val="center"/>
          </w:tcPr>
          <w:p>
            <w:pPr>
              <w:pStyle w:val="TableContents"/>
              <w:bidi w:val="0"/>
              <w:spacing w:before="0" w:after="283"/>
              <w:jc w:val="left"/>
              <w:rPr>
                <w:sz w:val="4"/>
                <w:szCs w:val="4"/>
              </w:rPr>
            </w:pPr>
            <w:r>
              <w:rPr>
                <w:sz w:val="4"/>
                <w:szCs w:val="4"/>
              </w:rPr>
            </w:r>
          </w:p>
        </w:tc>
      </w:tr>
      <w:tr>
        <w:trPr/>
        <w:tc>
          <w:tcPr>
            <w:tcW w:w="74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3"/>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6,654</w:t>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3"/>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6,893</w:t>
            </w:r>
          </w:p>
        </w:tc>
        <w:tc>
          <w:tcPr>
            <w:tcW w:w="159" w:type="dxa"/>
            <w:tcBorders/>
            <w:vAlign w:val="center"/>
          </w:tcPr>
          <w:p>
            <w:pPr>
              <w:pStyle w:val="TableContents"/>
              <w:bidi w:val="0"/>
              <w:spacing w:before="0" w:after="283"/>
              <w:jc w:val="left"/>
              <w:rPr>
                <w:sz w:val="4"/>
                <w:szCs w:val="4"/>
              </w:rPr>
            </w:pPr>
            <w:r>
              <w:rPr>
                <w:sz w:val="4"/>
                <w:szCs w:val="4"/>
              </w:rPr>
            </w:r>
          </w:p>
        </w:tc>
      </w:tr>
      <w:tr>
        <w:trPr/>
        <w:tc>
          <w:tcPr>
            <w:tcW w:w="7440" w:type="dxa"/>
            <w:gridSpan w:val="3"/>
            <w:tcBorders/>
            <w:shd w:fill="F7F7F7" w:val="clear"/>
            <w:tcMar>
              <w:top w:w="0" w:type="dxa"/>
              <w:left w:w="0" w:type="dxa"/>
              <w:bottom w:w="0" w:type="dxa"/>
              <w:right w:w="0" w:type="dxa"/>
            </w:tcMar>
            <w:vAlign w:val="center"/>
          </w:tcPr>
          <w:p>
            <w:pPr>
              <w:pStyle w:val="TableContents"/>
              <w:bidi w:val="0"/>
              <w:spacing w:lineRule="auto" w:line="240" w:before="0" w:after="283"/>
              <w:jc w:val="left"/>
              <w:rPr>
                <w:rFonts w:ascii="Adelle Sans;sans-serif" w:hAnsi="Adelle Sans;sans-serif"/>
                <w:b/>
                <w:color w:val="000000"/>
                <w:sz w:val="18"/>
              </w:rPr>
            </w:pPr>
            <w:r>
              <w:rPr>
                <w:rFonts w:ascii="Adelle Sans;sans-serif" w:hAnsi="Adelle Sans;sans-serif"/>
                <w:b/>
                <w:color w:val="000000"/>
                <w:sz w:val="18"/>
              </w:rPr>
              <w:t>Total assets</w:t>
            </w:r>
          </w:p>
        </w:tc>
        <w:tc>
          <w:tcPr>
            <w:tcW w:w="934" w:type="dxa"/>
            <w:gridSpan w:val="3"/>
            <w:tcBorders>
              <w:top w:val="single" w:sz="8" w:space="0" w:color="000000"/>
            </w:tcBorders>
            <w:shd w:fill="F7F7F7" w:val="clear"/>
            <w:tcMar>
              <w:top w:w="52"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color w:val="000000"/>
                <w:sz w:val="18"/>
              </w:rPr>
            </w:pPr>
            <w:r>
              <w:rPr>
                <w:rFonts w:ascii="Adelle Sans;sans-serif" w:hAnsi="Adelle Sans;sans-serif"/>
                <w:b/>
                <w:color w:val="000000"/>
                <w:sz w:val="18"/>
              </w:rPr>
              <w:t>14,470</w:t>
            </w:r>
          </w:p>
        </w:tc>
        <w:tc>
          <w:tcPr>
            <w:tcW w:w="327" w:type="dxa"/>
            <w:gridSpan w:val="3"/>
            <w:tcBorders>
              <w:top w:val="single" w:sz="8" w:space="0" w:color="000000"/>
            </w:tcBorders>
            <w:shd w:fill="F7F7F7"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3"/>
            <w:tcBorders>
              <w:top w:val="single" w:sz="8" w:space="0" w:color="000000"/>
            </w:tcBorders>
            <w:shd w:fill="F7F7F7" w:val="clear"/>
            <w:tcMar>
              <w:top w:w="52"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color w:val="000000"/>
                <w:sz w:val="18"/>
              </w:rPr>
            </w:pPr>
            <w:r>
              <w:rPr>
                <w:rFonts w:ascii="Adelle Sans;sans-serif" w:hAnsi="Adelle Sans;sans-serif"/>
                <w:b/>
                <w:color w:val="000000"/>
                <w:sz w:val="18"/>
              </w:rPr>
              <w:t>15,189</w:t>
            </w:r>
          </w:p>
        </w:tc>
        <w:tc>
          <w:tcPr>
            <w:tcW w:w="159" w:type="dxa"/>
            <w:tcBorders/>
            <w:vAlign w:val="center"/>
          </w:tcPr>
          <w:p>
            <w:pPr>
              <w:pStyle w:val="TableContents"/>
              <w:bidi w:val="0"/>
              <w:spacing w:before="0" w:after="283"/>
              <w:jc w:val="left"/>
              <w:rPr>
                <w:sz w:val="4"/>
                <w:szCs w:val="4"/>
              </w:rPr>
            </w:pPr>
            <w:r>
              <w:rPr>
                <w:sz w:val="4"/>
                <w:szCs w:val="4"/>
              </w:rPr>
            </w:r>
          </w:p>
        </w:tc>
      </w:tr>
      <w:tr>
        <w:trPr/>
        <w:tc>
          <w:tcPr>
            <w:tcW w:w="7440"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delle Sans;sans-serif" w:hAnsi="Adelle Sans;sans-serif"/>
                <w:b/>
                <w:color w:val="000000"/>
                <w:sz w:val="18"/>
              </w:rPr>
            </w:pPr>
            <w:r>
              <w:rPr>
                <w:rFonts w:ascii="Adelle Sans;sans-serif" w:hAnsi="Adelle Sans;sans-serif"/>
                <w:b/>
                <w:color w:val="000000"/>
                <w:sz w:val="18"/>
              </w:rPr>
              <w:t>Liabilities and shareholders’ equity</w:t>
            </w:r>
          </w:p>
        </w:tc>
        <w:tc>
          <w:tcPr>
            <w:tcW w:w="93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7440" w:type="dxa"/>
            <w:gridSpan w:val="3"/>
            <w:tcBorders/>
            <w:shd w:fill="F7F7F7" w:val="clear"/>
            <w:tcMar>
              <w:top w:w="0" w:type="dxa"/>
              <w:left w:w="0" w:type="dxa"/>
              <w:bottom w:w="0" w:type="dxa"/>
              <w:right w:w="0" w:type="dxa"/>
            </w:tcMar>
            <w:vAlign w:val="center"/>
          </w:tcPr>
          <w:p>
            <w:pPr>
              <w:pStyle w:val="TableContents"/>
              <w:bidi w:val="0"/>
              <w:spacing w:lineRule="auto" w:line="240" w:before="0" w:after="283"/>
              <w:jc w:val="left"/>
              <w:rPr>
                <w:rFonts w:ascii="Adelle Sans;sans-serif" w:hAnsi="Adelle Sans;sans-serif"/>
                <w:b/>
                <w:color w:val="000000"/>
                <w:sz w:val="18"/>
              </w:rPr>
            </w:pPr>
            <w:r>
              <w:rPr>
                <w:rFonts w:ascii="Adelle Sans;sans-serif" w:hAnsi="Adelle Sans;sans-serif"/>
                <w:b/>
                <w:color w:val="000000"/>
                <w:sz w:val="18"/>
              </w:rPr>
              <w:t>Current liabilities</w:t>
            </w:r>
          </w:p>
        </w:tc>
        <w:tc>
          <w:tcPr>
            <w:tcW w:w="934"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74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delle Sans;sans-serif" w:hAnsi="Adelle Sans;sans-serif"/>
                <w:b w:val="false"/>
                <w:color w:val="000000"/>
                <w:sz w:val="18"/>
              </w:rPr>
            </w:pPr>
            <w:r>
              <w:rPr>
                <w:rFonts w:ascii="Adelle Sans;sans-serif" w:hAnsi="Adelle Sans;sans-serif"/>
                <w:b w:val="false"/>
                <w:color w:val="000000"/>
                <w:sz w:val="18"/>
              </w:rPr>
              <w:t>Accounts payable and accrued liabilities</w:t>
            </w:r>
          </w:p>
        </w:tc>
        <w:tc>
          <w:tcPr>
            <w:tcW w:w="9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1,115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1,075</w:t>
            </w:r>
          </w:p>
        </w:tc>
        <w:tc>
          <w:tcPr>
            <w:tcW w:w="159" w:type="dxa"/>
            <w:tcBorders/>
            <w:vAlign w:val="center"/>
          </w:tcPr>
          <w:p>
            <w:pPr>
              <w:pStyle w:val="TableContents"/>
              <w:bidi w:val="0"/>
              <w:spacing w:before="0" w:after="283"/>
              <w:jc w:val="left"/>
              <w:rPr>
                <w:sz w:val="4"/>
                <w:szCs w:val="4"/>
              </w:rPr>
            </w:pPr>
            <w:r>
              <w:rPr>
                <w:sz w:val="4"/>
                <w:szCs w:val="4"/>
              </w:rPr>
            </w:r>
          </w:p>
        </w:tc>
      </w:tr>
      <w:tr>
        <w:trPr/>
        <w:tc>
          <w:tcPr>
            <w:tcW w:w="7440" w:type="dxa"/>
            <w:gridSpan w:val="3"/>
            <w:tcBorders/>
            <w:shd w:fill="F7F7F7" w:val="clear"/>
            <w:tcMar>
              <w:top w:w="0" w:type="dxa"/>
              <w:left w:w="0" w:type="dxa"/>
              <w:bottom w:w="0" w:type="dxa"/>
              <w:right w:w="0" w:type="dxa"/>
            </w:tcMar>
            <w:vAlign w:val="center"/>
          </w:tcPr>
          <w:p>
            <w:pPr>
              <w:pStyle w:val="TableContents"/>
              <w:bidi w:val="0"/>
              <w:spacing w:lineRule="auto" w:line="240" w:before="0" w:after="283"/>
              <w:jc w:val="left"/>
              <w:rPr>
                <w:rFonts w:ascii="Adelle Sans;sans-serif" w:hAnsi="Adelle Sans;sans-serif"/>
                <w:b w:val="false"/>
                <w:color w:val="000000"/>
                <w:sz w:val="18"/>
              </w:rPr>
            </w:pPr>
            <w:r>
              <w:rPr>
                <w:rFonts w:ascii="Adelle Sans;sans-serif" w:hAnsi="Adelle Sans;sans-serif"/>
                <w:b w:val="false"/>
                <w:color w:val="000000"/>
                <w:sz w:val="18"/>
              </w:rPr>
              <w:t>Deferred revenue</w:t>
            </w:r>
          </w:p>
        </w:tc>
        <w:tc>
          <w:tcPr>
            <w:tcW w:w="934" w:type="dxa"/>
            <w:gridSpan w:val="3"/>
            <w:tcBorders/>
            <w:shd w:fill="F7F7F7"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335</w:t>
            </w:r>
          </w:p>
        </w:tc>
        <w:tc>
          <w:tcPr>
            <w:tcW w:w="327"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3"/>
            <w:tcBorders/>
            <w:shd w:fill="F7F7F7"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300</w:t>
            </w:r>
          </w:p>
        </w:tc>
        <w:tc>
          <w:tcPr>
            <w:tcW w:w="159" w:type="dxa"/>
            <w:tcBorders/>
            <w:vAlign w:val="center"/>
          </w:tcPr>
          <w:p>
            <w:pPr>
              <w:pStyle w:val="TableContents"/>
              <w:bidi w:val="0"/>
              <w:spacing w:before="0" w:after="283"/>
              <w:jc w:val="left"/>
              <w:rPr>
                <w:sz w:val="4"/>
                <w:szCs w:val="4"/>
              </w:rPr>
            </w:pPr>
            <w:r>
              <w:rPr>
                <w:sz w:val="4"/>
                <w:szCs w:val="4"/>
              </w:rPr>
            </w:r>
          </w:p>
        </w:tc>
      </w:tr>
      <w:tr>
        <w:trPr/>
        <w:tc>
          <w:tcPr>
            <w:tcW w:w="74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delle Sans;sans-serif" w:hAnsi="Adelle Sans;sans-serif"/>
                <w:b w:val="false"/>
                <w:color w:val="000000"/>
                <w:sz w:val="18"/>
              </w:rPr>
            </w:pPr>
            <w:r>
              <w:rPr>
                <w:rFonts w:ascii="Adelle Sans;sans-serif" w:hAnsi="Adelle Sans;sans-serif"/>
                <w:b w:val="false"/>
                <w:color w:val="000000"/>
                <w:sz w:val="18"/>
              </w:rPr>
              <w:t>Operating lease liabilities</w:t>
            </w:r>
          </w:p>
        </w:tc>
        <w:tc>
          <w:tcPr>
            <w:tcW w:w="9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10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17</w:t>
            </w:r>
          </w:p>
        </w:tc>
        <w:tc>
          <w:tcPr>
            <w:tcW w:w="159" w:type="dxa"/>
            <w:tcBorders/>
            <w:vAlign w:val="center"/>
          </w:tcPr>
          <w:p>
            <w:pPr>
              <w:pStyle w:val="TableContents"/>
              <w:bidi w:val="0"/>
              <w:spacing w:before="0" w:after="283"/>
              <w:jc w:val="left"/>
              <w:rPr>
                <w:sz w:val="4"/>
                <w:szCs w:val="4"/>
              </w:rPr>
            </w:pPr>
            <w:r>
              <w:rPr>
                <w:sz w:val="4"/>
                <w:szCs w:val="4"/>
              </w:rPr>
            </w:r>
          </w:p>
        </w:tc>
      </w:tr>
      <w:tr>
        <w:trPr/>
        <w:tc>
          <w:tcPr>
            <w:tcW w:w="7440" w:type="dxa"/>
            <w:gridSpan w:val="3"/>
            <w:tcBorders/>
            <w:vAlign w:val="center"/>
          </w:tcPr>
          <w:p>
            <w:pPr>
              <w:pStyle w:val="TableContents"/>
              <w:bidi w:val="0"/>
              <w:spacing w:before="0" w:after="283"/>
              <w:jc w:val="left"/>
              <w:rPr>
                <w:sz w:val="4"/>
                <w:szCs w:val="4"/>
              </w:rPr>
            </w:pPr>
            <w:r>
              <w:rPr>
                <w:sz w:val="4"/>
                <w:szCs w:val="4"/>
              </w:rPr>
            </w:r>
          </w:p>
        </w:tc>
        <w:tc>
          <w:tcPr>
            <w:tcW w:w="9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5" w:type="dxa"/>
            <w:gridSpan w:val="3"/>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7440"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3"/>
            <w:tcBorders>
              <w:top w:val="single" w:sz="4" w:space="0" w:color="000000"/>
            </w:tcBorders>
            <w:shd w:fill="F7F7F7" w:val="clear"/>
            <w:tcMar>
              <w:top w:w="52"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1,460</w:t>
            </w:r>
          </w:p>
        </w:tc>
        <w:tc>
          <w:tcPr>
            <w:tcW w:w="327" w:type="dxa"/>
            <w:gridSpan w:val="3"/>
            <w:tcBorders>
              <w:top w:val="single" w:sz="4" w:space="0" w:color="000000"/>
            </w:tcBorders>
            <w:shd w:fill="F7F7F7"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3"/>
            <w:tcBorders>
              <w:top w:val="single" w:sz="4" w:space="0" w:color="000000"/>
            </w:tcBorders>
            <w:shd w:fill="F7F7F7" w:val="clear"/>
            <w:tcMar>
              <w:top w:w="52"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1,392</w:t>
            </w:r>
          </w:p>
        </w:tc>
        <w:tc>
          <w:tcPr>
            <w:tcW w:w="159" w:type="dxa"/>
            <w:tcBorders/>
            <w:vAlign w:val="center"/>
          </w:tcPr>
          <w:p>
            <w:pPr>
              <w:pStyle w:val="TableContents"/>
              <w:bidi w:val="0"/>
              <w:spacing w:before="0" w:after="283"/>
              <w:jc w:val="left"/>
              <w:rPr>
                <w:sz w:val="4"/>
                <w:szCs w:val="4"/>
              </w:rPr>
            </w:pPr>
            <w:r>
              <w:rPr>
                <w:sz w:val="4"/>
                <w:szCs w:val="4"/>
              </w:rPr>
            </w:r>
          </w:p>
        </w:tc>
      </w:tr>
      <w:tr>
        <w:trPr/>
        <w:tc>
          <w:tcPr>
            <w:tcW w:w="74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delle Sans;sans-serif" w:hAnsi="Adelle Sans;sans-serif"/>
                <w:b/>
                <w:color w:val="000000"/>
                <w:sz w:val="18"/>
              </w:rPr>
            </w:pPr>
            <w:r>
              <w:rPr>
                <w:rFonts w:ascii="Adelle Sans;sans-serif" w:hAnsi="Adelle Sans;sans-serif"/>
                <w:b/>
                <w:color w:val="000000"/>
                <w:sz w:val="18"/>
              </w:rPr>
              <w:t>Long-term liabilities</w:t>
            </w:r>
          </w:p>
        </w:tc>
        <w:tc>
          <w:tcPr>
            <w:tcW w:w="934"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7440" w:type="dxa"/>
            <w:gridSpan w:val="3"/>
            <w:tcBorders/>
            <w:shd w:fill="F7F7F7" w:val="clear"/>
            <w:tcMar>
              <w:top w:w="0" w:type="dxa"/>
              <w:left w:w="0" w:type="dxa"/>
              <w:bottom w:w="0" w:type="dxa"/>
              <w:right w:w="0" w:type="dxa"/>
            </w:tcMar>
            <w:vAlign w:val="center"/>
          </w:tcPr>
          <w:p>
            <w:pPr>
              <w:pStyle w:val="TableContents"/>
              <w:bidi w:val="0"/>
              <w:spacing w:lineRule="auto" w:line="240" w:before="0" w:after="283"/>
              <w:jc w:val="left"/>
              <w:rPr>
                <w:rFonts w:ascii="Adelle Sans;sans-serif" w:hAnsi="Adelle Sans;sans-serif"/>
                <w:b w:val="false"/>
                <w:color w:val="000000"/>
                <w:sz w:val="18"/>
              </w:rPr>
            </w:pPr>
            <w:r>
              <w:rPr>
                <w:rFonts w:ascii="Adelle Sans;sans-serif" w:hAnsi="Adelle Sans;sans-serif"/>
                <w:b w:val="false"/>
                <w:color w:val="000000"/>
                <w:sz w:val="18"/>
              </w:rPr>
              <w:t>Deferred revenue</w:t>
            </w:r>
          </w:p>
        </w:tc>
        <w:tc>
          <w:tcPr>
            <w:tcW w:w="934" w:type="dxa"/>
            <w:gridSpan w:val="3"/>
            <w:tcBorders/>
            <w:shd w:fill="F7F7F7"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79</w:t>
            </w:r>
          </w:p>
        </w:tc>
        <w:tc>
          <w:tcPr>
            <w:tcW w:w="327"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3"/>
            <w:tcBorders/>
            <w:shd w:fill="F7F7F7"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98</w:t>
            </w:r>
          </w:p>
        </w:tc>
        <w:tc>
          <w:tcPr>
            <w:tcW w:w="159" w:type="dxa"/>
            <w:tcBorders/>
            <w:vAlign w:val="center"/>
          </w:tcPr>
          <w:p>
            <w:pPr>
              <w:pStyle w:val="TableContents"/>
              <w:bidi w:val="0"/>
              <w:spacing w:before="0" w:after="283"/>
              <w:jc w:val="left"/>
              <w:rPr>
                <w:sz w:val="4"/>
                <w:szCs w:val="4"/>
              </w:rPr>
            </w:pPr>
            <w:r>
              <w:rPr>
                <w:sz w:val="4"/>
                <w:szCs w:val="4"/>
              </w:rPr>
            </w:r>
          </w:p>
        </w:tc>
      </w:tr>
      <w:tr>
        <w:trPr/>
        <w:tc>
          <w:tcPr>
            <w:tcW w:w="74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delle Sans;sans-serif" w:hAnsi="Adelle Sans;sans-serif"/>
                <w:b w:val="false"/>
                <w:color w:val="000000"/>
                <w:sz w:val="18"/>
              </w:rPr>
            </w:pPr>
            <w:r>
              <w:rPr>
                <w:rFonts w:ascii="Adelle Sans;sans-serif" w:hAnsi="Adelle Sans;sans-serif"/>
                <w:b w:val="false"/>
                <w:color w:val="000000"/>
                <w:sz w:val="18"/>
              </w:rPr>
              <w:t>Operating lease liabilities</w:t>
            </w:r>
          </w:p>
        </w:tc>
        <w:tc>
          <w:tcPr>
            <w:tcW w:w="9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168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171</w:t>
            </w:r>
          </w:p>
        </w:tc>
        <w:tc>
          <w:tcPr>
            <w:tcW w:w="159" w:type="dxa"/>
            <w:tcBorders/>
            <w:vAlign w:val="center"/>
          </w:tcPr>
          <w:p>
            <w:pPr>
              <w:pStyle w:val="TableContents"/>
              <w:bidi w:val="0"/>
              <w:spacing w:before="0" w:after="283"/>
              <w:jc w:val="left"/>
              <w:rPr>
                <w:sz w:val="4"/>
                <w:szCs w:val="4"/>
              </w:rPr>
            </w:pPr>
            <w:r>
              <w:rPr>
                <w:sz w:val="4"/>
                <w:szCs w:val="4"/>
              </w:rPr>
            </w:r>
          </w:p>
        </w:tc>
      </w:tr>
      <w:tr>
        <w:trPr/>
        <w:tc>
          <w:tcPr>
            <w:tcW w:w="7440" w:type="dxa"/>
            <w:gridSpan w:val="3"/>
            <w:tcBorders/>
            <w:vAlign w:val="center"/>
          </w:tcPr>
          <w:p>
            <w:pPr>
              <w:pStyle w:val="TableContents"/>
              <w:bidi w:val="0"/>
              <w:spacing w:before="0" w:after="283"/>
              <w:jc w:val="left"/>
              <w:rPr>
                <w:sz w:val="4"/>
                <w:szCs w:val="4"/>
              </w:rPr>
            </w:pPr>
            <w:r>
              <w:rPr>
                <w:sz w:val="4"/>
                <w:szCs w:val="4"/>
              </w:rPr>
            </w:r>
          </w:p>
        </w:tc>
        <w:tc>
          <w:tcPr>
            <w:tcW w:w="9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5" w:type="dxa"/>
            <w:gridSpan w:val="3"/>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7440" w:type="dxa"/>
            <w:gridSpan w:val="3"/>
            <w:tcBorders/>
            <w:shd w:fill="F7F7F7" w:val="clear"/>
            <w:tcMar>
              <w:top w:w="0" w:type="dxa"/>
              <w:left w:w="0" w:type="dxa"/>
              <w:bottom w:w="0" w:type="dxa"/>
              <w:right w:w="0" w:type="dxa"/>
            </w:tcMar>
            <w:vAlign w:val="center"/>
          </w:tcPr>
          <w:p>
            <w:pPr>
              <w:pStyle w:val="TableContents"/>
              <w:bidi w:val="0"/>
              <w:spacing w:lineRule="auto" w:line="240" w:before="0" w:after="283"/>
              <w:jc w:val="left"/>
              <w:rPr>
                <w:rFonts w:ascii="Adelle Sans;sans-serif" w:hAnsi="Adelle Sans;sans-serif"/>
                <w:b w:val="false"/>
                <w:color w:val="000000"/>
                <w:sz w:val="18"/>
              </w:rPr>
            </w:pPr>
            <w:r>
              <w:rPr>
                <w:rFonts w:ascii="Adelle Sans;sans-serif" w:hAnsi="Adelle Sans;sans-serif"/>
                <w:b w:val="false"/>
                <w:color w:val="000000"/>
                <w:sz w:val="18"/>
              </w:rPr>
              <w:t>Deferred tax liabilities</w:t>
            </w:r>
          </w:p>
        </w:tc>
        <w:tc>
          <w:tcPr>
            <w:tcW w:w="934" w:type="dxa"/>
            <w:gridSpan w:val="3"/>
            <w:tcBorders/>
            <w:shd w:fill="F7F7F7"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79</w:t>
            </w:r>
          </w:p>
        </w:tc>
        <w:tc>
          <w:tcPr>
            <w:tcW w:w="327"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3"/>
            <w:tcBorders/>
            <w:shd w:fill="F7F7F7"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55</w:t>
            </w:r>
          </w:p>
        </w:tc>
        <w:tc>
          <w:tcPr>
            <w:tcW w:w="159" w:type="dxa"/>
            <w:tcBorders/>
            <w:vAlign w:val="center"/>
          </w:tcPr>
          <w:p>
            <w:pPr>
              <w:pStyle w:val="TableContents"/>
              <w:bidi w:val="0"/>
              <w:spacing w:before="0" w:after="283"/>
              <w:jc w:val="left"/>
              <w:rPr>
                <w:sz w:val="4"/>
                <w:szCs w:val="4"/>
              </w:rPr>
            </w:pPr>
            <w:r>
              <w:rPr>
                <w:sz w:val="4"/>
                <w:szCs w:val="4"/>
              </w:rPr>
            </w:r>
          </w:p>
        </w:tc>
      </w:tr>
      <w:tr>
        <w:trPr/>
        <w:tc>
          <w:tcPr>
            <w:tcW w:w="7440" w:type="dxa"/>
            <w:gridSpan w:val="3"/>
            <w:tcBorders/>
            <w:vAlign w:val="center"/>
          </w:tcPr>
          <w:p>
            <w:pPr>
              <w:pStyle w:val="TableContents"/>
              <w:bidi w:val="0"/>
              <w:spacing w:before="0" w:after="283"/>
              <w:jc w:val="left"/>
              <w:rPr>
                <w:sz w:val="4"/>
                <w:szCs w:val="4"/>
              </w:rPr>
            </w:pPr>
            <w:r>
              <w:rPr>
                <w:sz w:val="4"/>
                <w:szCs w:val="4"/>
              </w:rPr>
            </w:r>
          </w:p>
        </w:tc>
        <w:tc>
          <w:tcPr>
            <w:tcW w:w="9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5" w:type="dxa"/>
            <w:gridSpan w:val="3"/>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74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3"/>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326</w:t>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3"/>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324</w:t>
            </w:r>
          </w:p>
        </w:tc>
        <w:tc>
          <w:tcPr>
            <w:tcW w:w="159" w:type="dxa"/>
            <w:tcBorders/>
            <w:vAlign w:val="center"/>
          </w:tcPr>
          <w:p>
            <w:pPr>
              <w:pStyle w:val="TableContents"/>
              <w:bidi w:val="0"/>
              <w:spacing w:before="0" w:after="283"/>
              <w:jc w:val="left"/>
              <w:rPr>
                <w:sz w:val="4"/>
                <w:szCs w:val="4"/>
              </w:rPr>
            </w:pPr>
            <w:r>
              <w:rPr>
                <w:sz w:val="4"/>
                <w:szCs w:val="4"/>
              </w:rPr>
            </w:r>
          </w:p>
        </w:tc>
      </w:tr>
      <w:tr>
        <w:trPr/>
        <w:tc>
          <w:tcPr>
            <w:tcW w:w="7440" w:type="dxa"/>
            <w:gridSpan w:val="3"/>
            <w:tcBorders/>
            <w:shd w:fill="F7F7F7" w:val="clear"/>
            <w:tcMar>
              <w:top w:w="0" w:type="dxa"/>
              <w:left w:w="0" w:type="dxa"/>
              <w:bottom w:w="0" w:type="dxa"/>
              <w:right w:w="0" w:type="dxa"/>
            </w:tcMar>
            <w:vAlign w:val="center"/>
          </w:tcPr>
          <w:p>
            <w:pPr>
              <w:pStyle w:val="TableContents"/>
              <w:bidi w:val="0"/>
              <w:spacing w:lineRule="auto" w:line="240" w:before="0" w:after="283"/>
              <w:jc w:val="left"/>
              <w:rPr>
                <w:rFonts w:ascii="Adelle Sans;sans-serif" w:hAnsi="Adelle Sans;sans-serif"/>
                <w:b/>
                <w:color w:val="000000"/>
                <w:sz w:val="18"/>
              </w:rPr>
            </w:pPr>
            <w:r>
              <w:rPr>
                <w:rFonts w:ascii="Adelle Sans;sans-serif" w:hAnsi="Adelle Sans;sans-serif"/>
                <w:b/>
                <w:color w:val="000000"/>
                <w:sz w:val="18"/>
              </w:rPr>
              <w:t>Contingencies (Note 8)</w:t>
            </w:r>
          </w:p>
        </w:tc>
        <w:tc>
          <w:tcPr>
            <w:tcW w:w="934" w:type="dxa"/>
            <w:gridSpan w:val="3"/>
            <w:tcBorders>
              <w:top w:val="single" w:sz="4" w:space="0" w:color="000000"/>
            </w:tcBorders>
            <w:shd w:fill="F7F7F7"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7F7F7"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3"/>
            <w:tcBorders>
              <w:top w:val="single" w:sz="4" w:space="0" w:color="000000"/>
            </w:tcBorders>
            <w:shd w:fill="F7F7F7"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7440"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delle Sans;sans-serif" w:hAnsi="Adelle Sans;sans-serif"/>
                <w:b/>
                <w:color w:val="000000"/>
                <w:sz w:val="18"/>
              </w:rPr>
            </w:pPr>
            <w:r>
              <w:rPr>
                <w:rFonts w:ascii="Adelle Sans;sans-serif" w:hAnsi="Adelle Sans;sans-serif"/>
                <w:b/>
                <w:color w:val="000000"/>
                <w:sz w:val="18"/>
              </w:rPr>
              <w:t>Shareholders’ equity</w:t>
            </w:r>
          </w:p>
        </w:tc>
        <w:tc>
          <w:tcPr>
            <w:tcW w:w="93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7440" w:type="dxa"/>
            <w:gridSpan w:val="3"/>
            <w:tcBorders/>
            <w:shd w:fill="F7F7F7" w:val="clear"/>
            <w:tcMar>
              <w:top w:w="0" w:type="dxa"/>
              <w:left w:w="0" w:type="dxa"/>
              <w:bottom w:w="0" w:type="dxa"/>
              <w:right w:w="0" w:type="dxa"/>
            </w:tcMar>
            <w:vAlign w:val="center"/>
          </w:tcPr>
          <w:p>
            <w:pPr>
              <w:pStyle w:val="TableContents"/>
              <w:bidi w:val="0"/>
              <w:spacing w:lineRule="auto" w:line="240" w:before="0" w:after="0"/>
              <w:jc w:val="left"/>
              <w:rPr>
                <w:rFonts w:ascii="Adelle Sans;sans-serif" w:hAnsi="Adelle Sans;sans-serif"/>
                <w:b w:val="false"/>
                <w:color w:val="000000"/>
                <w:sz w:val="18"/>
              </w:rPr>
            </w:pPr>
            <w:r>
              <w:rPr>
                <w:rFonts w:ascii="Adelle Sans;sans-serif" w:hAnsi="Adelle Sans;sans-serif"/>
                <w:b w:val="false"/>
                <w:color w:val="000000"/>
                <w:sz w:val="18"/>
              </w:rPr>
              <w:t>Common stock, unlimited Class A subordinate voting shares authorized, 1,211,133,003 and 1,225,830,706, issued and outstanding; unlimited Class B restricted voting shares authorized, 78,073,584 and 78,073,594 issued and outstanding; 1 Founder Share authorized, 1 and 1 issued and outstanding</w:t>
            </w:r>
          </w:p>
        </w:tc>
        <w:tc>
          <w:tcPr>
            <w:tcW w:w="934" w:type="dxa"/>
            <w:gridSpan w:val="3"/>
            <w:tcBorders/>
            <w:shd w:fill="F7F7F7"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8,636</w:t>
            </w:r>
          </w:p>
        </w:tc>
        <w:tc>
          <w:tcPr>
            <w:tcW w:w="327"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3"/>
            <w:tcBorders/>
            <w:shd w:fill="F7F7F7"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10,376</w:t>
            </w:r>
          </w:p>
        </w:tc>
        <w:tc>
          <w:tcPr>
            <w:tcW w:w="159" w:type="dxa"/>
            <w:tcBorders/>
            <w:vAlign w:val="center"/>
          </w:tcPr>
          <w:p>
            <w:pPr>
              <w:pStyle w:val="TableContents"/>
              <w:bidi w:val="0"/>
              <w:spacing w:before="0" w:after="283"/>
              <w:jc w:val="left"/>
              <w:rPr>
                <w:sz w:val="4"/>
                <w:szCs w:val="4"/>
              </w:rPr>
            </w:pPr>
            <w:r>
              <w:rPr>
                <w:sz w:val="4"/>
                <w:szCs w:val="4"/>
              </w:rPr>
            </w:r>
          </w:p>
        </w:tc>
      </w:tr>
      <w:tr>
        <w:trPr/>
        <w:tc>
          <w:tcPr>
            <w:tcW w:w="74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delle Sans;sans-serif" w:hAnsi="Adelle Sans;sans-serif"/>
                <w:b w:val="false"/>
                <w:color w:val="000000"/>
                <w:sz w:val="18"/>
              </w:rPr>
            </w:pPr>
            <w:r>
              <w:rPr>
                <w:rFonts w:ascii="Adelle Sans;sans-serif" w:hAnsi="Adelle Sans;sans-serif"/>
                <w:b w:val="false"/>
                <w:color w:val="000000"/>
                <w:sz w:val="18"/>
              </w:rPr>
              <w:t>Additional paid-in capital</w:t>
            </w:r>
          </w:p>
        </w:tc>
        <w:tc>
          <w:tcPr>
            <w:tcW w:w="9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274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236</w:t>
            </w:r>
          </w:p>
        </w:tc>
        <w:tc>
          <w:tcPr>
            <w:tcW w:w="159" w:type="dxa"/>
            <w:tcBorders/>
            <w:vAlign w:val="center"/>
          </w:tcPr>
          <w:p>
            <w:pPr>
              <w:pStyle w:val="TableContents"/>
              <w:bidi w:val="0"/>
              <w:spacing w:before="0" w:after="283"/>
              <w:jc w:val="left"/>
              <w:rPr>
                <w:sz w:val="4"/>
                <w:szCs w:val="4"/>
              </w:rPr>
            </w:pPr>
            <w:r>
              <w:rPr>
                <w:sz w:val="4"/>
                <w:szCs w:val="4"/>
              </w:rPr>
            </w:r>
          </w:p>
        </w:tc>
      </w:tr>
      <w:tr>
        <w:trPr/>
        <w:tc>
          <w:tcPr>
            <w:tcW w:w="7440" w:type="dxa"/>
            <w:gridSpan w:val="3"/>
            <w:tcBorders/>
            <w:shd w:fill="F7F7F7" w:val="clear"/>
            <w:tcMar>
              <w:top w:w="0" w:type="dxa"/>
              <w:left w:w="0" w:type="dxa"/>
              <w:bottom w:w="0" w:type="dxa"/>
              <w:right w:w="0" w:type="dxa"/>
            </w:tcMar>
            <w:vAlign w:val="center"/>
          </w:tcPr>
          <w:p>
            <w:pPr>
              <w:pStyle w:val="TableContents"/>
              <w:bidi w:val="0"/>
              <w:spacing w:lineRule="auto" w:line="240" w:before="0" w:after="0"/>
              <w:jc w:val="left"/>
              <w:rPr>
                <w:rFonts w:ascii="Adelle Sans;sans-serif" w:hAnsi="Adelle Sans;sans-serif"/>
                <w:b w:val="false"/>
                <w:color w:val="000000"/>
                <w:sz w:val="18"/>
              </w:rPr>
            </w:pPr>
            <w:r>
              <w:rPr>
                <w:rFonts w:ascii="Adelle Sans;sans-serif" w:hAnsi="Adelle Sans;sans-serif"/>
                <w:b w:val="false"/>
                <w:color w:val="000000"/>
                <w:sz w:val="18"/>
              </w:rPr>
              <w:t>Accumulated other comprehensive (loss) income</w:t>
            </w:r>
          </w:p>
        </w:tc>
        <w:tc>
          <w:tcPr>
            <w:tcW w:w="934" w:type="dxa"/>
            <w:gridSpan w:val="3"/>
            <w:tcBorders/>
            <w:shd w:fill="F7F7F7"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(7)</w:t>
            </w:r>
          </w:p>
        </w:tc>
        <w:tc>
          <w:tcPr>
            <w:tcW w:w="327"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3"/>
            <w:tcBorders/>
            <w:shd w:fill="F7F7F7"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1</w:t>
            </w:r>
          </w:p>
        </w:tc>
        <w:tc>
          <w:tcPr>
            <w:tcW w:w="159" w:type="dxa"/>
            <w:tcBorders/>
            <w:vAlign w:val="center"/>
          </w:tcPr>
          <w:p>
            <w:pPr>
              <w:pStyle w:val="TableContents"/>
              <w:bidi w:val="0"/>
              <w:spacing w:before="0" w:after="283"/>
              <w:jc w:val="left"/>
              <w:rPr>
                <w:sz w:val="4"/>
                <w:szCs w:val="4"/>
              </w:rPr>
            </w:pPr>
            <w:r>
              <w:rPr>
                <w:sz w:val="4"/>
                <w:szCs w:val="4"/>
              </w:rPr>
            </w:r>
          </w:p>
        </w:tc>
      </w:tr>
      <w:tr>
        <w:trPr/>
        <w:tc>
          <w:tcPr>
            <w:tcW w:w="74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delle Sans;sans-serif" w:hAnsi="Adelle Sans;sans-serif"/>
                <w:b w:val="false"/>
                <w:color w:val="000000"/>
                <w:sz w:val="18"/>
              </w:rPr>
            </w:pPr>
            <w:r>
              <w:rPr>
                <w:rFonts w:ascii="Adelle Sans;sans-serif" w:hAnsi="Adelle Sans;sans-serif"/>
                <w:b w:val="false"/>
                <w:color w:val="000000"/>
                <w:sz w:val="18"/>
              </w:rPr>
              <w:t>Accumulated surplus</w:t>
            </w:r>
          </w:p>
        </w:tc>
        <w:tc>
          <w:tcPr>
            <w:tcW w:w="9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3,781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2,860</w:t>
            </w:r>
          </w:p>
        </w:tc>
        <w:tc>
          <w:tcPr>
            <w:tcW w:w="159" w:type="dxa"/>
            <w:tcBorders/>
            <w:vAlign w:val="center"/>
          </w:tcPr>
          <w:p>
            <w:pPr>
              <w:pStyle w:val="TableContents"/>
              <w:bidi w:val="0"/>
              <w:spacing w:before="0" w:after="283"/>
              <w:jc w:val="left"/>
              <w:rPr>
                <w:sz w:val="4"/>
                <w:szCs w:val="4"/>
              </w:rPr>
            </w:pPr>
            <w:r>
              <w:rPr>
                <w:sz w:val="4"/>
                <w:szCs w:val="4"/>
              </w:rPr>
            </w:r>
          </w:p>
        </w:tc>
      </w:tr>
      <w:tr>
        <w:trPr/>
        <w:tc>
          <w:tcPr>
            <w:tcW w:w="7440" w:type="dxa"/>
            <w:gridSpan w:val="3"/>
            <w:tcBorders/>
            <w:shd w:fill="F7F7F7" w:val="clear"/>
            <w:tcMar>
              <w:top w:w="0" w:type="dxa"/>
              <w:left w:w="0" w:type="dxa"/>
              <w:bottom w:w="0" w:type="dxa"/>
              <w:right w:w="0" w:type="dxa"/>
            </w:tcMar>
            <w:vAlign w:val="center"/>
          </w:tcPr>
          <w:p>
            <w:pPr>
              <w:pStyle w:val="TableContents"/>
              <w:bidi w:val="0"/>
              <w:spacing w:lineRule="auto" w:line="240" w:before="0" w:after="283"/>
              <w:jc w:val="left"/>
              <w:rPr>
                <w:rFonts w:ascii="Adelle Sans;sans-serif" w:hAnsi="Adelle Sans;sans-serif"/>
                <w:b w:val="false"/>
                <w:color w:val="000000"/>
                <w:sz w:val="18"/>
              </w:rPr>
            </w:pPr>
            <w:r>
              <w:rPr>
                <w:rFonts w:ascii="Adelle Sans;sans-serif" w:hAnsi="Adelle Sans;sans-serif"/>
                <w:b w:val="false"/>
                <w:color w:val="000000"/>
                <w:sz w:val="18"/>
              </w:rPr>
              <w:t>Total shareholders’ equity</w:t>
            </w:r>
          </w:p>
        </w:tc>
        <w:tc>
          <w:tcPr>
            <w:tcW w:w="934" w:type="dxa"/>
            <w:gridSpan w:val="3"/>
            <w:tcBorders>
              <w:top w:val="single" w:sz="4" w:space="0" w:color="000000"/>
            </w:tcBorders>
            <w:shd w:fill="F7F7F7" w:val="clear"/>
            <w:tcMar>
              <w:top w:w="52"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12,684</w:t>
            </w:r>
          </w:p>
        </w:tc>
        <w:tc>
          <w:tcPr>
            <w:tcW w:w="327" w:type="dxa"/>
            <w:gridSpan w:val="3"/>
            <w:tcBorders>
              <w:top w:val="single" w:sz="4" w:space="0" w:color="000000"/>
            </w:tcBorders>
            <w:shd w:fill="F7F7F7"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3"/>
            <w:tcBorders>
              <w:top w:val="single" w:sz="4" w:space="0" w:color="000000"/>
            </w:tcBorders>
            <w:shd w:fill="F7F7F7" w:val="clear"/>
            <w:tcMar>
              <w:top w:w="52"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13,473</w:t>
            </w:r>
          </w:p>
        </w:tc>
        <w:tc>
          <w:tcPr>
            <w:tcW w:w="159" w:type="dxa"/>
            <w:tcBorders/>
            <w:vAlign w:val="center"/>
          </w:tcPr>
          <w:p>
            <w:pPr>
              <w:pStyle w:val="TableContents"/>
              <w:bidi w:val="0"/>
              <w:spacing w:before="0" w:after="283"/>
              <w:jc w:val="left"/>
              <w:rPr>
                <w:sz w:val="4"/>
                <w:szCs w:val="4"/>
              </w:rPr>
            </w:pPr>
            <w:r>
              <w:rPr>
                <w:sz w:val="4"/>
                <w:szCs w:val="4"/>
              </w:rPr>
            </w:r>
          </w:p>
        </w:tc>
      </w:tr>
      <w:tr>
        <w:trPr/>
        <w:tc>
          <w:tcPr>
            <w:tcW w:w="7440"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delle Sans;sans-serif" w:hAnsi="Adelle Sans;sans-serif"/>
                <w:b/>
                <w:color w:val="000000"/>
                <w:sz w:val="18"/>
              </w:rPr>
            </w:pPr>
            <w:r>
              <w:rPr>
                <w:rFonts w:ascii="Adelle Sans;sans-serif" w:hAnsi="Adelle Sans;sans-serif"/>
                <w:b/>
                <w:color w:val="000000"/>
                <w:sz w:val="18"/>
              </w:rPr>
              <w:t>Total liabilities and shareholders’ equity</w:t>
            </w:r>
          </w:p>
        </w:tc>
        <w:tc>
          <w:tcPr>
            <w:tcW w:w="934"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color w:val="000000"/>
                <w:sz w:val="18"/>
              </w:rPr>
            </w:pPr>
            <w:r>
              <w:rPr>
                <w:rFonts w:ascii="Adelle Sans;sans-serif" w:hAnsi="Adelle Sans;sans-serif"/>
                <w:b/>
                <w:color w:val="000000"/>
                <w:sz w:val="18"/>
              </w:rPr>
              <w:t>14,470</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color w:val="000000"/>
                <w:sz w:val="18"/>
              </w:rPr>
            </w:pPr>
            <w:r>
              <w:rPr>
                <w:rFonts w:ascii="Adelle Sans;sans-serif" w:hAnsi="Adelle Sans;sans-serif"/>
                <w:b/>
                <w:color w:val="000000"/>
                <w:sz w:val="18"/>
              </w:rPr>
              <w:t>15,189</w:t>
            </w:r>
          </w:p>
        </w:tc>
        <w:tc>
          <w:tcPr>
            <w:tcW w:w="159"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jc w:val="both"/>
        <w:rPr>
          <w:rFonts w:ascii="Adelle Sans Light;sans-serif" w:hAnsi="Adelle Sans Light;sans-serif"/>
          <w:b w:val="false"/>
          <w:color w:val="000000"/>
          <w:sz w:val="18"/>
        </w:rPr>
      </w:pPr>
      <w:r>
        <w:rPr>
          <w:rFonts w:ascii="Adelle Sans Light;sans-serif" w:hAnsi="Adelle Sans Light;sans-serif"/>
          <w:b w:val="false"/>
          <w:color w:val="000000"/>
          <w:sz w:val="18"/>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7955"/>
                <wp:effectExtent l="0" t="0" r="0" b="0"/>
                <wp:wrapNone/>
                <wp:docPr id="7" name="Frame6"/>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200"/>
                              <w:jc w:val="center"/>
                              <w:rPr>
                                <w:rFonts w:ascii="Adelle Sans Light;sans-serif" w:hAnsi="Adelle Sans Light;sans-serif"/>
                                <w:b w:val="false"/>
                                <w:color w:val="000000"/>
                                <w:sz w:val="20"/>
                              </w:rPr>
                            </w:pPr>
                            <w:r>
                              <w:rPr>
                                <w:rFonts w:ascii="Adelle Sans Light;sans-serif" w:hAnsi="Adelle Sans Light;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Adelle Sans Light;sans-serif" w:hAnsi="Adelle Sans Light;sans-serif"/>
                          <w:b w:val="false"/>
                          <w:color w:val="000000"/>
                          <w:sz w:val="20"/>
                        </w:rPr>
                      </w:pPr>
                      <w:r>
                        <w:rPr>
                          <w:rFonts w:ascii="Adelle Sans Light;sans-serif" w:hAnsi="Adelle Sans Light;sans-serif"/>
                          <w:b w:val="false"/>
                          <w:color w:val="000000"/>
                          <w:sz w:val="20"/>
                        </w:rPr>
                        <w:t>6</w:t>
                      </w:r>
                    </w:p>
                  </w:txbxContent>
                </v:textbox>
                <w10:wrap type="none"/>
              </v:rect>
            </w:pict>
          </mc:Fallback>
        </mc:AlternateContent>
      </w:r>
    </w:p>
    <w:p>
      <w:pPr>
        <w:pStyle w:val="TextBody"/>
        <w:bidi w:val="0"/>
        <w:spacing w:before="0" w:after="200"/>
        <w:jc w:val="both"/>
        <w:rPr/>
      </w:pPr>
      <w:r>
        <w:rPr/>
      </w:r>
    </w:p>
    <w:p>
      <w:pPr>
        <w:pStyle w:val="TextBody"/>
        <w:bidi w:val="0"/>
        <w:spacing w:lineRule="auto" w:line="288" w:before="0" w:after="0"/>
        <w:jc w:val="left"/>
        <w:rPr>
          <w:rFonts w:ascii="Adelle Sans;sans-serif" w:hAnsi="Adelle Sans;sans-serif"/>
          <w:b/>
          <w:color w:val="000000"/>
          <w:sz w:val="20"/>
        </w:rPr>
      </w:pPr>
      <w:r>
        <w:rPr>
          <w:rFonts w:ascii="Adelle Sans;sans-serif" w:hAnsi="Adelle Sans;sans-serif"/>
          <w:b/>
          <w:color w:val="000000"/>
          <w:sz w:val="20"/>
        </w:rPr>
        <w:t xml:space="preserve">Shopify Inc. </w:t>
      </w:r>
    </w:p>
    <w:p>
      <w:pPr>
        <w:pStyle w:val="TextBody"/>
        <w:bidi w:val="0"/>
        <w:spacing w:lineRule="auto" w:line="288" w:before="0" w:after="0"/>
        <w:jc w:val="left"/>
        <w:rPr>
          <w:rFonts w:ascii="Adelle Sans;sans-serif" w:hAnsi="Adelle Sans;sans-serif"/>
          <w:b/>
          <w:color w:val="000000"/>
          <w:sz w:val="20"/>
        </w:rPr>
      </w:pPr>
      <w:bookmarkStart w:id="6" w:name="i9ac939a5e84f48989ce5c98acebe20e0"/>
      <w:bookmarkEnd w:id="6"/>
      <w:r>
        <w:rPr>
          <w:rFonts w:ascii="Adelle Sans;sans-serif" w:hAnsi="Adelle Sans;sans-serif"/>
          <w:b/>
          <w:color w:val="000000"/>
          <w:sz w:val="20"/>
        </w:rPr>
        <w:t>Condensed Consolidated Statements of Operations and Comprehensive Income</w:t>
      </w:r>
    </w:p>
    <w:p>
      <w:pPr>
        <w:pStyle w:val="TextBody"/>
        <w:bidi w:val="0"/>
        <w:spacing w:lineRule="auto" w:line="288" w:before="0" w:after="0"/>
        <w:jc w:val="left"/>
        <w:rPr>
          <w:rFonts w:ascii="Adelle Sans;sans-serif" w:hAnsi="Adelle Sans;sans-serif"/>
          <w:b/>
          <w:color w:val="000000"/>
          <w:sz w:val="20"/>
        </w:rPr>
      </w:pPr>
      <w:r>
        <w:rPr>
          <w:rFonts w:ascii="Adelle Sans;sans-serif" w:hAnsi="Adelle Sans;sans-serif"/>
          <w:b/>
          <w:color w:val="000000"/>
          <w:sz w:val="20"/>
        </w:rPr>
        <w:t>(unaudited)</w:t>
      </w:r>
    </w:p>
    <w:p>
      <w:pPr>
        <w:pStyle w:val="TextBody"/>
        <w:bidi w:val="0"/>
        <w:spacing w:lineRule="auto" w:line="288" w:before="0" w:after="0"/>
        <w:jc w:val="left"/>
        <w:rPr>
          <w:rFonts w:ascii="Adelle Sans Light;sans-serif" w:hAnsi="Adelle Sans Light;sans-serif"/>
          <w:b w:val="false"/>
          <w:color w:val="000000"/>
          <w:sz w:val="18"/>
        </w:rPr>
      </w:pPr>
      <w:r>
        <w:rPr>
          <w:rFonts w:ascii="Adelle Sans Light;sans-serif" w:hAnsi="Adelle Sans Light;sans-serif"/>
          <w:b w:val="false"/>
          <w:color w:val="000000"/>
          <w:sz w:val="18"/>
        </w:rPr>
        <w:t>(Expressed in US $ millions, except share and per share amounts)</w:t>
      </w:r>
    </w:p>
    <w:tbl>
      <w:tblPr>
        <w:tblW w:w="10205" w:type="dxa"/>
        <w:jc w:val="left"/>
        <w:tblInd w:w="0" w:type="dxa"/>
        <w:tblLayout w:type="fixed"/>
        <w:tblCellMar>
          <w:top w:w="28" w:type="dxa"/>
          <w:left w:w="28" w:type="dxa"/>
          <w:bottom w:w="28" w:type="dxa"/>
          <w:right w:w="28" w:type="dxa"/>
        </w:tblCellMar>
      </w:tblPr>
      <w:tblGrid>
        <w:gridCol w:w="1250"/>
        <w:gridCol w:w="755"/>
        <w:gridCol w:w="761"/>
        <w:gridCol w:w="364"/>
        <w:gridCol w:w="945"/>
        <w:gridCol w:w="177"/>
        <w:gridCol w:w="115"/>
        <w:gridCol w:w="115"/>
        <w:gridCol w:w="115"/>
        <w:gridCol w:w="364"/>
        <w:gridCol w:w="945"/>
        <w:gridCol w:w="177"/>
        <w:gridCol w:w="109"/>
        <w:gridCol w:w="109"/>
        <w:gridCol w:w="109"/>
        <w:gridCol w:w="364"/>
        <w:gridCol w:w="945"/>
        <w:gridCol w:w="177"/>
        <w:gridCol w:w="113"/>
        <w:gridCol w:w="113"/>
        <w:gridCol w:w="113"/>
        <w:gridCol w:w="364"/>
        <w:gridCol w:w="945"/>
        <w:gridCol w:w="177"/>
        <w:gridCol w:w="109"/>
        <w:gridCol w:w="109"/>
        <w:gridCol w:w="109"/>
        <w:gridCol w:w="157"/>
      </w:tblGrid>
      <w:tr>
        <w:trPr/>
        <w:tc>
          <w:tcPr>
            <w:tcW w:w="1250"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7"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delle Sans;sans-serif" w:hAnsi="Adelle Sans;sans-serif"/>
                <w:b/>
                <w:color w:val="000000"/>
                <w:sz w:val="18"/>
              </w:rPr>
            </w:pPr>
            <w:r>
              <w:rPr>
                <w:rFonts w:ascii="Adelle Sans;sans-serif" w:hAnsi="Adelle Sans;sans-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1"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delle Sans;sans-serif" w:hAnsi="Adelle Sans;sans-serif"/>
                <w:b/>
                <w:color w:val="000000"/>
                <w:sz w:val="18"/>
              </w:rPr>
            </w:pPr>
            <w:r>
              <w:rPr>
                <w:rFonts w:ascii="Adelle Sans;sans-serif" w:hAnsi="Adelle Sans;sans-serif"/>
                <w:b/>
                <w:color w:val="000000"/>
                <w:sz w:val="18"/>
              </w:rPr>
              <w:t>Six months ended June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 w:type="dxa"/>
            <w:gridSpan w:val="2"/>
            <w:tcBorders/>
          </w:tcPr>
          <w:p>
            <w:pPr>
              <w:pStyle w:val="TableContents"/>
              <w:bidi w:val="0"/>
              <w:spacing w:before="0" w:after="283"/>
              <w:jc w:val="left"/>
              <w:rPr>
                <w:sz w:val="4"/>
                <w:szCs w:val="4"/>
              </w:rPr>
            </w:pPr>
            <w:r>
              <w:rPr>
                <w:sz w:val="4"/>
                <w:szCs w:val="4"/>
              </w:rPr>
            </w:r>
          </w:p>
        </w:tc>
      </w:tr>
      <w:tr>
        <w:trPr/>
        <w:tc>
          <w:tcPr>
            <w:tcW w:w="2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delle Sans;sans-serif" w:hAnsi="Adelle Sans;sans-serif"/>
                <w:b/>
                <w:color w:val="000000"/>
                <w:sz w:val="18"/>
              </w:rPr>
            </w:pPr>
            <w:r>
              <w:rPr>
                <w:rFonts w:ascii="Adelle Sans;sans-serif" w:hAnsi="Adelle Sans;sans-serif"/>
                <w:b/>
                <w:color w:val="000000"/>
                <w:sz w:val="18"/>
              </w:rPr>
              <w:t>2026</w:t>
            </w:r>
          </w:p>
        </w:tc>
        <w:tc>
          <w:tcPr>
            <w:tcW w:w="3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delle Sans;sans-serif" w:hAnsi="Adelle Sans;sans-serif"/>
                <w:b/>
                <w:color w:val="000000"/>
                <w:sz w:val="18"/>
              </w:rPr>
            </w:pPr>
            <w:r>
              <w:rPr>
                <w:rFonts w:ascii="Adelle Sans;sans-serif" w:hAnsi="Adelle Sans;sans-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delle Sans;sans-serif" w:hAnsi="Adelle Sans;sans-serif"/>
                <w:b/>
                <w:color w:val="000000"/>
                <w:sz w:val="18"/>
              </w:rPr>
            </w:pPr>
            <w:r>
              <w:rPr>
                <w:rFonts w:ascii="Adelle Sans;sans-serif" w:hAnsi="Adelle Sans;sans-serif"/>
                <w:b/>
                <w:color w:val="000000"/>
                <w:sz w:val="18"/>
              </w:rPr>
              <w:t>2026</w:t>
            </w:r>
          </w:p>
        </w:tc>
        <w:tc>
          <w:tcPr>
            <w:tcW w:w="3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delle Sans;sans-serif" w:hAnsi="Adelle Sans;sans-serif"/>
                <w:b/>
                <w:color w:val="000000"/>
                <w:sz w:val="18"/>
              </w:rPr>
            </w:pPr>
            <w:r>
              <w:rPr>
                <w:rFonts w:ascii="Adelle Sans;sans-serif" w:hAnsi="Adelle Sans;sans-serif"/>
                <w:b/>
                <w:color w:val="000000"/>
                <w:sz w:val="18"/>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766" w:type="dxa"/>
            <w:gridSpan w:val="3"/>
            <w:tcBorders/>
            <w:vAlign w:val="center"/>
          </w:tcPr>
          <w:p>
            <w:pPr>
              <w:pStyle w:val="TableContents"/>
              <w:bidi w:val="0"/>
              <w:spacing w:before="0" w:after="283"/>
              <w:jc w:val="left"/>
              <w:rPr>
                <w:sz w:val="4"/>
                <w:szCs w:val="4"/>
              </w:rPr>
            </w:pPr>
            <w:r>
              <w:rPr>
                <w:sz w:val="4"/>
                <w:szCs w:val="4"/>
              </w:rPr>
            </w:r>
          </w:p>
        </w:tc>
        <w:tc>
          <w:tcPr>
            <w:tcW w:w="1486"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4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6"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48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76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delle Sans;sans-serif" w:hAnsi="Adelle Sans;sans-serif"/>
                <w:b/>
                <w:color w:val="000000"/>
                <w:sz w:val="18"/>
              </w:rPr>
            </w:pPr>
            <w:r>
              <w:rPr>
                <w:rFonts w:ascii="Adelle Sans;sans-serif" w:hAnsi="Adelle Sans;sans-serif"/>
                <w:b/>
                <w:color w:val="000000"/>
                <w:sz w:val="18"/>
              </w:rPr>
              <w:t>Revenues</w:t>
            </w:r>
          </w:p>
        </w:tc>
        <w:tc>
          <w:tcPr>
            <w:tcW w:w="14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766" w:type="dxa"/>
            <w:gridSpan w:val="3"/>
            <w:tcBorders/>
            <w:shd w:fill="F7F7F7" w:val="clear"/>
            <w:tcMar>
              <w:top w:w="0" w:type="dxa"/>
              <w:left w:w="0" w:type="dxa"/>
              <w:bottom w:w="0" w:type="dxa"/>
              <w:right w:w="0" w:type="dxa"/>
            </w:tcMar>
            <w:vAlign w:val="center"/>
          </w:tcPr>
          <w:p>
            <w:pPr>
              <w:pStyle w:val="TableContents"/>
              <w:bidi w:val="0"/>
              <w:spacing w:lineRule="auto" w:line="240" w:before="0" w:after="283"/>
              <w:jc w:val="left"/>
              <w:rPr>
                <w:rFonts w:ascii="Adelle Sans;sans-serif" w:hAnsi="Adelle Sans;sans-serif"/>
                <w:b w:val="false"/>
                <w:color w:val="000000"/>
                <w:sz w:val="18"/>
              </w:rPr>
            </w:pPr>
            <w:r>
              <w:rPr>
                <w:rFonts w:ascii="Adelle Sans;sans-serif" w:hAnsi="Adelle Sans;sans-serif"/>
                <w:b w:val="false"/>
                <w:color w:val="000000"/>
                <w:sz w:val="18"/>
              </w:rPr>
              <w:t>Subscription solutions</w:t>
            </w:r>
          </w:p>
        </w:tc>
        <w:tc>
          <w:tcPr>
            <w:tcW w:w="1309" w:type="dxa"/>
            <w:gridSpan w:val="2"/>
            <w:tcBorders/>
            <w:shd w:fill="F7F7F7"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802 </w:t>
            </w:r>
          </w:p>
        </w:tc>
        <w:tc>
          <w:tcPr>
            <w:tcW w:w="177" w:type="dxa"/>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9" w:type="dxa"/>
            <w:gridSpan w:val="2"/>
            <w:tcBorders/>
            <w:shd w:fill="F7F7F7"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656 </w:t>
            </w:r>
          </w:p>
        </w:tc>
        <w:tc>
          <w:tcPr>
            <w:tcW w:w="177" w:type="dxa"/>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9" w:type="dxa"/>
            <w:gridSpan w:val="2"/>
            <w:tcBorders/>
            <w:shd w:fill="F7F7F7"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1,552 </w:t>
            </w:r>
          </w:p>
        </w:tc>
        <w:tc>
          <w:tcPr>
            <w:tcW w:w="177" w:type="dxa"/>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9" w:type="dxa"/>
            <w:gridSpan w:val="2"/>
            <w:tcBorders/>
            <w:shd w:fill="F7F7F7"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1,276 </w:t>
            </w:r>
          </w:p>
        </w:tc>
        <w:tc>
          <w:tcPr>
            <w:tcW w:w="177" w:type="dxa"/>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delle Sans;sans-serif" w:hAnsi="Adelle Sans;sans-serif"/>
                <w:b w:val="false"/>
                <w:color w:val="000000"/>
                <w:sz w:val="18"/>
              </w:rPr>
            </w:pPr>
            <w:r>
              <w:rPr>
                <w:rFonts w:ascii="Adelle Sans;sans-serif" w:hAnsi="Adelle Sans;sans-serif"/>
                <w:b w:val="false"/>
                <w:color w:val="000000"/>
                <w:sz w:val="18"/>
              </w:rPr>
              <w:t>Merchant solutions</w:t>
            </w:r>
          </w:p>
        </w:tc>
        <w:tc>
          <w:tcPr>
            <w:tcW w:w="13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2,781 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2,024 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5,201 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3,764 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766"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9" w:type="dxa"/>
            <w:gridSpan w:val="2"/>
            <w:tcBorders>
              <w:top w:val="single" w:sz="4" w:space="0" w:color="000000"/>
            </w:tcBorders>
            <w:shd w:fill="F7F7F7" w:val="clear"/>
            <w:tcMar>
              <w:top w:w="52" w:type="dxa"/>
              <w:left w:w="0" w:type="dxa"/>
              <w:bottom w:w="0" w:type="dxa"/>
              <w:right w:w="0" w:type="dxa"/>
            </w:tcMar>
            <w:vAlign w:val="center"/>
          </w:tcPr>
          <w:p>
            <w:pPr>
              <w:pStyle w:val="TableContents"/>
              <w:bidi w:val="0"/>
              <w:spacing w:lineRule="auto" w:line="240" w:before="0" w:after="283"/>
              <w:jc w:val="right"/>
              <w:rPr/>
            </w:pPr>
            <w:r>
              <w:rPr>
                <w:rFonts w:ascii="Adelle Sans;sans-serif" w:hAnsi="Adelle Sans;sans-serif"/>
                <w:b/>
                <w:color w:val="000000"/>
                <w:sz w:val="18"/>
              </w:rPr>
              <w:t>3,583</w:t>
            </w:r>
            <w:r>
              <w:rPr>
                <w:color w:val="000000"/>
              </w:rPr>
              <w:t> </w:t>
            </w:r>
          </w:p>
        </w:tc>
        <w:tc>
          <w:tcPr>
            <w:tcW w:w="177" w:type="dxa"/>
            <w:tcBorders>
              <w:top w:val="single" w:sz="4" w:space="0" w:color="000000"/>
            </w:tcBorders>
            <w:shd w:fill="F7F7F7"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op w:val="single" w:sz="4" w:space="0" w:color="000000"/>
            </w:tcBorders>
            <w:shd w:fill="F7F7F7"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9" w:type="dxa"/>
            <w:gridSpan w:val="2"/>
            <w:tcBorders>
              <w:top w:val="single" w:sz="4" w:space="0" w:color="000000"/>
            </w:tcBorders>
            <w:shd w:fill="F7F7F7" w:val="clear"/>
            <w:tcMar>
              <w:top w:w="52" w:type="dxa"/>
              <w:left w:w="0" w:type="dxa"/>
              <w:bottom w:w="0" w:type="dxa"/>
              <w:right w:w="0" w:type="dxa"/>
            </w:tcMar>
            <w:vAlign w:val="center"/>
          </w:tcPr>
          <w:p>
            <w:pPr>
              <w:pStyle w:val="TableContents"/>
              <w:bidi w:val="0"/>
              <w:spacing w:lineRule="auto" w:line="240" w:before="0" w:after="283"/>
              <w:jc w:val="right"/>
              <w:rPr/>
            </w:pPr>
            <w:r>
              <w:rPr>
                <w:rFonts w:ascii="Adelle Sans;sans-serif" w:hAnsi="Adelle Sans;sans-serif"/>
                <w:b/>
                <w:color w:val="000000"/>
                <w:sz w:val="18"/>
              </w:rPr>
              <w:t>2,680</w:t>
            </w:r>
            <w:r>
              <w:rPr>
                <w:color w:val="000000"/>
              </w:rPr>
              <w:t> </w:t>
            </w:r>
          </w:p>
        </w:tc>
        <w:tc>
          <w:tcPr>
            <w:tcW w:w="177" w:type="dxa"/>
            <w:tcBorders>
              <w:top w:val="single" w:sz="4" w:space="0" w:color="000000"/>
            </w:tcBorders>
            <w:shd w:fill="F7F7F7"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9" w:type="dxa"/>
            <w:gridSpan w:val="2"/>
            <w:tcBorders>
              <w:top w:val="single" w:sz="4" w:space="0" w:color="000000"/>
            </w:tcBorders>
            <w:shd w:fill="F7F7F7" w:val="clear"/>
            <w:tcMar>
              <w:top w:w="52" w:type="dxa"/>
              <w:left w:w="0" w:type="dxa"/>
              <w:bottom w:w="0" w:type="dxa"/>
              <w:right w:w="0" w:type="dxa"/>
            </w:tcMar>
            <w:vAlign w:val="center"/>
          </w:tcPr>
          <w:p>
            <w:pPr>
              <w:pStyle w:val="TableContents"/>
              <w:bidi w:val="0"/>
              <w:spacing w:lineRule="auto" w:line="240" w:before="0" w:after="283"/>
              <w:jc w:val="right"/>
              <w:rPr/>
            </w:pPr>
            <w:r>
              <w:rPr>
                <w:rFonts w:ascii="Adelle Sans;sans-serif" w:hAnsi="Adelle Sans;sans-serif"/>
                <w:b/>
                <w:color w:val="000000"/>
                <w:sz w:val="18"/>
              </w:rPr>
              <w:t>6,753</w:t>
            </w:r>
            <w:r>
              <w:rPr>
                <w:color w:val="000000"/>
              </w:rPr>
              <w:t> </w:t>
            </w:r>
          </w:p>
        </w:tc>
        <w:tc>
          <w:tcPr>
            <w:tcW w:w="177" w:type="dxa"/>
            <w:tcBorders>
              <w:top w:val="single" w:sz="4" w:space="0" w:color="000000"/>
            </w:tcBorders>
            <w:shd w:fill="F7F7F7"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9" w:type="dxa"/>
            <w:gridSpan w:val="2"/>
            <w:tcBorders>
              <w:top w:val="single" w:sz="4" w:space="0" w:color="000000"/>
            </w:tcBorders>
            <w:shd w:fill="F7F7F7" w:val="clear"/>
            <w:tcMar>
              <w:top w:w="52" w:type="dxa"/>
              <w:left w:w="0" w:type="dxa"/>
              <w:bottom w:w="0" w:type="dxa"/>
              <w:right w:w="0" w:type="dxa"/>
            </w:tcMar>
            <w:vAlign w:val="center"/>
          </w:tcPr>
          <w:p>
            <w:pPr>
              <w:pStyle w:val="TableContents"/>
              <w:bidi w:val="0"/>
              <w:spacing w:lineRule="auto" w:line="240" w:before="0" w:after="283"/>
              <w:jc w:val="right"/>
              <w:rPr/>
            </w:pPr>
            <w:r>
              <w:rPr>
                <w:rFonts w:ascii="Adelle Sans;sans-serif" w:hAnsi="Adelle Sans;sans-serif"/>
                <w:b/>
                <w:color w:val="000000"/>
                <w:sz w:val="18"/>
              </w:rPr>
              <w:t>5,040</w:t>
            </w:r>
            <w:r>
              <w:rPr>
                <w:color w:val="000000"/>
              </w:rPr>
              <w:t> </w:t>
            </w:r>
          </w:p>
        </w:tc>
        <w:tc>
          <w:tcPr>
            <w:tcW w:w="177" w:type="dxa"/>
            <w:tcBorders>
              <w:top w:val="single" w:sz="4" w:space="0" w:color="000000"/>
            </w:tcBorders>
            <w:shd w:fill="F7F7F7"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76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766" w:type="dxa"/>
            <w:gridSpan w:val="3"/>
            <w:tcBorders/>
            <w:shd w:fill="F7F7F7" w:val="clear"/>
            <w:tcMar>
              <w:top w:w="0" w:type="dxa"/>
              <w:left w:w="0" w:type="dxa"/>
              <w:bottom w:w="0" w:type="dxa"/>
              <w:right w:w="0" w:type="dxa"/>
            </w:tcMar>
            <w:vAlign w:val="center"/>
          </w:tcPr>
          <w:p>
            <w:pPr>
              <w:pStyle w:val="TableContents"/>
              <w:bidi w:val="0"/>
              <w:spacing w:lineRule="auto" w:line="240" w:before="0" w:after="283"/>
              <w:jc w:val="left"/>
              <w:rPr>
                <w:rFonts w:ascii="Adelle Sans;sans-serif" w:hAnsi="Adelle Sans;sans-serif"/>
                <w:b/>
                <w:color w:val="000000"/>
                <w:sz w:val="18"/>
              </w:rPr>
            </w:pPr>
            <w:r>
              <w:rPr>
                <w:rFonts w:ascii="Adelle Sans;sans-serif" w:hAnsi="Adelle Sans;sans-serif"/>
                <w:b/>
                <w:color w:val="000000"/>
                <w:sz w:val="18"/>
              </w:rPr>
              <w:t>Cost of revenues</w:t>
            </w:r>
          </w:p>
        </w:tc>
        <w:tc>
          <w:tcPr>
            <w:tcW w:w="1486"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delle Sans;sans-serif" w:hAnsi="Adelle Sans;sans-serif"/>
                <w:b w:val="false"/>
                <w:color w:val="000000"/>
                <w:sz w:val="18"/>
              </w:rPr>
            </w:pPr>
            <w:r>
              <w:rPr>
                <w:rFonts w:ascii="Adelle Sans;sans-serif" w:hAnsi="Adelle Sans;sans-serif"/>
                <w:b w:val="false"/>
                <w:color w:val="000000"/>
                <w:sz w:val="18"/>
              </w:rPr>
              <w:t>Subscription solutions</w:t>
            </w:r>
          </w:p>
        </w:tc>
        <w:tc>
          <w:tcPr>
            <w:tcW w:w="13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163 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121 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311 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244 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766" w:type="dxa"/>
            <w:gridSpan w:val="3"/>
            <w:tcBorders/>
            <w:shd w:fill="F7F7F7" w:val="clear"/>
            <w:tcMar>
              <w:top w:w="0" w:type="dxa"/>
              <w:left w:w="0" w:type="dxa"/>
              <w:bottom w:w="0" w:type="dxa"/>
              <w:right w:w="0" w:type="dxa"/>
            </w:tcMar>
            <w:vAlign w:val="center"/>
          </w:tcPr>
          <w:p>
            <w:pPr>
              <w:pStyle w:val="TableContents"/>
              <w:bidi w:val="0"/>
              <w:spacing w:lineRule="auto" w:line="240" w:before="0" w:after="283"/>
              <w:jc w:val="left"/>
              <w:rPr>
                <w:rFonts w:ascii="Adelle Sans;sans-serif" w:hAnsi="Adelle Sans;sans-serif"/>
                <w:b w:val="false"/>
                <w:color w:val="000000"/>
                <w:sz w:val="18"/>
              </w:rPr>
            </w:pPr>
            <w:r>
              <w:rPr>
                <w:rFonts w:ascii="Adelle Sans;sans-serif" w:hAnsi="Adelle Sans;sans-serif"/>
                <w:b w:val="false"/>
                <w:color w:val="000000"/>
                <w:sz w:val="18"/>
              </w:rPr>
              <w:t>Merchant solutions</w:t>
            </w:r>
          </w:p>
        </w:tc>
        <w:tc>
          <w:tcPr>
            <w:tcW w:w="1309" w:type="dxa"/>
            <w:gridSpan w:val="2"/>
            <w:tcBorders/>
            <w:shd w:fill="F7F7F7"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1,712 </w:t>
            </w:r>
          </w:p>
        </w:tc>
        <w:tc>
          <w:tcPr>
            <w:tcW w:w="177" w:type="dxa"/>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9" w:type="dxa"/>
            <w:gridSpan w:val="2"/>
            <w:tcBorders/>
            <w:shd w:fill="F7F7F7"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1,257 </w:t>
            </w:r>
          </w:p>
        </w:tc>
        <w:tc>
          <w:tcPr>
            <w:tcW w:w="177" w:type="dxa"/>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9" w:type="dxa"/>
            <w:gridSpan w:val="2"/>
            <w:tcBorders/>
            <w:shd w:fill="F7F7F7"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3,188 </w:t>
            </w:r>
          </w:p>
        </w:tc>
        <w:tc>
          <w:tcPr>
            <w:tcW w:w="177" w:type="dxa"/>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9" w:type="dxa"/>
            <w:gridSpan w:val="2"/>
            <w:tcBorders/>
            <w:shd w:fill="F7F7F7"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2,325 </w:t>
            </w:r>
          </w:p>
        </w:tc>
        <w:tc>
          <w:tcPr>
            <w:tcW w:w="177" w:type="dxa"/>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7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9"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1,875 </w:t>
            </w:r>
          </w:p>
        </w:tc>
        <w:tc>
          <w:tcPr>
            <w:tcW w:w="177"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9"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1,378 </w:t>
            </w:r>
          </w:p>
        </w:tc>
        <w:tc>
          <w:tcPr>
            <w:tcW w:w="177"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9"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3,499 </w:t>
            </w:r>
          </w:p>
        </w:tc>
        <w:tc>
          <w:tcPr>
            <w:tcW w:w="177"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9"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2,569 </w:t>
            </w:r>
          </w:p>
        </w:tc>
        <w:tc>
          <w:tcPr>
            <w:tcW w:w="177"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766"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76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delle Sans;sans-serif" w:hAnsi="Adelle Sans;sans-serif"/>
                <w:b/>
                <w:color w:val="000000"/>
                <w:sz w:val="18"/>
              </w:rPr>
            </w:pPr>
            <w:r>
              <w:rPr>
                <w:rFonts w:ascii="Adelle Sans;sans-serif" w:hAnsi="Adelle Sans;sans-serif"/>
                <w:b/>
                <w:color w:val="000000"/>
                <w:sz w:val="18"/>
              </w:rPr>
              <w:t>Gross profit</w:t>
            </w:r>
          </w:p>
        </w:tc>
        <w:tc>
          <w:tcPr>
            <w:tcW w:w="130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delle Sans;sans-serif" w:hAnsi="Adelle Sans;sans-serif"/>
                <w:b/>
                <w:color w:val="000000"/>
                <w:sz w:val="18"/>
              </w:rPr>
              <w:t>1,708</w:t>
            </w:r>
            <w:r>
              <w:rPr>
                <w:color w:val="000000"/>
              </w:rPr>
              <w:t> </w:t>
            </w:r>
          </w:p>
        </w:tc>
        <w:tc>
          <w:tcPr>
            <w:tcW w:w="17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delle Sans;sans-serif" w:hAnsi="Adelle Sans;sans-serif"/>
                <w:b/>
                <w:color w:val="000000"/>
                <w:sz w:val="18"/>
              </w:rPr>
              <w:t>1,302</w:t>
            </w:r>
            <w:r>
              <w:rPr>
                <w:color w:val="000000"/>
              </w:rPr>
              <w:t> </w:t>
            </w:r>
          </w:p>
        </w:tc>
        <w:tc>
          <w:tcPr>
            <w:tcW w:w="17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delle Sans;sans-serif" w:hAnsi="Adelle Sans;sans-serif"/>
                <w:b/>
                <w:color w:val="000000"/>
                <w:sz w:val="18"/>
              </w:rPr>
              <w:t>3,254</w:t>
            </w:r>
            <w:r>
              <w:rPr>
                <w:color w:val="000000"/>
              </w:rPr>
              <w:t> </w:t>
            </w:r>
          </w:p>
        </w:tc>
        <w:tc>
          <w:tcPr>
            <w:tcW w:w="17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delle Sans;sans-serif" w:hAnsi="Adelle Sans;sans-serif"/>
                <w:b/>
                <w:color w:val="000000"/>
                <w:sz w:val="18"/>
              </w:rPr>
              <w:t>2,471</w:t>
            </w:r>
            <w:r>
              <w:rPr>
                <w:color w:val="000000"/>
              </w:rPr>
              <w:t> </w:t>
            </w:r>
          </w:p>
        </w:tc>
        <w:tc>
          <w:tcPr>
            <w:tcW w:w="17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766" w:type="dxa"/>
            <w:gridSpan w:val="3"/>
            <w:tcBorders>
              <w:top w:val="single" w:sz="8" w:space="0" w:color="000000"/>
            </w:tcBorders>
            <w:shd w:fill="F7F7F7"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3"/>
            <w:tcBorders>
              <w:top w:val="single" w:sz="8" w:space="0" w:color="000000"/>
            </w:tcBorders>
            <w:shd w:fill="F7F7F7"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op w:val="single" w:sz="8" w:space="0" w:color="000000"/>
            </w:tcBorders>
            <w:shd w:fill="F7F7F7"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3"/>
            <w:tcBorders>
              <w:top w:val="single" w:sz="8" w:space="0" w:color="000000"/>
            </w:tcBorders>
            <w:shd w:fill="F7F7F7"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3"/>
            <w:tcBorders>
              <w:top w:val="single" w:sz="8" w:space="0" w:color="000000"/>
            </w:tcBorders>
            <w:shd w:fill="F7F7F7"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3"/>
            <w:tcBorders>
              <w:top w:val="single" w:sz="8" w:space="0" w:color="000000"/>
            </w:tcBorders>
            <w:shd w:fill="F7F7F7"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delle Sans;sans-serif" w:hAnsi="Adelle Sans;sans-serif"/>
                <w:b/>
                <w:color w:val="000000"/>
                <w:sz w:val="18"/>
              </w:rPr>
            </w:pPr>
            <w:r>
              <w:rPr>
                <w:rFonts w:ascii="Adelle Sans;sans-serif" w:hAnsi="Adelle Sans;sans-serif"/>
                <w:b/>
                <w:color w:val="000000"/>
                <w:sz w:val="18"/>
              </w:rPr>
              <w:t>Operating expenses</w:t>
            </w:r>
          </w:p>
        </w:tc>
        <w:tc>
          <w:tcPr>
            <w:tcW w:w="14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766" w:type="dxa"/>
            <w:gridSpan w:val="3"/>
            <w:tcBorders/>
            <w:shd w:fill="F7F7F7" w:val="clear"/>
            <w:tcMar>
              <w:top w:w="0" w:type="dxa"/>
              <w:left w:w="0" w:type="dxa"/>
              <w:bottom w:w="0" w:type="dxa"/>
              <w:right w:w="0" w:type="dxa"/>
            </w:tcMar>
            <w:vAlign w:val="center"/>
          </w:tcPr>
          <w:p>
            <w:pPr>
              <w:pStyle w:val="TableContents"/>
              <w:bidi w:val="0"/>
              <w:spacing w:lineRule="auto" w:line="240" w:before="0" w:after="283"/>
              <w:jc w:val="left"/>
              <w:rPr>
                <w:rFonts w:ascii="Adelle Sans;sans-serif" w:hAnsi="Adelle Sans;sans-serif"/>
                <w:b w:val="false"/>
                <w:color w:val="000000"/>
                <w:sz w:val="18"/>
              </w:rPr>
            </w:pPr>
            <w:r>
              <w:rPr>
                <w:rFonts w:ascii="Adelle Sans;sans-serif" w:hAnsi="Adelle Sans;sans-serif"/>
                <w:b w:val="false"/>
                <w:color w:val="000000"/>
                <w:sz w:val="18"/>
              </w:rPr>
              <w:t>Sales and marketing</w:t>
            </w:r>
          </w:p>
        </w:tc>
        <w:tc>
          <w:tcPr>
            <w:tcW w:w="1309" w:type="dxa"/>
            <w:gridSpan w:val="2"/>
            <w:tcBorders/>
            <w:shd w:fill="F7F7F7"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498 </w:t>
            </w:r>
          </w:p>
        </w:tc>
        <w:tc>
          <w:tcPr>
            <w:tcW w:w="177" w:type="dxa"/>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9" w:type="dxa"/>
            <w:gridSpan w:val="2"/>
            <w:tcBorders/>
            <w:shd w:fill="F7F7F7"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415 </w:t>
            </w:r>
          </w:p>
        </w:tc>
        <w:tc>
          <w:tcPr>
            <w:tcW w:w="177" w:type="dxa"/>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9" w:type="dxa"/>
            <w:gridSpan w:val="2"/>
            <w:tcBorders/>
            <w:shd w:fill="F7F7F7"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994 </w:t>
            </w:r>
          </w:p>
        </w:tc>
        <w:tc>
          <w:tcPr>
            <w:tcW w:w="177" w:type="dxa"/>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9" w:type="dxa"/>
            <w:gridSpan w:val="2"/>
            <w:tcBorders/>
            <w:shd w:fill="F7F7F7"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820 </w:t>
            </w:r>
          </w:p>
        </w:tc>
        <w:tc>
          <w:tcPr>
            <w:tcW w:w="177" w:type="dxa"/>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delle Sans;sans-serif" w:hAnsi="Adelle Sans;sans-serif"/>
                <w:b w:val="false"/>
                <w:color w:val="000000"/>
                <w:sz w:val="18"/>
              </w:rPr>
            </w:pPr>
            <w:r>
              <w:rPr>
                <w:rFonts w:ascii="Adelle Sans;sans-serif" w:hAnsi="Adelle Sans;sans-serif"/>
                <w:b w:val="false"/>
                <w:color w:val="000000"/>
                <w:sz w:val="18"/>
              </w:rPr>
              <w:t>Research and development</w:t>
            </w:r>
          </w:p>
        </w:tc>
        <w:tc>
          <w:tcPr>
            <w:tcW w:w="13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445 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394 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882 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771 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766" w:type="dxa"/>
            <w:gridSpan w:val="3"/>
            <w:tcBorders/>
            <w:shd w:fill="F7F7F7" w:val="clear"/>
            <w:tcMar>
              <w:top w:w="0" w:type="dxa"/>
              <w:left w:w="0" w:type="dxa"/>
              <w:bottom w:w="0" w:type="dxa"/>
              <w:right w:w="0" w:type="dxa"/>
            </w:tcMar>
            <w:vAlign w:val="center"/>
          </w:tcPr>
          <w:p>
            <w:pPr>
              <w:pStyle w:val="TableContents"/>
              <w:bidi w:val="0"/>
              <w:spacing w:lineRule="auto" w:line="240" w:before="0" w:after="283"/>
              <w:jc w:val="left"/>
              <w:rPr>
                <w:rFonts w:ascii="Adelle Sans;sans-serif" w:hAnsi="Adelle Sans;sans-serif"/>
                <w:b w:val="false"/>
                <w:color w:val="000000"/>
                <w:sz w:val="18"/>
              </w:rPr>
            </w:pPr>
            <w:r>
              <w:rPr>
                <w:rFonts w:ascii="Adelle Sans;sans-serif" w:hAnsi="Adelle Sans;sans-serif"/>
                <w:b w:val="false"/>
                <w:color w:val="000000"/>
                <w:sz w:val="18"/>
              </w:rPr>
              <w:t>General and administrative</w:t>
            </w:r>
          </w:p>
        </w:tc>
        <w:tc>
          <w:tcPr>
            <w:tcW w:w="1309" w:type="dxa"/>
            <w:gridSpan w:val="2"/>
            <w:tcBorders/>
            <w:shd w:fill="F7F7F7"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136 </w:t>
            </w:r>
          </w:p>
        </w:tc>
        <w:tc>
          <w:tcPr>
            <w:tcW w:w="177" w:type="dxa"/>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9" w:type="dxa"/>
            <w:gridSpan w:val="2"/>
            <w:tcBorders/>
            <w:shd w:fill="F7F7F7"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122 </w:t>
            </w:r>
          </w:p>
        </w:tc>
        <w:tc>
          <w:tcPr>
            <w:tcW w:w="177" w:type="dxa"/>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9" w:type="dxa"/>
            <w:gridSpan w:val="2"/>
            <w:tcBorders/>
            <w:shd w:fill="F7F7F7"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251 </w:t>
            </w:r>
          </w:p>
        </w:tc>
        <w:tc>
          <w:tcPr>
            <w:tcW w:w="177" w:type="dxa"/>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9" w:type="dxa"/>
            <w:gridSpan w:val="2"/>
            <w:tcBorders/>
            <w:shd w:fill="F7F7F7"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231 </w:t>
            </w:r>
          </w:p>
        </w:tc>
        <w:tc>
          <w:tcPr>
            <w:tcW w:w="177" w:type="dxa"/>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delle Sans;sans-serif" w:hAnsi="Adelle Sans;sans-serif"/>
                <w:b w:val="false"/>
                <w:color w:val="000000"/>
                <w:sz w:val="18"/>
              </w:rPr>
            </w:pPr>
            <w:r>
              <w:rPr>
                <w:rFonts w:ascii="Adelle Sans;sans-serif" w:hAnsi="Adelle Sans;sans-serif"/>
                <w:b w:val="false"/>
                <w:color w:val="000000"/>
                <w:sz w:val="18"/>
              </w:rPr>
              <w:t>Transaction and loan losses</w:t>
            </w:r>
          </w:p>
        </w:tc>
        <w:tc>
          <w:tcPr>
            <w:tcW w:w="13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141 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80 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257 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155 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766" w:type="dxa"/>
            <w:gridSpan w:val="3"/>
            <w:tcBorders/>
            <w:shd w:fill="F7F7F7" w:val="clear"/>
            <w:tcMar>
              <w:top w:w="0" w:type="dxa"/>
              <w:left w:w="0" w:type="dxa"/>
              <w:bottom w:w="0" w:type="dxa"/>
              <w:right w:w="0" w:type="dxa"/>
            </w:tcMar>
            <w:vAlign w:val="center"/>
          </w:tcPr>
          <w:p>
            <w:pPr>
              <w:pStyle w:val="TableContents"/>
              <w:bidi w:val="0"/>
              <w:spacing w:lineRule="auto" w:line="240" w:before="0" w:after="283"/>
              <w:jc w:val="left"/>
              <w:rPr>
                <w:rFonts w:ascii="Adelle Sans;sans-serif" w:hAnsi="Adelle Sans;sans-serif"/>
                <w:b w:val="false"/>
                <w:color w:val="000000"/>
                <w:sz w:val="18"/>
              </w:rPr>
            </w:pPr>
            <w:r>
              <w:rPr>
                <w:rFonts w:ascii="Adelle Sans;sans-serif" w:hAnsi="Adelle Sans;sans-serif"/>
                <w:b w:val="false"/>
                <w:color w:val="000000"/>
                <w:sz w:val="18"/>
              </w:rPr>
              <w:t>Total operating expenses</w:t>
            </w:r>
          </w:p>
        </w:tc>
        <w:tc>
          <w:tcPr>
            <w:tcW w:w="1309" w:type="dxa"/>
            <w:gridSpan w:val="2"/>
            <w:tcBorders>
              <w:top w:val="single" w:sz="4" w:space="0" w:color="000000"/>
            </w:tcBorders>
            <w:shd w:fill="F7F7F7" w:val="clear"/>
            <w:tcMar>
              <w:top w:w="52"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1,220 </w:t>
            </w:r>
          </w:p>
        </w:tc>
        <w:tc>
          <w:tcPr>
            <w:tcW w:w="177" w:type="dxa"/>
            <w:tcBorders>
              <w:top w:val="single" w:sz="4" w:space="0" w:color="000000"/>
            </w:tcBorders>
            <w:shd w:fill="F7F7F7"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op w:val="single" w:sz="4" w:space="0" w:color="000000"/>
            </w:tcBorders>
            <w:shd w:fill="F7F7F7"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9" w:type="dxa"/>
            <w:gridSpan w:val="2"/>
            <w:tcBorders>
              <w:top w:val="single" w:sz="4" w:space="0" w:color="000000"/>
            </w:tcBorders>
            <w:shd w:fill="F7F7F7" w:val="clear"/>
            <w:tcMar>
              <w:top w:w="52"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1,011 </w:t>
            </w:r>
          </w:p>
        </w:tc>
        <w:tc>
          <w:tcPr>
            <w:tcW w:w="177" w:type="dxa"/>
            <w:tcBorders>
              <w:top w:val="single" w:sz="4" w:space="0" w:color="000000"/>
            </w:tcBorders>
            <w:shd w:fill="F7F7F7"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9" w:type="dxa"/>
            <w:gridSpan w:val="2"/>
            <w:tcBorders>
              <w:top w:val="single" w:sz="4" w:space="0" w:color="000000"/>
            </w:tcBorders>
            <w:shd w:fill="F7F7F7" w:val="clear"/>
            <w:tcMar>
              <w:top w:w="52"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2,384 </w:t>
            </w:r>
          </w:p>
        </w:tc>
        <w:tc>
          <w:tcPr>
            <w:tcW w:w="177" w:type="dxa"/>
            <w:tcBorders>
              <w:top w:val="single" w:sz="4" w:space="0" w:color="000000"/>
            </w:tcBorders>
            <w:shd w:fill="F7F7F7"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9" w:type="dxa"/>
            <w:gridSpan w:val="2"/>
            <w:tcBorders>
              <w:top w:val="single" w:sz="8" w:space="0" w:color="000000"/>
            </w:tcBorders>
            <w:shd w:fill="F7F7F7" w:val="clear"/>
            <w:tcMar>
              <w:top w:w="52"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1,977 </w:t>
            </w:r>
          </w:p>
        </w:tc>
        <w:tc>
          <w:tcPr>
            <w:tcW w:w="177" w:type="dxa"/>
            <w:tcBorders>
              <w:top w:val="single" w:sz="8" w:space="0" w:color="000000"/>
            </w:tcBorders>
            <w:shd w:fill="F7F7F7"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delle Sans;sans-serif" w:hAnsi="Adelle Sans;sans-serif"/>
                <w:b/>
                <w:color w:val="000000"/>
                <w:sz w:val="18"/>
              </w:rPr>
            </w:pPr>
            <w:r>
              <w:rPr>
                <w:rFonts w:ascii="Adelle Sans;sans-serif" w:hAnsi="Adelle Sans;sans-serif"/>
                <w:b/>
                <w:color w:val="000000"/>
                <w:sz w:val="18"/>
              </w:rPr>
              <w:t>Income from operations</w:t>
            </w:r>
          </w:p>
        </w:tc>
        <w:tc>
          <w:tcPr>
            <w:tcW w:w="130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delle Sans;sans-serif" w:hAnsi="Adelle Sans;sans-serif"/>
                <w:b/>
                <w:color w:val="000000"/>
                <w:sz w:val="18"/>
              </w:rPr>
              <w:t>488</w:t>
            </w:r>
            <w:r>
              <w:rPr>
                <w:color w:val="000000"/>
              </w:rPr>
              <w:t> </w:t>
            </w:r>
          </w:p>
        </w:tc>
        <w:tc>
          <w:tcPr>
            <w:tcW w:w="17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delle Sans;sans-serif" w:hAnsi="Adelle Sans;sans-serif"/>
                <w:b/>
                <w:color w:val="000000"/>
                <w:sz w:val="18"/>
              </w:rPr>
              <w:t>291</w:t>
            </w:r>
            <w:r>
              <w:rPr>
                <w:color w:val="000000"/>
              </w:rPr>
              <w:t> </w:t>
            </w:r>
          </w:p>
        </w:tc>
        <w:tc>
          <w:tcPr>
            <w:tcW w:w="17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delle Sans;sans-serif" w:hAnsi="Adelle Sans;sans-serif"/>
                <w:b/>
                <w:color w:val="000000"/>
                <w:sz w:val="18"/>
              </w:rPr>
              <w:t>870</w:t>
            </w:r>
            <w:r>
              <w:rPr>
                <w:color w:val="000000"/>
              </w:rPr>
              <w:t> </w:t>
            </w:r>
          </w:p>
        </w:tc>
        <w:tc>
          <w:tcPr>
            <w:tcW w:w="17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delle Sans;sans-serif" w:hAnsi="Adelle Sans;sans-serif"/>
                <w:b/>
                <w:color w:val="000000"/>
                <w:sz w:val="18"/>
              </w:rPr>
              <w:t>494</w:t>
            </w:r>
            <w:r>
              <w:rPr>
                <w:color w:val="000000"/>
              </w:rPr>
              <w:t> </w:t>
            </w:r>
          </w:p>
        </w:tc>
        <w:tc>
          <w:tcPr>
            <w:tcW w:w="17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766" w:type="dxa"/>
            <w:gridSpan w:val="3"/>
            <w:tcBorders>
              <w:top w:val="single" w:sz="8" w:space="0" w:color="000000"/>
            </w:tcBorders>
            <w:shd w:fill="F7F7F7"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3"/>
            <w:tcBorders>
              <w:top w:val="single" w:sz="8" w:space="0" w:color="000000"/>
            </w:tcBorders>
            <w:shd w:fill="F7F7F7"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op w:val="single" w:sz="8" w:space="0" w:color="000000"/>
            </w:tcBorders>
            <w:shd w:fill="F7F7F7"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3"/>
            <w:tcBorders>
              <w:top w:val="single" w:sz="8" w:space="0" w:color="000000"/>
            </w:tcBorders>
            <w:shd w:fill="F7F7F7"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3"/>
            <w:tcBorders>
              <w:top w:val="single" w:sz="8" w:space="0" w:color="000000"/>
            </w:tcBorders>
            <w:shd w:fill="F7F7F7"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3"/>
            <w:tcBorders>
              <w:top w:val="single" w:sz="8" w:space="0" w:color="000000"/>
            </w:tcBorders>
            <w:shd w:fill="F7F7F7"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delle Sans;sans-serif" w:hAnsi="Adelle Sans;sans-serif"/>
                <w:b/>
                <w:color w:val="000000"/>
                <w:sz w:val="18"/>
              </w:rPr>
            </w:pPr>
            <w:r>
              <w:rPr>
                <w:rFonts w:ascii="Adelle Sans;sans-serif" w:hAnsi="Adelle Sans;sans-serif"/>
                <w:b/>
                <w:color w:val="000000"/>
                <w:sz w:val="18"/>
              </w:rPr>
              <w:t>Other income (expense), net</w:t>
            </w:r>
          </w:p>
        </w:tc>
        <w:tc>
          <w:tcPr>
            <w:tcW w:w="14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766" w:type="dxa"/>
            <w:gridSpan w:val="3"/>
            <w:tcBorders/>
            <w:shd w:fill="F7F7F7" w:val="clear"/>
            <w:tcMar>
              <w:top w:w="0" w:type="dxa"/>
              <w:left w:w="0" w:type="dxa"/>
              <w:bottom w:w="0" w:type="dxa"/>
              <w:right w:w="0" w:type="dxa"/>
            </w:tcMar>
            <w:vAlign w:val="center"/>
          </w:tcPr>
          <w:p>
            <w:pPr>
              <w:pStyle w:val="TableContents"/>
              <w:bidi w:val="0"/>
              <w:spacing w:lineRule="auto" w:line="240" w:before="0" w:after="283"/>
              <w:jc w:val="left"/>
              <w:rPr>
                <w:rFonts w:ascii="Adelle Sans;sans-serif" w:hAnsi="Adelle Sans;sans-serif"/>
                <w:b w:val="false"/>
                <w:color w:val="000000"/>
                <w:sz w:val="18"/>
              </w:rPr>
            </w:pPr>
            <w:r>
              <w:rPr>
                <w:rFonts w:ascii="Adelle Sans;sans-serif" w:hAnsi="Adelle Sans;sans-serif"/>
                <w:b w:val="false"/>
                <w:color w:val="000000"/>
                <w:sz w:val="18"/>
              </w:rPr>
              <w:t>Interest income</w:t>
            </w:r>
          </w:p>
        </w:tc>
        <w:tc>
          <w:tcPr>
            <w:tcW w:w="1309" w:type="dxa"/>
            <w:gridSpan w:val="2"/>
            <w:tcBorders/>
            <w:shd w:fill="F7F7F7"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66 </w:t>
            </w:r>
          </w:p>
        </w:tc>
        <w:tc>
          <w:tcPr>
            <w:tcW w:w="177" w:type="dxa"/>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9" w:type="dxa"/>
            <w:gridSpan w:val="2"/>
            <w:tcBorders/>
            <w:shd w:fill="F7F7F7"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106 </w:t>
            </w:r>
          </w:p>
        </w:tc>
        <w:tc>
          <w:tcPr>
            <w:tcW w:w="177" w:type="dxa"/>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9" w:type="dxa"/>
            <w:gridSpan w:val="2"/>
            <w:tcBorders/>
            <w:shd w:fill="F7F7F7"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141 </w:t>
            </w:r>
          </w:p>
        </w:tc>
        <w:tc>
          <w:tcPr>
            <w:tcW w:w="177" w:type="dxa"/>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9" w:type="dxa"/>
            <w:gridSpan w:val="2"/>
            <w:tcBorders/>
            <w:shd w:fill="F7F7F7"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171 </w:t>
            </w:r>
          </w:p>
        </w:tc>
        <w:tc>
          <w:tcPr>
            <w:tcW w:w="177" w:type="dxa"/>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766" w:type="dxa"/>
            <w:gridSpan w:val="3"/>
            <w:tcBorders/>
            <w:vAlign w:val="center"/>
          </w:tcPr>
          <w:p>
            <w:pPr>
              <w:pStyle w:val="TableContents"/>
              <w:bidi w:val="0"/>
              <w:spacing w:before="0" w:after="283"/>
              <w:jc w:val="left"/>
              <w:rPr>
                <w:sz w:val="4"/>
                <w:szCs w:val="4"/>
              </w:rPr>
            </w:pPr>
            <w:r>
              <w:rPr>
                <w:sz w:val="4"/>
                <w:szCs w:val="4"/>
              </w:rPr>
            </w:r>
          </w:p>
        </w:tc>
        <w:tc>
          <w:tcPr>
            <w:tcW w:w="1486"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4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6"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48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delle Sans;sans-serif" w:hAnsi="Adelle Sans;sans-serif"/>
                <w:b w:val="false"/>
                <w:color w:val="000000"/>
                <w:sz w:val="18"/>
              </w:rPr>
            </w:pPr>
            <w:r>
              <w:rPr>
                <w:rFonts w:ascii="Adelle Sans;sans-serif" w:hAnsi="Adelle Sans;sans-serif"/>
                <w:b w:val="false"/>
                <w:color w:val="000000"/>
                <w:sz w:val="18"/>
              </w:rPr>
              <w:t>Net realized gain on equity and other investments</w:t>
            </w:r>
          </w:p>
        </w:tc>
        <w:tc>
          <w:tcPr>
            <w:tcW w:w="13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1 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1 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4 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1 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delle Sans;sans-serif" w:hAnsi="Adelle Sans;sans-serif"/>
                <w:b w:val="false"/>
                <w:color w:val="000000"/>
                <w:sz w:val="18"/>
              </w:rPr>
            </w:pPr>
            <w:r>
              <w:rPr>
                <w:rFonts w:ascii="Adelle Sans;sans-serif" w:hAnsi="Adelle Sans;sans-serif"/>
                <w:b w:val="false"/>
                <w:color w:val="000000"/>
                <w:sz w:val="18"/>
              </w:rPr>
              <w:t>Net unrealized gain (loss) on equity and other investments</w:t>
            </w:r>
          </w:p>
        </w:tc>
        <w:tc>
          <w:tcPr>
            <w:tcW w:w="13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1,249 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681 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185 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(340)</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766" w:type="dxa"/>
            <w:gridSpan w:val="3"/>
            <w:tcBorders/>
            <w:shd w:fill="F7F7F7" w:val="clear"/>
            <w:tcMar>
              <w:top w:w="0" w:type="dxa"/>
              <w:left w:w="0" w:type="dxa"/>
              <w:bottom w:w="0" w:type="dxa"/>
              <w:right w:w="0" w:type="dxa"/>
            </w:tcMar>
            <w:vAlign w:val="center"/>
          </w:tcPr>
          <w:p>
            <w:pPr>
              <w:pStyle w:val="TableContents"/>
              <w:bidi w:val="0"/>
              <w:spacing w:lineRule="auto" w:line="240" w:before="0" w:after="283"/>
              <w:jc w:val="left"/>
              <w:rPr>
                <w:rFonts w:ascii="Adelle Sans;sans-serif" w:hAnsi="Adelle Sans;sans-serif"/>
                <w:b w:val="false"/>
                <w:color w:val="000000"/>
                <w:sz w:val="18"/>
              </w:rPr>
            </w:pPr>
            <w:r>
              <w:rPr>
                <w:rFonts w:ascii="Adelle Sans;sans-serif" w:hAnsi="Adelle Sans;sans-serif"/>
                <w:b w:val="false"/>
                <w:color w:val="000000"/>
                <w:sz w:val="18"/>
              </w:rPr>
              <w:t>Net loss on equity method investment</w:t>
            </w:r>
          </w:p>
        </w:tc>
        <w:tc>
          <w:tcPr>
            <w:tcW w:w="1309" w:type="dxa"/>
            <w:gridSpan w:val="2"/>
            <w:tcBorders/>
            <w:shd w:fill="F7F7F7"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(22)</w:t>
            </w:r>
          </w:p>
        </w:tc>
        <w:tc>
          <w:tcPr>
            <w:tcW w:w="177" w:type="dxa"/>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9" w:type="dxa"/>
            <w:gridSpan w:val="2"/>
            <w:tcBorders/>
            <w:shd w:fill="F7F7F7"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(24)</w:t>
            </w:r>
          </w:p>
        </w:tc>
        <w:tc>
          <w:tcPr>
            <w:tcW w:w="177" w:type="dxa"/>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9" w:type="dxa"/>
            <w:gridSpan w:val="2"/>
            <w:tcBorders/>
            <w:shd w:fill="F7F7F7"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(43)</w:t>
            </w:r>
          </w:p>
        </w:tc>
        <w:tc>
          <w:tcPr>
            <w:tcW w:w="177" w:type="dxa"/>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9" w:type="dxa"/>
            <w:gridSpan w:val="2"/>
            <w:tcBorders/>
            <w:shd w:fill="F7F7F7"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(47)</w:t>
            </w:r>
          </w:p>
        </w:tc>
        <w:tc>
          <w:tcPr>
            <w:tcW w:w="177" w:type="dxa"/>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766" w:type="dxa"/>
            <w:gridSpan w:val="3"/>
            <w:tcBorders/>
            <w:vAlign w:val="center"/>
          </w:tcPr>
          <w:p>
            <w:pPr>
              <w:pStyle w:val="TableContents"/>
              <w:bidi w:val="0"/>
              <w:spacing w:before="0" w:after="283"/>
              <w:jc w:val="left"/>
              <w:rPr>
                <w:sz w:val="4"/>
                <w:szCs w:val="4"/>
              </w:rPr>
            </w:pPr>
            <w:r>
              <w:rPr>
                <w:sz w:val="4"/>
                <w:szCs w:val="4"/>
              </w:rPr>
            </w:r>
          </w:p>
        </w:tc>
        <w:tc>
          <w:tcPr>
            <w:tcW w:w="1486"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4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6"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48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delle Sans;sans-serif" w:hAnsi="Adelle Sans;sans-serif"/>
                <w:b w:val="false"/>
                <w:color w:val="000000"/>
                <w:sz w:val="18"/>
              </w:rPr>
            </w:pPr>
            <w:r>
              <w:rPr>
                <w:rFonts w:ascii="Adelle Sans;sans-serif" w:hAnsi="Adelle Sans;sans-serif"/>
                <w:b w:val="false"/>
                <w:color w:val="000000"/>
                <w:sz w:val="18"/>
              </w:rPr>
              <w:t>Foreign exchange (loss) gain</w:t>
            </w:r>
          </w:p>
        </w:tc>
        <w:tc>
          <w:tcPr>
            <w:tcW w:w="13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(7)</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24 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(16)</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30 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766" w:type="dxa"/>
            <w:gridSpan w:val="3"/>
            <w:tcBorders/>
            <w:shd w:fill="F7F7F7" w:val="clear"/>
            <w:tcMar>
              <w:top w:w="0" w:type="dxa"/>
              <w:left w:w="0" w:type="dxa"/>
              <w:bottom w:w="0" w:type="dxa"/>
              <w:right w:w="0" w:type="dxa"/>
            </w:tcMar>
            <w:vAlign w:val="center"/>
          </w:tcPr>
          <w:p>
            <w:pPr>
              <w:pStyle w:val="TableContents"/>
              <w:bidi w:val="0"/>
              <w:spacing w:lineRule="auto" w:line="240" w:before="0" w:after="283"/>
              <w:jc w:val="left"/>
              <w:rPr>
                <w:rFonts w:ascii="Adelle Sans;sans-serif" w:hAnsi="Adelle Sans;sans-serif"/>
                <w:b w:val="false"/>
                <w:color w:val="000000"/>
                <w:sz w:val="18"/>
              </w:rPr>
            </w:pPr>
            <w:r>
              <w:rPr>
                <w:rFonts w:ascii="Adelle Sans;sans-serif" w:hAnsi="Adelle Sans;sans-serif"/>
                <w:b w:val="false"/>
                <w:color w:val="000000"/>
                <w:sz w:val="18"/>
              </w:rPr>
              <w:t>Total other income (expense), net</w:t>
            </w:r>
          </w:p>
        </w:tc>
        <w:tc>
          <w:tcPr>
            <w:tcW w:w="1309" w:type="dxa"/>
            <w:gridSpan w:val="2"/>
            <w:tcBorders>
              <w:top w:val="single" w:sz="4" w:space="0" w:color="000000"/>
            </w:tcBorders>
            <w:shd w:fill="F7F7F7" w:val="clear"/>
            <w:tcMar>
              <w:top w:w="52"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1,287 </w:t>
            </w:r>
          </w:p>
        </w:tc>
        <w:tc>
          <w:tcPr>
            <w:tcW w:w="177" w:type="dxa"/>
            <w:tcBorders>
              <w:top w:val="single" w:sz="4" w:space="0" w:color="000000"/>
            </w:tcBorders>
            <w:shd w:fill="F7F7F7"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op w:val="single" w:sz="4" w:space="0" w:color="000000"/>
            </w:tcBorders>
            <w:shd w:fill="F7F7F7"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9" w:type="dxa"/>
            <w:gridSpan w:val="2"/>
            <w:tcBorders>
              <w:top w:val="single" w:sz="4" w:space="0" w:color="000000"/>
            </w:tcBorders>
            <w:shd w:fill="F7F7F7" w:val="clear"/>
            <w:tcMar>
              <w:top w:w="52"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788 </w:t>
            </w:r>
          </w:p>
        </w:tc>
        <w:tc>
          <w:tcPr>
            <w:tcW w:w="177" w:type="dxa"/>
            <w:tcBorders>
              <w:top w:val="single" w:sz="4" w:space="0" w:color="000000"/>
            </w:tcBorders>
            <w:shd w:fill="F7F7F7"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9" w:type="dxa"/>
            <w:gridSpan w:val="2"/>
            <w:tcBorders>
              <w:top w:val="single" w:sz="4" w:space="0" w:color="000000"/>
            </w:tcBorders>
            <w:shd w:fill="F7F7F7" w:val="clear"/>
            <w:tcMar>
              <w:top w:w="52"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271 </w:t>
            </w:r>
          </w:p>
        </w:tc>
        <w:tc>
          <w:tcPr>
            <w:tcW w:w="177" w:type="dxa"/>
            <w:tcBorders>
              <w:top w:val="single" w:sz="4" w:space="0" w:color="000000"/>
            </w:tcBorders>
            <w:shd w:fill="F7F7F7"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9" w:type="dxa"/>
            <w:gridSpan w:val="2"/>
            <w:tcBorders>
              <w:top w:val="single" w:sz="8" w:space="0" w:color="000000"/>
            </w:tcBorders>
            <w:shd w:fill="F7F7F7" w:val="clear"/>
            <w:tcMar>
              <w:top w:w="52"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(185)</w:t>
            </w:r>
          </w:p>
        </w:tc>
        <w:tc>
          <w:tcPr>
            <w:tcW w:w="177" w:type="dxa"/>
            <w:tcBorders>
              <w:top w:val="single" w:sz="8" w:space="0" w:color="000000"/>
            </w:tcBorders>
            <w:shd w:fill="F7F7F7"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delle Sans;sans-serif" w:hAnsi="Adelle Sans;sans-serif"/>
                <w:b w:val="false"/>
                <w:color w:val="000000"/>
                <w:sz w:val="18"/>
              </w:rPr>
            </w:pPr>
            <w:r>
              <w:rPr>
                <w:rFonts w:ascii="Adelle Sans;sans-serif" w:hAnsi="Adelle Sans;sans-serif"/>
                <w:b w:val="false"/>
                <w:color w:val="000000"/>
                <w:sz w:val="18"/>
              </w:rPr>
              <w:t>Income before income taxes</w:t>
            </w:r>
          </w:p>
        </w:tc>
        <w:tc>
          <w:tcPr>
            <w:tcW w:w="1309"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1,775 </w:t>
            </w:r>
          </w:p>
        </w:tc>
        <w:tc>
          <w:tcPr>
            <w:tcW w:w="177"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9"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1,079 </w:t>
            </w:r>
          </w:p>
        </w:tc>
        <w:tc>
          <w:tcPr>
            <w:tcW w:w="177"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9"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1,141 </w:t>
            </w:r>
          </w:p>
        </w:tc>
        <w:tc>
          <w:tcPr>
            <w:tcW w:w="177"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309 </w:t>
            </w:r>
          </w:p>
        </w:tc>
        <w:tc>
          <w:tcPr>
            <w:tcW w:w="17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766" w:type="dxa"/>
            <w:gridSpan w:val="3"/>
            <w:tcBorders/>
            <w:shd w:fill="F7F7F7" w:val="clear"/>
            <w:tcMar>
              <w:top w:w="0" w:type="dxa"/>
              <w:left w:w="0" w:type="dxa"/>
              <w:bottom w:w="0" w:type="dxa"/>
              <w:right w:w="0" w:type="dxa"/>
            </w:tcMar>
            <w:vAlign w:val="center"/>
          </w:tcPr>
          <w:p>
            <w:pPr>
              <w:pStyle w:val="TableContents"/>
              <w:bidi w:val="0"/>
              <w:spacing w:lineRule="auto" w:line="240" w:before="0" w:after="283"/>
              <w:jc w:val="left"/>
              <w:rPr>
                <w:rFonts w:ascii="Adelle Sans;sans-serif" w:hAnsi="Adelle Sans;sans-serif"/>
                <w:b w:val="false"/>
                <w:color w:val="000000"/>
                <w:sz w:val="18"/>
              </w:rPr>
            </w:pPr>
            <w:r>
              <w:rPr>
                <w:rFonts w:ascii="Adelle Sans;sans-serif" w:hAnsi="Adelle Sans;sans-serif"/>
                <w:b w:val="false"/>
                <w:color w:val="000000"/>
                <w:sz w:val="18"/>
              </w:rPr>
              <w:t>Provision for income taxes</w:t>
            </w:r>
          </w:p>
        </w:tc>
        <w:tc>
          <w:tcPr>
            <w:tcW w:w="1309" w:type="dxa"/>
            <w:gridSpan w:val="2"/>
            <w:tcBorders>
              <w:top w:val="single" w:sz="4" w:space="0" w:color="000000"/>
            </w:tcBorders>
            <w:shd w:fill="F7F7F7" w:val="clear"/>
            <w:tcMar>
              <w:top w:w="52"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(273)</w:t>
            </w:r>
          </w:p>
        </w:tc>
        <w:tc>
          <w:tcPr>
            <w:tcW w:w="177" w:type="dxa"/>
            <w:tcBorders>
              <w:top w:val="single" w:sz="4" w:space="0" w:color="000000"/>
            </w:tcBorders>
            <w:shd w:fill="F7F7F7"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op w:val="single" w:sz="4" w:space="0" w:color="000000"/>
            </w:tcBorders>
            <w:shd w:fill="F7F7F7"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9" w:type="dxa"/>
            <w:gridSpan w:val="2"/>
            <w:tcBorders>
              <w:top w:val="single" w:sz="4" w:space="0" w:color="000000"/>
            </w:tcBorders>
            <w:shd w:fill="F7F7F7" w:val="clear"/>
            <w:tcMar>
              <w:top w:w="52"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(173)</w:t>
            </w:r>
          </w:p>
        </w:tc>
        <w:tc>
          <w:tcPr>
            <w:tcW w:w="177" w:type="dxa"/>
            <w:tcBorders>
              <w:top w:val="single" w:sz="4" w:space="0" w:color="000000"/>
            </w:tcBorders>
            <w:shd w:fill="F7F7F7"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9" w:type="dxa"/>
            <w:gridSpan w:val="2"/>
            <w:tcBorders>
              <w:top w:val="single" w:sz="4" w:space="0" w:color="000000"/>
            </w:tcBorders>
            <w:shd w:fill="F7F7F7" w:val="clear"/>
            <w:tcMar>
              <w:top w:w="52"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(220)</w:t>
            </w:r>
          </w:p>
        </w:tc>
        <w:tc>
          <w:tcPr>
            <w:tcW w:w="177" w:type="dxa"/>
            <w:tcBorders>
              <w:top w:val="single" w:sz="4" w:space="0" w:color="000000"/>
            </w:tcBorders>
            <w:shd w:fill="F7F7F7"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9" w:type="dxa"/>
            <w:gridSpan w:val="2"/>
            <w:tcBorders>
              <w:top w:val="single" w:sz="8" w:space="0" w:color="000000"/>
            </w:tcBorders>
            <w:shd w:fill="F7F7F7" w:val="clear"/>
            <w:tcMar>
              <w:top w:w="52"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(85)</w:t>
            </w:r>
          </w:p>
        </w:tc>
        <w:tc>
          <w:tcPr>
            <w:tcW w:w="177" w:type="dxa"/>
            <w:tcBorders>
              <w:top w:val="single" w:sz="8" w:space="0" w:color="000000"/>
            </w:tcBorders>
            <w:shd w:fill="F7F7F7"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delle Sans;sans-serif" w:hAnsi="Adelle Sans;sans-serif"/>
                <w:b/>
                <w:color w:val="000000"/>
                <w:sz w:val="18"/>
              </w:rPr>
            </w:pPr>
            <w:r>
              <w:rPr>
                <w:rFonts w:ascii="Adelle Sans;sans-serif" w:hAnsi="Adelle Sans;sans-serif"/>
                <w:b/>
                <w:color w:val="000000"/>
                <w:sz w:val="18"/>
              </w:rPr>
              <w:t>Net income</w:t>
            </w:r>
          </w:p>
        </w:tc>
        <w:tc>
          <w:tcPr>
            <w:tcW w:w="130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delle Sans;sans-serif" w:hAnsi="Adelle Sans;sans-serif"/>
                <w:b/>
                <w:color w:val="000000"/>
                <w:sz w:val="18"/>
              </w:rPr>
              <w:t>1,502</w:t>
            </w:r>
            <w:r>
              <w:rPr>
                <w:color w:val="000000"/>
              </w:rPr>
              <w:t> </w:t>
            </w:r>
          </w:p>
        </w:tc>
        <w:tc>
          <w:tcPr>
            <w:tcW w:w="17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delle Sans;sans-serif" w:hAnsi="Adelle Sans;sans-serif"/>
                <w:b/>
                <w:color w:val="000000"/>
                <w:sz w:val="18"/>
              </w:rPr>
              <w:t>906</w:t>
            </w:r>
            <w:r>
              <w:rPr>
                <w:color w:val="000000"/>
              </w:rPr>
              <w:t> </w:t>
            </w:r>
          </w:p>
        </w:tc>
        <w:tc>
          <w:tcPr>
            <w:tcW w:w="17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delle Sans;sans-serif" w:hAnsi="Adelle Sans;sans-serif"/>
                <w:b/>
                <w:color w:val="000000"/>
                <w:sz w:val="18"/>
              </w:rPr>
              <w:t>921</w:t>
            </w:r>
            <w:r>
              <w:rPr>
                <w:color w:val="000000"/>
              </w:rPr>
              <w:t> </w:t>
            </w:r>
          </w:p>
        </w:tc>
        <w:tc>
          <w:tcPr>
            <w:tcW w:w="17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delle Sans;sans-serif" w:hAnsi="Adelle Sans;sans-serif"/>
                <w:b/>
                <w:color w:val="000000"/>
                <w:sz w:val="18"/>
              </w:rPr>
              <w:t>224</w:t>
            </w:r>
            <w:r>
              <w:rPr>
                <w:color w:val="000000"/>
              </w:rPr>
              <w:t> </w:t>
            </w:r>
          </w:p>
        </w:tc>
        <w:tc>
          <w:tcPr>
            <w:tcW w:w="17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766" w:type="dxa"/>
            <w:gridSpan w:val="3"/>
            <w:tcBorders>
              <w:top w:val="single" w:sz="8" w:space="0" w:color="000000"/>
            </w:tcBorders>
            <w:shd w:fill="F7F7F7"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3"/>
            <w:tcBorders>
              <w:top w:val="single" w:sz="8" w:space="0" w:color="000000"/>
            </w:tcBorders>
            <w:shd w:fill="F7F7F7"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op w:val="single" w:sz="8" w:space="0" w:color="000000"/>
            </w:tcBorders>
            <w:shd w:fill="F7F7F7"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3"/>
            <w:tcBorders>
              <w:top w:val="single" w:sz="8" w:space="0" w:color="000000"/>
            </w:tcBorders>
            <w:shd w:fill="F7F7F7"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3"/>
            <w:tcBorders>
              <w:top w:val="single" w:sz="8" w:space="0" w:color="000000"/>
            </w:tcBorders>
            <w:shd w:fill="F7F7F7"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3"/>
            <w:tcBorders>
              <w:top w:val="single" w:sz="8" w:space="0" w:color="000000"/>
            </w:tcBorders>
            <w:shd w:fill="F7F7F7"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delle Sans;sans-serif" w:hAnsi="Adelle Sans;sans-serif"/>
                <w:b/>
                <w:color w:val="000000"/>
                <w:sz w:val="18"/>
              </w:rPr>
            </w:pPr>
            <w:r>
              <w:rPr>
                <w:rFonts w:ascii="Adelle Sans;sans-serif" w:hAnsi="Adelle Sans;sans-serif"/>
                <w:b/>
                <w:color w:val="000000"/>
                <w:sz w:val="18"/>
              </w:rPr>
              <w:t>Net income per share attributable to shareholders:</w:t>
            </w:r>
          </w:p>
        </w:tc>
        <w:tc>
          <w:tcPr>
            <w:tcW w:w="14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766" w:type="dxa"/>
            <w:gridSpan w:val="3"/>
            <w:tcBorders/>
            <w:shd w:fill="F7F7F7" w:val="clear"/>
            <w:tcMar>
              <w:top w:w="0" w:type="dxa"/>
              <w:left w:w="0" w:type="dxa"/>
              <w:bottom w:w="0" w:type="dxa"/>
              <w:right w:w="0" w:type="dxa"/>
            </w:tcMar>
            <w:vAlign w:val="center"/>
          </w:tcPr>
          <w:p>
            <w:pPr>
              <w:pStyle w:val="TableContents"/>
              <w:bidi w:val="0"/>
              <w:spacing w:lineRule="auto" w:line="240" w:before="0" w:after="283"/>
              <w:jc w:val="left"/>
              <w:rPr>
                <w:rFonts w:ascii="Adelle Sans;sans-serif" w:hAnsi="Adelle Sans;sans-serif"/>
                <w:b w:val="false"/>
                <w:color w:val="000000"/>
                <w:sz w:val="18"/>
              </w:rPr>
            </w:pPr>
            <w:r>
              <w:rPr>
                <w:rFonts w:ascii="Adelle Sans;sans-serif" w:hAnsi="Adelle Sans;sans-serif"/>
                <w:b w:val="false"/>
                <w:color w:val="000000"/>
                <w:sz w:val="18"/>
              </w:rPr>
              <w:t xml:space="preserve">Basic </w:t>
            </w:r>
          </w:p>
        </w:tc>
        <w:tc>
          <w:tcPr>
            <w:tcW w:w="364" w:type="dxa"/>
            <w:tcBorders/>
            <w:shd w:fill="F7F7F7" w:val="clear"/>
            <w:tcMar>
              <w:top w:w="0" w:type="dxa"/>
              <w:left w:w="0" w:type="dxa"/>
              <w:bottom w:w="0" w:type="dxa"/>
              <w:right w:w="0" w:type="dxa"/>
            </w:tcMar>
            <w:vAlign w:val="center"/>
          </w:tcPr>
          <w:p>
            <w:pPr>
              <w:pStyle w:val="TableContents"/>
              <w:bidi w:val="0"/>
              <w:spacing w:lineRule="auto" w:line="240" w:before="0" w:after="283"/>
              <w:jc w:val="left"/>
              <w:rPr>
                <w:rFonts w:ascii="Adelle Sans;sans-serif" w:hAnsi="Adelle Sans;sans-serif"/>
                <w:b w:val="false"/>
                <w:color w:val="000000"/>
                <w:sz w:val="18"/>
              </w:rPr>
            </w:pPr>
            <w:r>
              <w:rPr>
                <w:rFonts w:ascii="Adelle Sans;sans-serif" w:hAnsi="Adelle Sans;sans-serif"/>
                <w:b w:val="false"/>
                <w:color w:val="000000"/>
                <w:sz w:val="18"/>
              </w:rPr>
              <w:t>$</w:t>
            </w:r>
          </w:p>
        </w:tc>
        <w:tc>
          <w:tcPr>
            <w:tcW w:w="945" w:type="dxa"/>
            <w:tcBorders/>
            <w:shd w:fill="F7F7F7"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1.16 </w:t>
            </w:r>
          </w:p>
        </w:tc>
        <w:tc>
          <w:tcPr>
            <w:tcW w:w="177" w:type="dxa"/>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 w:type="dxa"/>
            <w:tcBorders/>
            <w:shd w:fill="F7F7F7" w:val="clear"/>
            <w:tcMar>
              <w:top w:w="0" w:type="dxa"/>
              <w:left w:w="0" w:type="dxa"/>
              <w:bottom w:w="0" w:type="dxa"/>
              <w:right w:w="0" w:type="dxa"/>
            </w:tcMar>
            <w:vAlign w:val="center"/>
          </w:tcPr>
          <w:p>
            <w:pPr>
              <w:pStyle w:val="TableContents"/>
              <w:bidi w:val="0"/>
              <w:spacing w:lineRule="auto" w:line="240" w:before="0" w:after="283"/>
              <w:jc w:val="left"/>
              <w:rPr>
                <w:rFonts w:ascii="Adelle Sans;sans-serif" w:hAnsi="Adelle Sans;sans-serif"/>
                <w:b w:val="false"/>
                <w:color w:val="000000"/>
                <w:sz w:val="18"/>
              </w:rPr>
            </w:pPr>
            <w:r>
              <w:rPr>
                <w:rFonts w:ascii="Adelle Sans;sans-serif" w:hAnsi="Adelle Sans;sans-serif"/>
                <w:b w:val="false"/>
                <w:color w:val="000000"/>
                <w:sz w:val="18"/>
              </w:rPr>
              <w:t>$</w:t>
            </w:r>
          </w:p>
        </w:tc>
        <w:tc>
          <w:tcPr>
            <w:tcW w:w="945" w:type="dxa"/>
            <w:tcBorders/>
            <w:shd w:fill="F7F7F7"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0.70 </w:t>
            </w:r>
          </w:p>
        </w:tc>
        <w:tc>
          <w:tcPr>
            <w:tcW w:w="177" w:type="dxa"/>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 w:type="dxa"/>
            <w:tcBorders/>
            <w:shd w:fill="F7F7F7" w:val="clear"/>
            <w:tcMar>
              <w:top w:w="0" w:type="dxa"/>
              <w:left w:w="0" w:type="dxa"/>
              <w:bottom w:w="0" w:type="dxa"/>
              <w:right w:w="0" w:type="dxa"/>
            </w:tcMar>
            <w:vAlign w:val="center"/>
          </w:tcPr>
          <w:p>
            <w:pPr>
              <w:pStyle w:val="TableContents"/>
              <w:bidi w:val="0"/>
              <w:spacing w:lineRule="auto" w:line="240" w:before="0" w:after="283"/>
              <w:jc w:val="left"/>
              <w:rPr>
                <w:rFonts w:ascii="Adelle Sans;sans-serif" w:hAnsi="Adelle Sans;sans-serif"/>
                <w:b w:val="false"/>
                <w:color w:val="000000"/>
                <w:sz w:val="18"/>
              </w:rPr>
            </w:pPr>
            <w:r>
              <w:rPr>
                <w:rFonts w:ascii="Adelle Sans;sans-serif" w:hAnsi="Adelle Sans;sans-serif"/>
                <w:b w:val="false"/>
                <w:color w:val="000000"/>
                <w:sz w:val="18"/>
              </w:rPr>
              <w:t>$</w:t>
            </w:r>
          </w:p>
        </w:tc>
        <w:tc>
          <w:tcPr>
            <w:tcW w:w="945" w:type="dxa"/>
            <w:tcBorders/>
            <w:shd w:fill="F7F7F7"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0.71 </w:t>
            </w:r>
          </w:p>
        </w:tc>
        <w:tc>
          <w:tcPr>
            <w:tcW w:w="177" w:type="dxa"/>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 w:type="dxa"/>
            <w:tcBorders/>
            <w:shd w:fill="F7F7F7" w:val="clear"/>
            <w:tcMar>
              <w:top w:w="0" w:type="dxa"/>
              <w:left w:w="0" w:type="dxa"/>
              <w:bottom w:w="0" w:type="dxa"/>
              <w:right w:w="0" w:type="dxa"/>
            </w:tcMar>
            <w:vAlign w:val="center"/>
          </w:tcPr>
          <w:p>
            <w:pPr>
              <w:pStyle w:val="TableContents"/>
              <w:bidi w:val="0"/>
              <w:spacing w:lineRule="auto" w:line="240" w:before="0" w:after="283"/>
              <w:jc w:val="left"/>
              <w:rPr>
                <w:rFonts w:ascii="Adelle Sans;sans-serif" w:hAnsi="Adelle Sans;sans-serif"/>
                <w:b w:val="false"/>
                <w:color w:val="000000"/>
                <w:sz w:val="18"/>
              </w:rPr>
            </w:pPr>
            <w:r>
              <w:rPr>
                <w:rFonts w:ascii="Adelle Sans;sans-serif" w:hAnsi="Adelle Sans;sans-serif"/>
                <w:b w:val="false"/>
                <w:color w:val="000000"/>
                <w:sz w:val="18"/>
              </w:rPr>
              <w:t>$</w:t>
            </w:r>
          </w:p>
        </w:tc>
        <w:tc>
          <w:tcPr>
            <w:tcW w:w="945" w:type="dxa"/>
            <w:tcBorders/>
            <w:shd w:fill="F7F7F7"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0.17 </w:t>
            </w:r>
          </w:p>
        </w:tc>
        <w:tc>
          <w:tcPr>
            <w:tcW w:w="177" w:type="dxa"/>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delle Sans;sans-serif" w:hAnsi="Adelle Sans;sans-serif"/>
                <w:b w:val="false"/>
                <w:color w:val="000000"/>
                <w:sz w:val="18"/>
              </w:rPr>
            </w:pPr>
            <w:r>
              <w:rPr>
                <w:rFonts w:ascii="Adelle Sans;sans-serif" w:hAnsi="Adelle Sans;sans-serif"/>
                <w:b w:val="false"/>
                <w:color w:val="000000"/>
                <w:sz w:val="18"/>
              </w:rPr>
              <w:t>Diluted</w:t>
            </w:r>
          </w:p>
        </w:tc>
        <w:tc>
          <w:tcPr>
            <w:tcW w:w="36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delle Sans;sans-serif" w:hAnsi="Adelle Sans;sans-serif"/>
                <w:b w:val="false"/>
                <w:color w:val="000000"/>
                <w:sz w:val="18"/>
              </w:rPr>
            </w:pPr>
            <w:r>
              <w:rPr>
                <w:rFonts w:ascii="Adelle Sans;sans-serif" w:hAnsi="Adelle Sans;sans-serif"/>
                <w:b w:val="false"/>
                <w:color w:val="000000"/>
                <w:sz w:val="18"/>
              </w:rPr>
              <w:t>$</w:t>
            </w:r>
          </w:p>
        </w:tc>
        <w:tc>
          <w:tcPr>
            <w:tcW w:w="9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1.16 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delle Sans;sans-serif" w:hAnsi="Adelle Sans;sans-serif"/>
                <w:b w:val="false"/>
                <w:color w:val="000000"/>
                <w:sz w:val="18"/>
              </w:rPr>
            </w:pPr>
            <w:r>
              <w:rPr>
                <w:rFonts w:ascii="Adelle Sans;sans-serif" w:hAnsi="Adelle Sans;sans-serif"/>
                <w:b w:val="false"/>
                <w:color w:val="000000"/>
                <w:sz w:val="18"/>
              </w:rPr>
              <w:t>$</w:t>
            </w:r>
          </w:p>
        </w:tc>
        <w:tc>
          <w:tcPr>
            <w:tcW w:w="9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0.69 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delle Sans;sans-serif" w:hAnsi="Adelle Sans;sans-serif"/>
                <w:b w:val="false"/>
                <w:color w:val="000000"/>
                <w:sz w:val="18"/>
              </w:rPr>
            </w:pPr>
            <w:r>
              <w:rPr>
                <w:rFonts w:ascii="Adelle Sans;sans-serif" w:hAnsi="Adelle Sans;sans-serif"/>
                <w:b w:val="false"/>
                <w:color w:val="000000"/>
                <w:sz w:val="18"/>
              </w:rPr>
              <w:t>$</w:t>
            </w:r>
          </w:p>
        </w:tc>
        <w:tc>
          <w:tcPr>
            <w:tcW w:w="9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0.71 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delle Sans;sans-serif" w:hAnsi="Adelle Sans;sans-serif"/>
                <w:b w:val="false"/>
                <w:color w:val="000000"/>
                <w:sz w:val="18"/>
              </w:rPr>
            </w:pPr>
            <w:r>
              <w:rPr>
                <w:rFonts w:ascii="Adelle Sans;sans-serif" w:hAnsi="Adelle Sans;sans-serif"/>
                <w:b w:val="false"/>
                <w:color w:val="000000"/>
                <w:sz w:val="18"/>
              </w:rPr>
              <w:t>$</w:t>
            </w:r>
          </w:p>
        </w:tc>
        <w:tc>
          <w:tcPr>
            <w:tcW w:w="9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0.17 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766"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delle Sans;sans-serif" w:hAnsi="Adelle Sans;sans-serif"/>
                <w:b/>
                <w:color w:val="000000"/>
                <w:sz w:val="18"/>
              </w:rPr>
            </w:pPr>
            <w:r>
              <w:rPr>
                <w:rFonts w:ascii="Adelle Sans;sans-serif" w:hAnsi="Adelle Sans;sans-serif"/>
                <w:b/>
                <w:color w:val="000000"/>
                <w:sz w:val="18"/>
              </w:rPr>
              <w:t>Weighted average shares used to compute net income per share attributable to shareholders:</w:t>
            </w:r>
          </w:p>
        </w:tc>
        <w:tc>
          <w:tcPr>
            <w:tcW w:w="14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766" w:type="dxa"/>
            <w:gridSpan w:val="3"/>
            <w:tcBorders/>
            <w:shd w:fill="F7F7F7" w:val="clear"/>
            <w:tcMar>
              <w:top w:w="0" w:type="dxa"/>
              <w:left w:w="0" w:type="dxa"/>
              <w:bottom w:w="0" w:type="dxa"/>
              <w:right w:w="0" w:type="dxa"/>
            </w:tcMar>
            <w:vAlign w:val="center"/>
          </w:tcPr>
          <w:p>
            <w:pPr>
              <w:pStyle w:val="TableContents"/>
              <w:bidi w:val="0"/>
              <w:spacing w:lineRule="auto" w:line="240" w:before="0" w:after="283"/>
              <w:jc w:val="left"/>
              <w:rPr>
                <w:rFonts w:ascii="Adelle Sans;sans-serif" w:hAnsi="Adelle Sans;sans-serif"/>
                <w:b w:val="false"/>
                <w:color w:val="000000"/>
                <w:sz w:val="18"/>
              </w:rPr>
            </w:pPr>
            <w:r>
              <w:rPr>
                <w:rFonts w:ascii="Adelle Sans;sans-serif" w:hAnsi="Adelle Sans;sans-serif"/>
                <w:b w:val="false"/>
                <w:color w:val="000000"/>
                <w:sz w:val="18"/>
              </w:rPr>
              <w:t>Basic</w:t>
            </w:r>
          </w:p>
        </w:tc>
        <w:tc>
          <w:tcPr>
            <w:tcW w:w="1486" w:type="dxa"/>
            <w:gridSpan w:val="3"/>
            <w:tcBorders/>
            <w:shd w:fill="F7F7F7"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1,295,220,307</w:t>
            </w:r>
          </w:p>
        </w:tc>
        <w:tc>
          <w:tcPr>
            <w:tcW w:w="345"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3"/>
            <w:tcBorders/>
            <w:shd w:fill="F7F7F7"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1,297,746,050</w:t>
            </w:r>
          </w:p>
        </w:tc>
        <w:tc>
          <w:tcPr>
            <w:tcW w:w="327"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3"/>
            <w:tcBorders/>
            <w:shd w:fill="F7F7F7"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1,299,266,611</w:t>
            </w:r>
          </w:p>
        </w:tc>
        <w:tc>
          <w:tcPr>
            <w:tcW w:w="339"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3"/>
            <w:tcBorders/>
            <w:shd w:fill="F7F7F7"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1,296,593,342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delle Sans;sans-serif" w:hAnsi="Adelle Sans;sans-serif"/>
                <w:b w:val="false"/>
                <w:color w:val="000000"/>
                <w:sz w:val="18"/>
              </w:rPr>
            </w:pPr>
            <w:r>
              <w:rPr>
                <w:rFonts w:ascii="Adelle Sans;sans-serif" w:hAnsi="Adelle Sans;sans-serif"/>
                <w:b w:val="false"/>
                <w:color w:val="000000"/>
                <w:sz w:val="18"/>
              </w:rPr>
              <w:t>Diluted</w:t>
            </w:r>
          </w:p>
        </w:tc>
        <w:tc>
          <w:tcPr>
            <w:tcW w:w="14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1,297,940,958</w:t>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1,308,993,838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1,302,627,927</w:t>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1,308,463,539</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766" w:type="dxa"/>
            <w:gridSpan w:val="3"/>
            <w:tcBorders>
              <w:top w:val="single" w:sz="8" w:space="0" w:color="000000"/>
            </w:tcBorders>
            <w:shd w:fill="F7F7F7"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3"/>
            <w:tcBorders>
              <w:top w:val="single" w:sz="8" w:space="0" w:color="000000"/>
            </w:tcBorders>
            <w:shd w:fill="F7F7F7"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op w:val="single" w:sz="8" w:space="0" w:color="000000"/>
            </w:tcBorders>
            <w:shd w:fill="F7F7F7"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3"/>
            <w:tcBorders>
              <w:top w:val="single" w:sz="8" w:space="0" w:color="000000"/>
            </w:tcBorders>
            <w:shd w:fill="F7F7F7"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3"/>
            <w:tcBorders>
              <w:top w:val="single" w:sz="8" w:space="0" w:color="000000"/>
            </w:tcBorders>
            <w:shd w:fill="F7F7F7"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3"/>
            <w:tcBorders>
              <w:top w:val="single" w:sz="8" w:space="0" w:color="000000"/>
            </w:tcBorders>
            <w:shd w:fill="F7F7F7"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delle Sans;sans-serif" w:hAnsi="Adelle Sans;sans-serif"/>
                <w:b/>
                <w:color w:val="000000"/>
                <w:sz w:val="18"/>
              </w:rPr>
            </w:pPr>
            <w:r>
              <w:rPr>
                <w:rFonts w:ascii="Adelle Sans;sans-serif" w:hAnsi="Adelle Sans;sans-serif"/>
                <w:b/>
                <w:color w:val="000000"/>
                <w:sz w:val="18"/>
              </w:rPr>
              <w:t>Other comprehensive (loss) income</w:t>
            </w:r>
          </w:p>
        </w:tc>
        <w:tc>
          <w:tcPr>
            <w:tcW w:w="14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766" w:type="dxa"/>
            <w:gridSpan w:val="3"/>
            <w:tcBorders/>
            <w:shd w:fill="F7F7F7" w:val="clear"/>
            <w:tcMar>
              <w:top w:w="0" w:type="dxa"/>
              <w:left w:w="0" w:type="dxa"/>
              <w:bottom w:w="0" w:type="dxa"/>
              <w:right w:w="0" w:type="dxa"/>
            </w:tcMar>
            <w:vAlign w:val="center"/>
          </w:tcPr>
          <w:p>
            <w:pPr>
              <w:pStyle w:val="TableContents"/>
              <w:bidi w:val="0"/>
              <w:spacing w:lineRule="auto" w:line="240" w:before="0" w:after="283"/>
              <w:jc w:val="left"/>
              <w:rPr>
                <w:rFonts w:ascii="Adelle Sans;sans-serif" w:hAnsi="Adelle Sans;sans-serif"/>
                <w:b w:val="false"/>
                <w:color w:val="000000"/>
                <w:sz w:val="18"/>
              </w:rPr>
            </w:pPr>
            <w:r>
              <w:rPr>
                <w:rFonts w:ascii="Adelle Sans;sans-serif" w:hAnsi="Adelle Sans;sans-serif"/>
                <w:b w:val="false"/>
                <w:color w:val="000000"/>
                <w:sz w:val="18"/>
              </w:rPr>
              <w:t>Unrealized (loss) gain on cash flow hedges</w:t>
            </w:r>
          </w:p>
        </w:tc>
        <w:tc>
          <w:tcPr>
            <w:tcW w:w="1309" w:type="dxa"/>
            <w:gridSpan w:val="2"/>
            <w:tcBorders/>
            <w:shd w:fill="F7F7F7"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(4)</w:t>
            </w:r>
          </w:p>
        </w:tc>
        <w:tc>
          <w:tcPr>
            <w:tcW w:w="177" w:type="dxa"/>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9" w:type="dxa"/>
            <w:gridSpan w:val="2"/>
            <w:tcBorders/>
            <w:shd w:fill="F7F7F7"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16 </w:t>
            </w:r>
          </w:p>
        </w:tc>
        <w:tc>
          <w:tcPr>
            <w:tcW w:w="177" w:type="dxa"/>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9" w:type="dxa"/>
            <w:gridSpan w:val="2"/>
            <w:tcBorders/>
            <w:shd w:fill="F7F7F7"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(11)</w:t>
            </w:r>
          </w:p>
        </w:tc>
        <w:tc>
          <w:tcPr>
            <w:tcW w:w="177" w:type="dxa"/>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9" w:type="dxa"/>
            <w:gridSpan w:val="2"/>
            <w:tcBorders/>
            <w:shd w:fill="F7F7F7"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21 </w:t>
            </w:r>
          </w:p>
        </w:tc>
        <w:tc>
          <w:tcPr>
            <w:tcW w:w="177" w:type="dxa"/>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delle Sans;sans-serif" w:hAnsi="Adelle Sans;sans-serif"/>
                <w:b w:val="false"/>
                <w:color w:val="000000"/>
                <w:sz w:val="18"/>
              </w:rPr>
            </w:pPr>
            <w:r>
              <w:rPr>
                <w:rFonts w:ascii="Adelle Sans;sans-serif" w:hAnsi="Adelle Sans;sans-serif"/>
                <w:b w:val="false"/>
                <w:color w:val="000000"/>
                <w:sz w:val="18"/>
              </w:rPr>
              <w:t>Tax effect on unrealized (loss) gain on cash flow hedges</w:t>
            </w:r>
          </w:p>
        </w:tc>
        <w:tc>
          <w:tcPr>
            <w:tcW w:w="13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1 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(5)</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3 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(6)</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766" w:type="dxa"/>
            <w:gridSpan w:val="3"/>
            <w:tcBorders/>
            <w:shd w:fill="F7F7F7" w:val="clear"/>
            <w:tcMar>
              <w:top w:w="0" w:type="dxa"/>
              <w:left w:w="0" w:type="dxa"/>
              <w:bottom w:w="0" w:type="dxa"/>
              <w:right w:w="0" w:type="dxa"/>
            </w:tcMar>
            <w:vAlign w:val="center"/>
          </w:tcPr>
          <w:p>
            <w:pPr>
              <w:pStyle w:val="TableContents"/>
              <w:bidi w:val="0"/>
              <w:spacing w:lineRule="auto" w:line="240" w:before="0" w:after="283"/>
              <w:jc w:val="left"/>
              <w:rPr>
                <w:rFonts w:ascii="Adelle Sans;sans-serif" w:hAnsi="Adelle Sans;sans-serif"/>
                <w:b w:val="false"/>
                <w:color w:val="000000"/>
                <w:sz w:val="18"/>
              </w:rPr>
            </w:pPr>
            <w:r>
              <w:rPr>
                <w:rFonts w:ascii="Adelle Sans;sans-serif" w:hAnsi="Adelle Sans;sans-serif"/>
                <w:b w:val="false"/>
                <w:color w:val="000000"/>
                <w:sz w:val="18"/>
              </w:rPr>
              <w:t>Total other comprehensive (loss) income</w:t>
            </w:r>
          </w:p>
        </w:tc>
        <w:tc>
          <w:tcPr>
            <w:tcW w:w="1309" w:type="dxa"/>
            <w:gridSpan w:val="2"/>
            <w:tcBorders>
              <w:top w:val="single" w:sz="4" w:space="0" w:color="000000"/>
            </w:tcBorders>
            <w:shd w:fill="F7F7F7" w:val="clear"/>
            <w:tcMar>
              <w:top w:w="52"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(3)</w:t>
            </w:r>
          </w:p>
        </w:tc>
        <w:tc>
          <w:tcPr>
            <w:tcW w:w="177" w:type="dxa"/>
            <w:tcBorders>
              <w:top w:val="single" w:sz="4" w:space="0" w:color="000000"/>
            </w:tcBorders>
            <w:shd w:fill="F7F7F7"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op w:val="single" w:sz="4" w:space="0" w:color="000000"/>
            </w:tcBorders>
            <w:shd w:fill="F7F7F7"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9" w:type="dxa"/>
            <w:gridSpan w:val="2"/>
            <w:tcBorders>
              <w:top w:val="single" w:sz="4" w:space="0" w:color="000000"/>
            </w:tcBorders>
            <w:shd w:fill="F7F7F7" w:val="clear"/>
            <w:tcMar>
              <w:top w:w="52"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11 </w:t>
            </w:r>
          </w:p>
        </w:tc>
        <w:tc>
          <w:tcPr>
            <w:tcW w:w="177" w:type="dxa"/>
            <w:tcBorders>
              <w:top w:val="single" w:sz="4" w:space="0" w:color="000000"/>
            </w:tcBorders>
            <w:shd w:fill="F7F7F7"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9" w:type="dxa"/>
            <w:gridSpan w:val="2"/>
            <w:tcBorders>
              <w:top w:val="single" w:sz="4" w:space="0" w:color="000000"/>
            </w:tcBorders>
            <w:shd w:fill="F7F7F7" w:val="clear"/>
            <w:tcMar>
              <w:top w:w="52"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(8)</w:t>
            </w:r>
          </w:p>
        </w:tc>
        <w:tc>
          <w:tcPr>
            <w:tcW w:w="177" w:type="dxa"/>
            <w:tcBorders>
              <w:top w:val="single" w:sz="4" w:space="0" w:color="000000"/>
            </w:tcBorders>
            <w:shd w:fill="F7F7F7"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9" w:type="dxa"/>
            <w:gridSpan w:val="2"/>
            <w:tcBorders>
              <w:top w:val="single" w:sz="4" w:space="0" w:color="000000"/>
            </w:tcBorders>
            <w:shd w:fill="F7F7F7" w:val="clear"/>
            <w:tcMar>
              <w:top w:w="52"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15 </w:t>
            </w:r>
          </w:p>
        </w:tc>
        <w:tc>
          <w:tcPr>
            <w:tcW w:w="177" w:type="dxa"/>
            <w:tcBorders>
              <w:top w:val="single" w:sz="4" w:space="0" w:color="000000"/>
            </w:tcBorders>
            <w:shd w:fill="F7F7F7"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delle Sans;sans-serif" w:hAnsi="Adelle Sans;sans-serif"/>
                <w:b/>
                <w:color w:val="000000"/>
                <w:sz w:val="18"/>
              </w:rPr>
            </w:pPr>
            <w:r>
              <w:rPr>
                <w:rFonts w:ascii="Adelle Sans;sans-serif" w:hAnsi="Adelle Sans;sans-serif"/>
                <w:b/>
                <w:color w:val="000000"/>
                <w:sz w:val="18"/>
              </w:rPr>
              <w:t>Comprehensive income</w:t>
            </w:r>
          </w:p>
        </w:tc>
        <w:tc>
          <w:tcPr>
            <w:tcW w:w="130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delle Sans;sans-serif" w:hAnsi="Adelle Sans;sans-serif"/>
                <w:b/>
                <w:color w:val="000000"/>
                <w:sz w:val="18"/>
              </w:rPr>
              <w:t>1,499</w:t>
            </w:r>
            <w:r>
              <w:rPr>
                <w:color w:val="000000"/>
              </w:rPr>
              <w:t> </w:t>
            </w:r>
          </w:p>
        </w:tc>
        <w:tc>
          <w:tcPr>
            <w:tcW w:w="17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delle Sans;sans-serif" w:hAnsi="Adelle Sans;sans-serif"/>
                <w:b/>
                <w:color w:val="000000"/>
                <w:sz w:val="18"/>
              </w:rPr>
              <w:t>917</w:t>
            </w:r>
            <w:r>
              <w:rPr>
                <w:color w:val="000000"/>
              </w:rPr>
              <w:t> </w:t>
            </w:r>
          </w:p>
        </w:tc>
        <w:tc>
          <w:tcPr>
            <w:tcW w:w="17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delle Sans;sans-serif" w:hAnsi="Adelle Sans;sans-serif"/>
                <w:b/>
                <w:color w:val="000000"/>
                <w:sz w:val="18"/>
              </w:rPr>
              <w:t>913</w:t>
            </w:r>
            <w:r>
              <w:rPr>
                <w:color w:val="000000"/>
              </w:rPr>
              <w:t> </w:t>
            </w:r>
          </w:p>
        </w:tc>
        <w:tc>
          <w:tcPr>
            <w:tcW w:w="17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delle Sans;sans-serif" w:hAnsi="Adelle Sans;sans-serif"/>
                <w:b/>
                <w:color w:val="000000"/>
                <w:sz w:val="18"/>
              </w:rPr>
              <w:t>239</w:t>
            </w:r>
            <w:r>
              <w:rPr>
                <w:color w:val="000000"/>
              </w:rPr>
              <w:t> </w:t>
            </w:r>
          </w:p>
        </w:tc>
        <w:tc>
          <w:tcPr>
            <w:tcW w:w="17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766" w:type="dxa"/>
            <w:gridSpan w:val="3"/>
            <w:tcBorders/>
            <w:vAlign w:val="center"/>
          </w:tcPr>
          <w:p>
            <w:pPr>
              <w:pStyle w:val="TableContents"/>
              <w:bidi w:val="0"/>
              <w:spacing w:before="0" w:after="283"/>
              <w:jc w:val="left"/>
              <w:rPr>
                <w:sz w:val="4"/>
                <w:szCs w:val="4"/>
              </w:rPr>
            </w:pPr>
            <w:r>
              <w:rPr>
                <w:sz w:val="4"/>
                <w:szCs w:val="4"/>
              </w:rPr>
            </w:r>
          </w:p>
        </w:tc>
        <w:tc>
          <w:tcPr>
            <w:tcW w:w="1486"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4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6"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48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766" w:type="dxa"/>
            <w:gridSpan w:val="3"/>
            <w:tcBorders/>
            <w:vAlign w:val="center"/>
          </w:tcPr>
          <w:p>
            <w:pPr>
              <w:pStyle w:val="TableContents"/>
              <w:bidi w:val="0"/>
              <w:spacing w:before="0" w:after="283"/>
              <w:jc w:val="left"/>
              <w:rPr>
                <w:sz w:val="4"/>
                <w:szCs w:val="4"/>
              </w:rPr>
            </w:pPr>
            <w:r>
              <w:rPr>
                <w:sz w:val="4"/>
                <w:szCs w:val="4"/>
              </w:rPr>
            </w:r>
          </w:p>
        </w:tc>
        <w:tc>
          <w:tcPr>
            <w:tcW w:w="1486"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4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6"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48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766" w:type="dxa"/>
            <w:gridSpan w:val="3"/>
            <w:tcBorders/>
            <w:vAlign w:val="center"/>
          </w:tcPr>
          <w:p>
            <w:pPr>
              <w:pStyle w:val="TableContents"/>
              <w:bidi w:val="0"/>
              <w:spacing w:before="0" w:after="283"/>
              <w:jc w:val="left"/>
              <w:rPr>
                <w:sz w:val="4"/>
                <w:szCs w:val="4"/>
              </w:rPr>
            </w:pPr>
            <w:r>
              <w:rPr>
                <w:sz w:val="4"/>
                <w:szCs w:val="4"/>
              </w:rPr>
            </w:r>
          </w:p>
        </w:tc>
        <w:tc>
          <w:tcPr>
            <w:tcW w:w="1486"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4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6"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48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jc w:val="both"/>
        <w:rPr>
          <w:rFonts w:ascii="Adelle Sans Light;sans-serif" w:hAnsi="Adelle Sans Light;sans-serif"/>
          <w:b w:val="false"/>
          <w:color w:val="000000"/>
          <w:sz w:val="18"/>
        </w:rPr>
      </w:pPr>
      <w:r>
        <w:rPr>
          <w:rFonts w:ascii="Adelle Sans Light;sans-serif" w:hAnsi="Adelle Sans Light;sans-serif"/>
          <w:b w:val="false"/>
          <w:color w:val="000000"/>
          <w:sz w:val="18"/>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7955"/>
                <wp:effectExtent l="0" t="0" r="0" b="0"/>
                <wp:wrapNone/>
                <wp:docPr id="8" name="Frame7"/>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200"/>
                              <w:jc w:val="center"/>
                              <w:rPr>
                                <w:rFonts w:ascii="Adelle Sans Light;sans-serif" w:hAnsi="Adelle Sans Light;sans-serif"/>
                                <w:b w:val="false"/>
                                <w:color w:val="000000"/>
                                <w:sz w:val="20"/>
                              </w:rPr>
                            </w:pPr>
                            <w:r>
                              <w:rPr>
                                <w:rFonts w:ascii="Adelle Sans Light;sans-serif" w:hAnsi="Adelle Sans Light;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Adelle Sans Light;sans-serif" w:hAnsi="Adelle Sans Light;sans-serif"/>
                          <w:b w:val="false"/>
                          <w:color w:val="000000"/>
                          <w:sz w:val="20"/>
                        </w:rPr>
                      </w:pPr>
                      <w:r>
                        <w:rPr>
                          <w:rFonts w:ascii="Adelle Sans Light;sans-serif" w:hAnsi="Adelle Sans Light;sans-serif"/>
                          <w:b w:val="false"/>
                          <w:color w:val="000000"/>
                          <w:sz w:val="20"/>
                        </w:rPr>
                        <w:t>7</w:t>
                      </w:r>
                    </w:p>
                  </w:txbxContent>
                </v:textbox>
                <w10:wrap type="none"/>
              </v:rect>
            </w:pict>
          </mc:Fallback>
        </mc:AlternateContent>
      </w:r>
    </w:p>
    <w:p>
      <w:pPr>
        <w:pStyle w:val="TextBody"/>
        <w:bidi w:val="0"/>
        <w:spacing w:before="0" w:after="200"/>
        <w:jc w:val="both"/>
        <w:rPr/>
      </w:pPr>
      <w:r>
        <w:rPr/>
      </w:r>
    </w:p>
    <w:p>
      <w:pPr>
        <w:pStyle w:val="TextBody"/>
        <w:bidi w:val="0"/>
        <w:spacing w:lineRule="auto" w:line="288" w:before="0" w:after="0"/>
        <w:jc w:val="left"/>
        <w:rPr>
          <w:rFonts w:ascii="Adelle Sans;sans-serif" w:hAnsi="Adelle Sans;sans-serif"/>
          <w:b/>
          <w:color w:val="000000"/>
          <w:sz w:val="20"/>
        </w:rPr>
      </w:pPr>
      <w:bookmarkStart w:id="7" w:name="ic6dcfd67b8394e70a8aefbfb22c73d1f"/>
      <w:bookmarkEnd w:id="7"/>
      <w:r>
        <w:rPr>
          <w:rFonts w:ascii="Adelle Sans;sans-serif" w:hAnsi="Adelle Sans;sans-serif"/>
          <w:b/>
          <w:color w:val="000000"/>
          <w:sz w:val="20"/>
        </w:rPr>
        <w:t xml:space="preserve">Shopify Inc. </w:t>
      </w:r>
    </w:p>
    <w:p>
      <w:pPr>
        <w:pStyle w:val="TextBody"/>
        <w:bidi w:val="0"/>
        <w:spacing w:lineRule="auto" w:line="288" w:before="0" w:after="0"/>
        <w:jc w:val="left"/>
        <w:rPr>
          <w:rFonts w:ascii="Adelle Sans;sans-serif" w:hAnsi="Adelle Sans;sans-serif"/>
          <w:b/>
          <w:color w:val="000000"/>
          <w:sz w:val="20"/>
        </w:rPr>
      </w:pPr>
      <w:bookmarkStart w:id="8" w:name="i14f8a316f24b4a8089f8c01a17c436de"/>
      <w:bookmarkEnd w:id="8"/>
      <w:r>
        <w:rPr>
          <w:rFonts w:ascii="Adelle Sans;sans-serif" w:hAnsi="Adelle Sans;sans-serif"/>
          <w:b/>
          <w:color w:val="000000"/>
          <w:sz w:val="20"/>
        </w:rPr>
        <w:t xml:space="preserve">Condensed Consolidated Statements of Changes in Shareholders’ Equity </w:t>
      </w:r>
    </w:p>
    <w:p>
      <w:pPr>
        <w:pStyle w:val="TextBody"/>
        <w:bidi w:val="0"/>
        <w:spacing w:lineRule="auto" w:line="288" w:before="0" w:after="0"/>
        <w:jc w:val="both"/>
        <w:rPr>
          <w:rFonts w:ascii="Adelle Sans;sans-serif" w:hAnsi="Adelle Sans;sans-serif"/>
          <w:b/>
          <w:color w:val="000000"/>
          <w:sz w:val="20"/>
        </w:rPr>
      </w:pPr>
      <w:r>
        <w:rPr>
          <w:rFonts w:ascii="Adelle Sans;sans-serif" w:hAnsi="Adelle Sans;sans-serif"/>
          <w:b/>
          <w:color w:val="000000"/>
          <w:sz w:val="20"/>
        </w:rPr>
        <w:t>(unaudited)</w:t>
      </w:r>
    </w:p>
    <w:p>
      <w:pPr>
        <w:pStyle w:val="TextBody"/>
        <w:bidi w:val="0"/>
        <w:spacing w:lineRule="auto" w:line="288" w:before="0" w:after="0"/>
        <w:jc w:val="both"/>
        <w:rPr>
          <w:rFonts w:ascii="Adelle Sans Light;sans-serif" w:hAnsi="Adelle Sans Light;sans-serif"/>
          <w:b w:val="false"/>
          <w:color w:val="000000"/>
          <w:sz w:val="18"/>
        </w:rPr>
      </w:pPr>
      <w:r>
        <w:rPr>
          <w:rFonts w:ascii="Adelle Sans Light;sans-serif" w:hAnsi="Adelle Sans Light;sans-serif"/>
          <w:b w:val="false"/>
          <w:color w:val="000000"/>
          <w:sz w:val="18"/>
        </w:rPr>
        <w:t>(Expressed in US $ millions, except share amounts)</w:t>
      </w:r>
    </w:p>
    <w:tbl>
      <w:tblPr>
        <w:tblW w:w="11385" w:type="dxa"/>
        <w:jc w:val="center"/>
        <w:tblInd w:w="0" w:type="dxa"/>
        <w:tblLayout w:type="fixed"/>
        <w:tblCellMar>
          <w:top w:w="28" w:type="dxa"/>
          <w:left w:w="28" w:type="dxa"/>
          <w:bottom w:w="28" w:type="dxa"/>
          <w:right w:w="28" w:type="dxa"/>
        </w:tblCellMar>
      </w:tblPr>
      <w:tblGrid>
        <w:gridCol w:w="764"/>
        <w:gridCol w:w="368"/>
        <w:gridCol w:w="369"/>
        <w:gridCol w:w="109"/>
        <w:gridCol w:w="109"/>
        <w:gridCol w:w="795"/>
        <w:gridCol w:w="796"/>
        <w:gridCol w:w="271"/>
        <w:gridCol w:w="111"/>
        <w:gridCol w:w="111"/>
        <w:gridCol w:w="111"/>
        <w:gridCol w:w="360"/>
        <w:gridCol w:w="361"/>
        <w:gridCol w:w="318"/>
        <w:gridCol w:w="109"/>
        <w:gridCol w:w="109"/>
        <w:gridCol w:w="109"/>
        <w:gridCol w:w="385"/>
        <w:gridCol w:w="385"/>
        <w:gridCol w:w="386"/>
        <w:gridCol w:w="109"/>
        <w:gridCol w:w="109"/>
        <w:gridCol w:w="109"/>
        <w:gridCol w:w="510"/>
        <w:gridCol w:w="510"/>
        <w:gridCol w:w="511"/>
        <w:gridCol w:w="109"/>
        <w:gridCol w:w="109"/>
        <w:gridCol w:w="109"/>
        <w:gridCol w:w="440"/>
        <w:gridCol w:w="440"/>
        <w:gridCol w:w="441"/>
        <w:gridCol w:w="109"/>
        <w:gridCol w:w="109"/>
        <w:gridCol w:w="109"/>
        <w:gridCol w:w="420"/>
        <w:gridCol w:w="421"/>
        <w:gridCol w:w="275"/>
      </w:tblGrid>
      <w:tr>
        <w:trPr/>
        <w:tc>
          <w:tcPr>
            <w:tcW w:w="764"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r>
      <w:tr>
        <w:trPr/>
        <w:tc>
          <w:tcPr>
            <w:tcW w:w="15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delle Sans;sans-serif" w:hAnsi="Adelle Sans;sans-serif"/>
                <w:b/>
                <w:color w:val="000000"/>
                <w:sz w:val="18"/>
              </w:rPr>
            </w:pPr>
            <w:r>
              <w:rPr>
                <w:rFonts w:ascii="Adelle Sans;sans-serif" w:hAnsi="Adelle Sans;sans-serif"/>
                <w:b/>
                <w:color w:val="000000"/>
                <w:sz w:val="18"/>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delle Sans;sans-serif" w:hAnsi="Adelle Sans;sans-serif"/>
                <w:b/>
                <w:color w:val="000000"/>
                <w:sz w:val="18"/>
              </w:rPr>
            </w:pPr>
            <w:r>
              <w:rPr>
                <w:rFonts w:ascii="Adelle Sans;sans-serif" w:hAnsi="Adelle Sans;sans-serif"/>
                <w:b/>
                <w:color w:val="000000"/>
                <w:sz w:val="18"/>
              </w:rPr>
              <w:t xml:space="preserve">Additional </w:t>
              <w:br/>
              <w:t>Paid-In Capital</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delle Sans;sans-serif" w:hAnsi="Adelle Sans;sans-serif"/>
                <w:b/>
                <w:color w:val="000000"/>
                <w:sz w:val="16"/>
              </w:rPr>
            </w:pPr>
            <w:r>
              <w:rPr>
                <w:rFonts w:ascii="Adelle Sans;sans-serif" w:hAnsi="Adelle Sans;sans-serif"/>
                <w:b/>
                <w:color w:val="000000"/>
                <w:sz w:val="16"/>
              </w:rPr>
              <w:t>Accumulated Other Comprehensive Income (Loss)</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delle Sans;sans-serif" w:hAnsi="Adelle Sans;sans-serif"/>
                <w:b/>
                <w:color w:val="000000"/>
                <w:sz w:val="16"/>
              </w:rPr>
            </w:pPr>
            <w:r>
              <w:rPr>
                <w:rFonts w:ascii="Adelle Sans;sans-serif" w:hAnsi="Adelle Sans;sans-serif"/>
                <w:b/>
                <w:color w:val="000000"/>
                <w:sz w:val="16"/>
              </w:rPr>
              <w:t>Accumulated (Deficit) Surplus</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delle Sans;sans-serif" w:hAnsi="Adelle Sans;sans-serif"/>
                <w:b/>
                <w:color w:val="000000"/>
                <w:sz w:val="18"/>
              </w:rPr>
            </w:pPr>
            <w:r>
              <w:rPr>
                <w:rFonts w:ascii="Adelle Sans;sans-serif" w:hAnsi="Adelle Sans;sans-serif"/>
                <w:b/>
                <w:color w:val="000000"/>
                <w:sz w:val="18"/>
              </w:rPr>
              <w:t>Total</w:t>
            </w:r>
          </w:p>
        </w:tc>
      </w:tr>
      <w:tr>
        <w:trPr/>
        <w:tc>
          <w:tcPr>
            <w:tcW w:w="15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6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delle Sans;sans-serif" w:hAnsi="Adelle Sans;sans-serif"/>
                <w:b/>
                <w:color w:val="000000"/>
                <w:sz w:val="18"/>
              </w:rPr>
            </w:pPr>
            <w:r>
              <w:rPr>
                <w:rFonts w:ascii="Adelle Sans;sans-serif" w:hAnsi="Adelle Sans;sans-serif"/>
                <w:b/>
                <w:color w:val="000000"/>
                <w:sz w:val="18"/>
              </w:rPr>
              <w:t>Shares</w:t>
            </w:r>
          </w:p>
        </w:tc>
        <w:tc>
          <w:tcPr>
            <w:tcW w:w="3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delle Sans;sans-serif" w:hAnsi="Adelle Sans;sans-serif"/>
                <w:b/>
                <w:color w:val="000000"/>
                <w:sz w:val="18"/>
              </w:rPr>
            </w:pPr>
            <w:r>
              <w:rPr>
                <w:rFonts w:ascii="Adelle Sans;sans-serif" w:hAnsi="Adelle Sans;sans-serif"/>
                <w:b/>
                <w:color w:val="000000"/>
                <w:sz w:val="18"/>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53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32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11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5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delle Sans;sans-serif" w:hAnsi="Adelle Sans;sans-serif"/>
                <w:b/>
                <w:color w:val="000000"/>
                <w:sz w:val="18"/>
              </w:rPr>
            </w:pPr>
            <w:r>
              <w:rPr>
                <w:rFonts w:ascii="Adelle Sans;sans-serif" w:hAnsi="Adelle Sans;sans-serif"/>
                <w:b/>
                <w:color w:val="000000"/>
                <w:sz w:val="18"/>
              </w:rPr>
              <w:t>As of December 31, 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delle Sans;sans-serif" w:hAnsi="Adelle Sans;sans-serif"/>
                <w:b/>
                <w:color w:val="000000"/>
                <w:sz w:val="18"/>
              </w:rPr>
              <w:t>1,294,580,140</w:t>
            </w:r>
            <w:r>
              <w:rPr>
                <w:color w:val="000000"/>
              </w:rPr>
              <w:t> </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delle Sans;sans-serif" w:hAnsi="Adelle Sans;sans-serif"/>
                <w:b/>
                <w:color w:val="000000"/>
                <w:sz w:val="18"/>
              </w:rPr>
              <w:t>9,634</w:t>
            </w:r>
            <w:r>
              <w:rPr>
                <w:color w:val="000000"/>
              </w:rPr>
              <w:t> </w:t>
            </w:r>
          </w:p>
        </w:tc>
        <w:tc>
          <w:tcPr>
            <w:tcW w:w="31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delle Sans;sans-serif" w:hAnsi="Adelle Sans;sans-serif"/>
                <w:b/>
                <w:color w:val="000000"/>
                <w:sz w:val="18"/>
              </w:rPr>
              <w:t>305</w:t>
            </w:r>
            <w:r>
              <w:rPr>
                <w:color w:val="000000"/>
              </w:rPr>
              <w:t> </w:t>
            </w:r>
          </w:p>
        </w:tc>
        <w:tc>
          <w:tcPr>
            <w:tcW w:w="38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color w:val="000000"/>
                <w:sz w:val="18"/>
              </w:rPr>
            </w:pPr>
            <w:r>
              <w:rPr>
                <w:rFonts w:ascii="Adelle Sans;sans-serif" w:hAnsi="Adelle Sans;sans-serif"/>
                <w:b/>
                <w:color w:val="000000"/>
                <w:sz w:val="18"/>
              </w:rPr>
              <w:t>(10)</w:t>
            </w:r>
          </w:p>
        </w:tc>
        <w:tc>
          <w:tcPr>
            <w:tcW w:w="51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delle Sans;sans-serif" w:hAnsi="Adelle Sans;sans-serif"/>
                <w:b/>
                <w:color w:val="000000"/>
                <w:sz w:val="18"/>
              </w:rPr>
              <w:t>1,629</w:t>
            </w:r>
            <w:r>
              <w:rPr>
                <w:color w:val="000000"/>
              </w:rPr>
              <w:t> </w:t>
            </w:r>
          </w:p>
        </w:tc>
        <w:tc>
          <w:tcPr>
            <w:tcW w:w="44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delle Sans;sans-serif" w:hAnsi="Adelle Sans;sans-serif"/>
                <w:b/>
                <w:color w:val="000000"/>
                <w:sz w:val="18"/>
              </w:rPr>
              <w:t>11,558</w:t>
            </w:r>
            <w:r>
              <w:rPr>
                <w:color w:val="000000"/>
              </w:rPr>
              <w:t> </w:t>
            </w:r>
          </w:p>
        </w:tc>
        <w:tc>
          <w:tcPr>
            <w:tcW w:w="27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shd w:fill="F7F7F7" w:val="clear"/>
            <w:tcMar>
              <w:top w:w="0" w:type="dxa"/>
              <w:left w:w="0" w:type="dxa"/>
              <w:bottom w:w="0" w:type="dxa"/>
              <w:right w:w="0" w:type="dxa"/>
            </w:tcMar>
            <w:vAlign w:val="center"/>
          </w:tcPr>
          <w:p>
            <w:pPr>
              <w:pStyle w:val="TableContents"/>
              <w:bidi w:val="0"/>
              <w:spacing w:lineRule="auto" w:line="240" w:before="0" w:after="283"/>
              <w:jc w:val="left"/>
              <w:rPr>
                <w:rFonts w:ascii="Adelle Sans;sans-serif" w:hAnsi="Adelle Sans;sans-serif"/>
                <w:b w:val="false"/>
                <w:color w:val="000000"/>
                <w:sz w:val="18"/>
              </w:rPr>
            </w:pPr>
            <w:r>
              <w:rPr>
                <w:rFonts w:ascii="Adelle Sans;sans-serif" w:hAnsi="Adelle Sans;sans-serif"/>
                <w:b w:val="false"/>
                <w:color w:val="000000"/>
                <w:sz w:val="18"/>
              </w:rPr>
              <w:t>Exercise of stock options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1" w:type="dxa"/>
            <w:gridSpan w:val="2"/>
            <w:tcBorders>
              <w:top w:val="single" w:sz="8" w:space="0" w:color="000000"/>
            </w:tcBorders>
            <w:shd w:fill="F7F7F7" w:val="clear"/>
            <w:tcMar>
              <w:top w:w="52"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1,190,811 </w:t>
            </w:r>
          </w:p>
        </w:tc>
        <w:tc>
          <w:tcPr>
            <w:tcW w:w="271" w:type="dxa"/>
            <w:tcBorders>
              <w:top w:val="single" w:sz="8" w:space="0" w:color="000000"/>
            </w:tcBorders>
            <w:shd w:fill="F7F7F7"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op w:val="single" w:sz="8" w:space="0" w:color="000000"/>
            </w:tcBorders>
            <w:shd w:fill="F7F7F7"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F7F7F7" w:val="clear"/>
            <w:tcMar>
              <w:top w:w="52"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87 </w:t>
            </w:r>
          </w:p>
        </w:tc>
        <w:tc>
          <w:tcPr>
            <w:tcW w:w="318" w:type="dxa"/>
            <w:tcBorders>
              <w:top w:val="single" w:sz="8" w:space="0" w:color="000000"/>
            </w:tcBorders>
            <w:shd w:fill="F7F7F7"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7F7F7"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2"/>
            <w:tcBorders>
              <w:top w:val="single" w:sz="8" w:space="0" w:color="000000"/>
            </w:tcBorders>
            <w:shd w:fill="F7F7F7" w:val="clear"/>
            <w:tcMar>
              <w:top w:w="52"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(28)</w:t>
            </w:r>
          </w:p>
        </w:tc>
        <w:tc>
          <w:tcPr>
            <w:tcW w:w="386" w:type="dxa"/>
            <w:tcBorders>
              <w:top w:val="single" w:sz="8" w:space="0" w:color="000000"/>
            </w:tcBorders>
            <w:shd w:fill="F7F7F7"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7F7F7"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top w:val="single" w:sz="8" w:space="0" w:color="000000"/>
            </w:tcBorders>
            <w:shd w:fill="F7F7F7"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11" w:type="dxa"/>
            <w:tcBorders>
              <w:top w:val="single" w:sz="8" w:space="0" w:color="000000"/>
            </w:tcBorders>
            <w:shd w:fill="F7F7F7"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7F7F7"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top w:val="single" w:sz="8" w:space="0" w:color="000000"/>
            </w:tcBorders>
            <w:shd w:fill="F7F7F7"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41" w:type="dxa"/>
            <w:tcBorders>
              <w:top w:val="single" w:sz="8" w:space="0" w:color="000000"/>
            </w:tcBorders>
            <w:shd w:fill="F7F7F7"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7F7F7"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op w:val="single" w:sz="8" w:space="0" w:color="000000"/>
            </w:tcBorders>
            <w:shd w:fill="F7F7F7" w:val="clear"/>
            <w:tcMar>
              <w:top w:w="52"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59 </w:t>
            </w:r>
          </w:p>
        </w:tc>
        <w:tc>
          <w:tcPr>
            <w:tcW w:w="275" w:type="dxa"/>
            <w:tcBorders>
              <w:top w:val="single" w:sz="8" w:space="0" w:color="000000"/>
            </w:tcBorders>
            <w:shd w:fill="F7F7F7"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delle Sans;sans-serif" w:hAnsi="Adelle Sans;sans-serif"/>
                <w:b w:val="false"/>
                <w:color w:val="000000"/>
                <w:sz w:val="18"/>
              </w:rPr>
            </w:pPr>
            <w:r>
              <w:rPr>
                <w:rFonts w:ascii="Adelle Sans;sans-serif" w:hAnsi="Adelle Sans;sans-serif"/>
                <w:b w:val="false"/>
                <w:color w:val="000000"/>
                <w:sz w:val="18"/>
              </w:rPr>
              <w:t>Stock-based compensation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114 </w:t>
            </w:r>
          </w:p>
        </w:tc>
        <w:tc>
          <w:tcPr>
            <w:tcW w:w="3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114 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shd w:fill="F7F7F7" w:val="clear"/>
            <w:tcMar>
              <w:top w:w="0" w:type="dxa"/>
              <w:left w:w="0" w:type="dxa"/>
              <w:bottom w:w="0" w:type="dxa"/>
              <w:right w:w="0" w:type="dxa"/>
            </w:tcMar>
            <w:vAlign w:val="center"/>
          </w:tcPr>
          <w:p>
            <w:pPr>
              <w:pStyle w:val="TableContents"/>
              <w:bidi w:val="0"/>
              <w:spacing w:lineRule="auto" w:line="240" w:before="0" w:after="283"/>
              <w:jc w:val="left"/>
              <w:rPr>
                <w:rFonts w:ascii="Adelle Sans;sans-serif" w:hAnsi="Adelle Sans;sans-serif"/>
                <w:b w:val="false"/>
                <w:color w:val="000000"/>
                <w:sz w:val="18"/>
              </w:rPr>
            </w:pPr>
            <w:r>
              <w:rPr>
                <w:rFonts w:ascii="Adelle Sans;sans-serif" w:hAnsi="Adelle Sans;sans-serif"/>
                <w:b w:val="false"/>
                <w:color w:val="000000"/>
                <w:sz w:val="18"/>
              </w:rPr>
              <w:t>Vesting of restricted share units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1" w:type="dxa"/>
            <w:gridSpan w:val="2"/>
            <w:tcBorders/>
            <w:shd w:fill="F7F7F7"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1,055,597 </w:t>
            </w:r>
          </w:p>
        </w:tc>
        <w:tc>
          <w:tcPr>
            <w:tcW w:w="271" w:type="dxa"/>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7F7F7"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86 </w:t>
            </w:r>
          </w:p>
        </w:tc>
        <w:tc>
          <w:tcPr>
            <w:tcW w:w="318" w:type="dxa"/>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2"/>
            <w:tcBorders/>
            <w:shd w:fill="F7F7F7"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(88)</w:t>
            </w:r>
          </w:p>
        </w:tc>
        <w:tc>
          <w:tcPr>
            <w:tcW w:w="386" w:type="dxa"/>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F7F7F7"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11" w:type="dxa"/>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shd w:fill="F7F7F7"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41" w:type="dxa"/>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7F7F7"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(2)</w:t>
            </w:r>
          </w:p>
        </w:tc>
        <w:tc>
          <w:tcPr>
            <w:tcW w:w="275" w:type="dxa"/>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delle Sans;sans-serif" w:hAnsi="Adelle Sans;sans-serif"/>
                <w:b w:val="false"/>
                <w:color w:val="000000"/>
                <w:sz w:val="18"/>
              </w:rPr>
            </w:pPr>
            <w:r>
              <w:rPr>
                <w:rFonts w:ascii="Adelle Sans;sans-serif" w:hAnsi="Adelle Sans;sans-serif"/>
                <w:b w:val="false"/>
                <w:color w:val="000000"/>
                <w:sz w:val="18"/>
              </w:rPr>
              <w:t>Issuance of shares related to business acquisition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252,257 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24 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(24)</w:t>
            </w:r>
          </w:p>
        </w:tc>
        <w:tc>
          <w:tcPr>
            <w:tcW w:w="3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shd w:fill="F7F7F7" w:val="clear"/>
            <w:tcMar>
              <w:top w:w="0" w:type="dxa"/>
              <w:left w:w="0" w:type="dxa"/>
              <w:bottom w:w="0" w:type="dxa"/>
              <w:right w:w="0" w:type="dxa"/>
            </w:tcMar>
            <w:vAlign w:val="center"/>
          </w:tcPr>
          <w:p>
            <w:pPr>
              <w:pStyle w:val="TableContents"/>
              <w:bidi w:val="0"/>
              <w:spacing w:lineRule="auto" w:line="240" w:before="0" w:after="283"/>
              <w:jc w:val="left"/>
              <w:rPr>
                <w:rFonts w:ascii="Adelle Sans;sans-serif" w:hAnsi="Adelle Sans;sans-serif"/>
                <w:b w:val="false"/>
                <w:color w:val="000000"/>
                <w:sz w:val="18"/>
              </w:rPr>
            </w:pPr>
            <w:r>
              <w:rPr>
                <w:rFonts w:ascii="Adelle Sans;sans-serif" w:hAnsi="Adelle Sans;sans-serif"/>
                <w:b w:val="false"/>
                <w:color w:val="000000"/>
                <w:sz w:val="18"/>
              </w:rPr>
              <w:t>Net loss and comprehensive income for the period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1" w:type="dxa"/>
            <w:gridSpan w:val="2"/>
            <w:tcBorders/>
            <w:shd w:fill="F7F7F7"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7F7F7"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8" w:type="dxa"/>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2"/>
            <w:tcBorders/>
            <w:shd w:fill="F7F7F7"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86" w:type="dxa"/>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F7F7F7"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4 </w:t>
            </w:r>
          </w:p>
        </w:tc>
        <w:tc>
          <w:tcPr>
            <w:tcW w:w="511" w:type="dxa"/>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shd w:fill="F7F7F7"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(682)</w:t>
            </w:r>
          </w:p>
        </w:tc>
        <w:tc>
          <w:tcPr>
            <w:tcW w:w="441" w:type="dxa"/>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7F7F7"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(678)</w:t>
            </w:r>
          </w:p>
        </w:tc>
        <w:tc>
          <w:tcPr>
            <w:tcW w:w="275" w:type="dxa"/>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delle Sans;sans-serif" w:hAnsi="Adelle Sans;sans-serif"/>
                <w:b/>
                <w:color w:val="000000"/>
                <w:sz w:val="18"/>
              </w:rPr>
            </w:pPr>
            <w:r>
              <w:rPr>
                <w:rFonts w:ascii="Adelle Sans;sans-serif" w:hAnsi="Adelle Sans;sans-serif"/>
                <w:b/>
                <w:color w:val="000000"/>
                <w:sz w:val="18"/>
              </w:rPr>
              <w:t>As of March 31, 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delle Sans;sans-serif" w:hAnsi="Adelle Sans;sans-serif"/>
                <w:b/>
                <w:color w:val="000000"/>
                <w:sz w:val="18"/>
              </w:rPr>
              <w:t>1,297,078,805</w:t>
            </w:r>
            <w:r>
              <w:rPr>
                <w:color w:val="000000"/>
              </w:rPr>
              <w:t> </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delle Sans;sans-serif" w:hAnsi="Adelle Sans;sans-serif"/>
                <w:b/>
                <w:color w:val="000000"/>
                <w:sz w:val="18"/>
              </w:rPr>
              <w:t>9,831</w:t>
            </w:r>
            <w:r>
              <w:rPr>
                <w:color w:val="000000"/>
              </w:rPr>
              <w:t> </w:t>
            </w:r>
          </w:p>
        </w:tc>
        <w:tc>
          <w:tcPr>
            <w:tcW w:w="31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delle Sans;sans-serif" w:hAnsi="Adelle Sans;sans-serif"/>
                <w:b/>
                <w:color w:val="000000"/>
                <w:sz w:val="18"/>
              </w:rPr>
              <w:t>279</w:t>
            </w:r>
            <w:r>
              <w:rPr>
                <w:color w:val="000000"/>
              </w:rPr>
              <w:t> </w:t>
            </w:r>
          </w:p>
        </w:tc>
        <w:tc>
          <w:tcPr>
            <w:tcW w:w="38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color w:val="000000"/>
                <w:sz w:val="18"/>
              </w:rPr>
            </w:pPr>
            <w:r>
              <w:rPr>
                <w:rFonts w:ascii="Adelle Sans;sans-serif" w:hAnsi="Adelle Sans;sans-serif"/>
                <w:b/>
                <w:color w:val="000000"/>
                <w:sz w:val="18"/>
              </w:rPr>
              <w:t>(6)</w:t>
            </w:r>
          </w:p>
        </w:tc>
        <w:tc>
          <w:tcPr>
            <w:tcW w:w="51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delle Sans;sans-serif" w:hAnsi="Adelle Sans;sans-serif"/>
                <w:b/>
                <w:color w:val="000000"/>
                <w:sz w:val="18"/>
              </w:rPr>
              <w:t>947</w:t>
            </w:r>
            <w:r>
              <w:rPr>
                <w:color w:val="000000"/>
              </w:rPr>
              <w:t> </w:t>
            </w:r>
          </w:p>
        </w:tc>
        <w:tc>
          <w:tcPr>
            <w:tcW w:w="44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delle Sans;sans-serif" w:hAnsi="Adelle Sans;sans-serif"/>
                <w:b/>
                <w:color w:val="000000"/>
                <w:sz w:val="18"/>
              </w:rPr>
              <w:t>11,051</w:t>
            </w:r>
            <w:r>
              <w:rPr>
                <w:color w:val="000000"/>
              </w:rPr>
              <w:t> </w:t>
            </w:r>
          </w:p>
        </w:tc>
        <w:tc>
          <w:tcPr>
            <w:tcW w:w="27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shd w:fill="F7F7F7" w:val="clear"/>
            <w:tcMar>
              <w:top w:w="0" w:type="dxa"/>
              <w:left w:w="0" w:type="dxa"/>
              <w:bottom w:w="0" w:type="dxa"/>
              <w:right w:w="0" w:type="dxa"/>
            </w:tcMar>
            <w:vAlign w:val="center"/>
          </w:tcPr>
          <w:p>
            <w:pPr>
              <w:pStyle w:val="TableContents"/>
              <w:bidi w:val="0"/>
              <w:spacing w:lineRule="auto" w:line="240" w:before="0" w:after="283"/>
              <w:jc w:val="left"/>
              <w:rPr>
                <w:rFonts w:ascii="Adelle Sans;sans-serif" w:hAnsi="Adelle Sans;sans-serif"/>
                <w:b w:val="false"/>
                <w:color w:val="000000"/>
                <w:sz w:val="18"/>
              </w:rPr>
            </w:pPr>
            <w:r>
              <w:rPr>
                <w:rFonts w:ascii="Adelle Sans;sans-serif" w:hAnsi="Adelle Sans;sans-serif"/>
                <w:b w:val="false"/>
                <w:color w:val="000000"/>
                <w:sz w:val="18"/>
              </w:rPr>
              <w:t>Exercise of stock options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1" w:type="dxa"/>
            <w:gridSpan w:val="2"/>
            <w:tcBorders>
              <w:top w:val="single" w:sz="8" w:space="0" w:color="000000"/>
            </w:tcBorders>
            <w:shd w:fill="F7F7F7" w:val="clear"/>
            <w:tcMar>
              <w:top w:w="52"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1,132,628 </w:t>
            </w:r>
          </w:p>
        </w:tc>
        <w:tc>
          <w:tcPr>
            <w:tcW w:w="271" w:type="dxa"/>
            <w:tcBorders>
              <w:top w:val="single" w:sz="8" w:space="0" w:color="000000"/>
            </w:tcBorders>
            <w:shd w:fill="F7F7F7"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op w:val="single" w:sz="8" w:space="0" w:color="000000"/>
            </w:tcBorders>
            <w:shd w:fill="F7F7F7"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F7F7F7" w:val="clear"/>
            <w:tcMar>
              <w:top w:w="52"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68 </w:t>
            </w:r>
          </w:p>
        </w:tc>
        <w:tc>
          <w:tcPr>
            <w:tcW w:w="318" w:type="dxa"/>
            <w:tcBorders>
              <w:top w:val="single" w:sz="8" w:space="0" w:color="000000"/>
            </w:tcBorders>
            <w:shd w:fill="F7F7F7"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7F7F7"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2"/>
            <w:tcBorders>
              <w:top w:val="single" w:sz="8" w:space="0" w:color="000000"/>
            </w:tcBorders>
            <w:shd w:fill="F7F7F7" w:val="clear"/>
            <w:tcMar>
              <w:top w:w="52"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(24)</w:t>
            </w:r>
          </w:p>
        </w:tc>
        <w:tc>
          <w:tcPr>
            <w:tcW w:w="386" w:type="dxa"/>
            <w:tcBorders>
              <w:top w:val="single" w:sz="8" w:space="0" w:color="000000"/>
            </w:tcBorders>
            <w:shd w:fill="F7F7F7"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7F7F7"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top w:val="single" w:sz="8" w:space="0" w:color="000000"/>
            </w:tcBorders>
            <w:shd w:fill="F7F7F7"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11" w:type="dxa"/>
            <w:tcBorders>
              <w:top w:val="single" w:sz="8" w:space="0" w:color="000000"/>
            </w:tcBorders>
            <w:shd w:fill="F7F7F7"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7F7F7"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top w:val="single" w:sz="8" w:space="0" w:color="000000"/>
            </w:tcBorders>
            <w:shd w:fill="F7F7F7"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41" w:type="dxa"/>
            <w:tcBorders>
              <w:top w:val="single" w:sz="8" w:space="0" w:color="000000"/>
            </w:tcBorders>
            <w:shd w:fill="F7F7F7"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7F7F7"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op w:val="single" w:sz="8" w:space="0" w:color="000000"/>
            </w:tcBorders>
            <w:shd w:fill="F7F7F7" w:val="clear"/>
            <w:tcMar>
              <w:top w:w="52"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44 </w:t>
            </w:r>
          </w:p>
        </w:tc>
        <w:tc>
          <w:tcPr>
            <w:tcW w:w="275" w:type="dxa"/>
            <w:tcBorders>
              <w:top w:val="single" w:sz="8" w:space="0" w:color="000000"/>
            </w:tcBorders>
            <w:shd w:fill="F7F7F7"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delle Sans;sans-serif" w:hAnsi="Adelle Sans;sans-serif"/>
                <w:b w:val="false"/>
                <w:color w:val="000000"/>
                <w:sz w:val="18"/>
              </w:rPr>
            </w:pPr>
            <w:r>
              <w:rPr>
                <w:rFonts w:ascii="Adelle Sans;sans-serif" w:hAnsi="Adelle Sans;sans-serif"/>
                <w:b w:val="false"/>
                <w:color w:val="000000"/>
                <w:sz w:val="18"/>
              </w:rPr>
              <w:t>Stock-based compensation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113 </w:t>
            </w:r>
          </w:p>
        </w:tc>
        <w:tc>
          <w:tcPr>
            <w:tcW w:w="3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113 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shd w:fill="F7F7F7" w:val="clear"/>
            <w:tcMar>
              <w:top w:w="0" w:type="dxa"/>
              <w:left w:w="0" w:type="dxa"/>
              <w:bottom w:w="0" w:type="dxa"/>
              <w:right w:w="0" w:type="dxa"/>
            </w:tcMar>
            <w:vAlign w:val="center"/>
          </w:tcPr>
          <w:p>
            <w:pPr>
              <w:pStyle w:val="TableContents"/>
              <w:bidi w:val="0"/>
              <w:spacing w:lineRule="auto" w:line="240" w:before="0" w:after="283"/>
              <w:jc w:val="left"/>
              <w:rPr>
                <w:rFonts w:ascii="Adelle Sans;sans-serif" w:hAnsi="Adelle Sans;sans-serif"/>
                <w:b w:val="false"/>
                <w:color w:val="000000"/>
                <w:sz w:val="18"/>
              </w:rPr>
            </w:pPr>
            <w:r>
              <w:rPr>
                <w:rFonts w:ascii="Adelle Sans;sans-serif" w:hAnsi="Adelle Sans;sans-serif"/>
                <w:b w:val="false"/>
                <w:color w:val="000000"/>
                <w:sz w:val="18"/>
              </w:rPr>
              <w:t>Vesting of restricted share units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1" w:type="dxa"/>
            <w:gridSpan w:val="2"/>
            <w:tcBorders/>
            <w:shd w:fill="F7F7F7"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1,156,751 </w:t>
            </w:r>
          </w:p>
        </w:tc>
        <w:tc>
          <w:tcPr>
            <w:tcW w:w="271" w:type="dxa"/>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7F7F7"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86 </w:t>
            </w:r>
          </w:p>
        </w:tc>
        <w:tc>
          <w:tcPr>
            <w:tcW w:w="318" w:type="dxa"/>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2"/>
            <w:tcBorders/>
            <w:shd w:fill="F7F7F7"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(87)</w:t>
            </w:r>
          </w:p>
        </w:tc>
        <w:tc>
          <w:tcPr>
            <w:tcW w:w="386" w:type="dxa"/>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F7F7F7"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11" w:type="dxa"/>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shd w:fill="F7F7F7"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41" w:type="dxa"/>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7F7F7"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(1)</w:t>
            </w:r>
          </w:p>
        </w:tc>
        <w:tc>
          <w:tcPr>
            <w:tcW w:w="275" w:type="dxa"/>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62"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0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r>
      <w:tr>
        <w:trPr/>
        <w:tc>
          <w:tcPr>
            <w:tcW w:w="15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delle Sans;sans-serif" w:hAnsi="Adelle Sans;sans-serif"/>
                <w:b w:val="false"/>
                <w:color w:val="000000"/>
                <w:sz w:val="18"/>
              </w:rPr>
            </w:pPr>
            <w:r>
              <w:rPr>
                <w:rFonts w:ascii="Adelle Sans;sans-serif" w:hAnsi="Adelle Sans;sans-serif"/>
                <w:b w:val="false"/>
                <w:color w:val="000000"/>
                <w:sz w:val="18"/>
              </w:rPr>
              <w:t>Net income and comprehensive income for the period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11 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906 </w:t>
            </w:r>
          </w:p>
        </w:tc>
        <w:tc>
          <w:tcPr>
            <w:tcW w:w="4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917 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shd w:fill="F7F7F7" w:val="clear"/>
            <w:tcMar>
              <w:top w:w="0" w:type="dxa"/>
              <w:left w:w="0" w:type="dxa"/>
              <w:bottom w:w="0" w:type="dxa"/>
              <w:right w:w="0" w:type="dxa"/>
            </w:tcMar>
            <w:vAlign w:val="center"/>
          </w:tcPr>
          <w:p>
            <w:pPr>
              <w:pStyle w:val="TableContents"/>
              <w:bidi w:val="0"/>
              <w:spacing w:lineRule="auto" w:line="240" w:before="0" w:after="283"/>
              <w:jc w:val="left"/>
              <w:rPr>
                <w:rFonts w:ascii="Adelle Sans;sans-serif" w:hAnsi="Adelle Sans;sans-serif"/>
                <w:b/>
                <w:color w:val="000000"/>
                <w:sz w:val="18"/>
              </w:rPr>
            </w:pPr>
            <w:r>
              <w:rPr>
                <w:rFonts w:ascii="Adelle Sans;sans-serif" w:hAnsi="Adelle Sans;sans-serif"/>
                <w:b/>
                <w:color w:val="000000"/>
                <w:sz w:val="18"/>
              </w:rPr>
              <w:t>As of June 30, 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1" w:type="dxa"/>
            <w:gridSpan w:val="2"/>
            <w:tcBorders>
              <w:top w:val="single" w:sz="8" w:space="0" w:color="000000"/>
              <w:bottom w:val="single" w:sz="8" w:space="0" w:color="000000"/>
            </w:tcBorders>
            <w:shd w:fill="F7F7F7" w:val="clear"/>
            <w:tcMar>
              <w:top w:w="52" w:type="dxa"/>
              <w:left w:w="0" w:type="dxa"/>
              <w:bottom w:w="30" w:type="dxa"/>
              <w:right w:w="0" w:type="dxa"/>
            </w:tcMar>
            <w:vAlign w:val="center"/>
          </w:tcPr>
          <w:p>
            <w:pPr>
              <w:pStyle w:val="TableContents"/>
              <w:bidi w:val="0"/>
              <w:spacing w:lineRule="auto" w:line="240" w:before="0" w:after="283"/>
              <w:jc w:val="right"/>
              <w:rPr/>
            </w:pPr>
            <w:r>
              <w:rPr>
                <w:rFonts w:ascii="Adelle Sans;sans-serif" w:hAnsi="Adelle Sans;sans-serif"/>
                <w:b/>
                <w:color w:val="000000"/>
                <w:sz w:val="18"/>
              </w:rPr>
              <w:t>1,299,368,184</w:t>
            </w:r>
            <w:r>
              <w:rPr>
                <w:color w:val="000000"/>
              </w:rPr>
              <w:t> </w:t>
            </w:r>
          </w:p>
        </w:tc>
        <w:tc>
          <w:tcPr>
            <w:tcW w:w="271" w:type="dxa"/>
            <w:tcBorders>
              <w:top w:val="single" w:sz="8" w:space="0" w:color="000000"/>
              <w:bottom w:val="single" w:sz="8" w:space="0" w:color="000000"/>
            </w:tcBorders>
            <w:shd w:fill="F7F7F7"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op w:val="single" w:sz="8" w:space="0" w:color="000000"/>
              <w:bottom w:val="single" w:sz="8" w:space="0" w:color="000000"/>
            </w:tcBorders>
            <w:shd w:fill="F7F7F7" w:val="clear"/>
            <w:tcMar>
              <w:left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bottom w:val="single" w:sz="8" w:space="0" w:color="000000"/>
            </w:tcBorders>
            <w:shd w:fill="F7F7F7" w:val="clear"/>
            <w:tcMar>
              <w:top w:w="52" w:type="dxa"/>
              <w:left w:w="0" w:type="dxa"/>
              <w:bottom w:w="30" w:type="dxa"/>
              <w:right w:w="0" w:type="dxa"/>
            </w:tcMar>
            <w:vAlign w:val="center"/>
          </w:tcPr>
          <w:p>
            <w:pPr>
              <w:pStyle w:val="TableContents"/>
              <w:bidi w:val="0"/>
              <w:spacing w:lineRule="auto" w:line="240" w:before="0" w:after="283"/>
              <w:jc w:val="right"/>
              <w:rPr/>
            </w:pPr>
            <w:r>
              <w:rPr>
                <w:rFonts w:ascii="Adelle Sans;sans-serif" w:hAnsi="Adelle Sans;sans-serif"/>
                <w:b/>
                <w:color w:val="000000"/>
                <w:sz w:val="18"/>
              </w:rPr>
              <w:t>9,985</w:t>
            </w:r>
            <w:r>
              <w:rPr>
                <w:color w:val="000000"/>
              </w:rPr>
              <w:t> </w:t>
            </w:r>
          </w:p>
        </w:tc>
        <w:tc>
          <w:tcPr>
            <w:tcW w:w="318" w:type="dxa"/>
            <w:tcBorders>
              <w:top w:val="single" w:sz="8" w:space="0" w:color="000000"/>
              <w:bottom w:val="single" w:sz="8" w:space="0" w:color="000000"/>
            </w:tcBorders>
            <w:shd w:fill="F7F7F7"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7F7F7" w:val="clear"/>
            <w:tcMar>
              <w:left w:w="0" w:type="dxa"/>
              <w:right w:w="0" w:type="dxa"/>
            </w:tcMar>
            <w:vAlign w:val="center"/>
          </w:tcPr>
          <w:p>
            <w:pPr>
              <w:pStyle w:val="TableContents"/>
              <w:bidi w:val="0"/>
              <w:spacing w:before="0" w:after="283"/>
              <w:jc w:val="left"/>
              <w:rPr>
                <w:sz w:val="4"/>
                <w:szCs w:val="4"/>
              </w:rPr>
            </w:pPr>
            <w:r>
              <w:rPr>
                <w:sz w:val="4"/>
                <w:szCs w:val="4"/>
              </w:rPr>
            </w:r>
          </w:p>
        </w:tc>
        <w:tc>
          <w:tcPr>
            <w:tcW w:w="770" w:type="dxa"/>
            <w:gridSpan w:val="2"/>
            <w:tcBorders>
              <w:top w:val="single" w:sz="8" w:space="0" w:color="000000"/>
              <w:bottom w:val="single" w:sz="8" w:space="0" w:color="000000"/>
            </w:tcBorders>
            <w:shd w:fill="F7F7F7" w:val="clear"/>
            <w:tcMar>
              <w:top w:w="52" w:type="dxa"/>
              <w:left w:w="0" w:type="dxa"/>
              <w:bottom w:w="30" w:type="dxa"/>
              <w:right w:w="0" w:type="dxa"/>
            </w:tcMar>
            <w:vAlign w:val="center"/>
          </w:tcPr>
          <w:p>
            <w:pPr>
              <w:pStyle w:val="TableContents"/>
              <w:bidi w:val="0"/>
              <w:spacing w:lineRule="auto" w:line="240" w:before="0" w:after="283"/>
              <w:jc w:val="right"/>
              <w:rPr/>
            </w:pPr>
            <w:r>
              <w:rPr>
                <w:rFonts w:ascii="Adelle Sans;sans-serif" w:hAnsi="Adelle Sans;sans-serif"/>
                <w:b/>
                <w:color w:val="000000"/>
                <w:sz w:val="18"/>
              </w:rPr>
              <w:t>281</w:t>
            </w:r>
            <w:r>
              <w:rPr>
                <w:color w:val="000000"/>
              </w:rPr>
              <w:t> </w:t>
            </w:r>
          </w:p>
        </w:tc>
        <w:tc>
          <w:tcPr>
            <w:tcW w:w="386" w:type="dxa"/>
            <w:tcBorders>
              <w:top w:val="single" w:sz="8" w:space="0" w:color="000000"/>
              <w:bottom w:val="single" w:sz="8" w:space="0" w:color="000000"/>
            </w:tcBorders>
            <w:shd w:fill="F7F7F7"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7F7F7" w:val="clear"/>
            <w:tcMar>
              <w:left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top w:val="single" w:sz="8" w:space="0" w:color="000000"/>
              <w:bottom w:val="single" w:sz="8" w:space="0" w:color="000000"/>
            </w:tcBorders>
            <w:shd w:fill="F7F7F7" w:val="clear"/>
            <w:tcMar>
              <w:top w:w="52" w:type="dxa"/>
              <w:left w:w="0" w:type="dxa"/>
              <w:bottom w:w="30" w:type="dxa"/>
              <w:right w:w="0" w:type="dxa"/>
            </w:tcMar>
            <w:vAlign w:val="center"/>
          </w:tcPr>
          <w:p>
            <w:pPr>
              <w:pStyle w:val="TableContents"/>
              <w:bidi w:val="0"/>
              <w:spacing w:lineRule="auto" w:line="240" w:before="0" w:after="283"/>
              <w:jc w:val="right"/>
              <w:rPr/>
            </w:pPr>
            <w:r>
              <w:rPr>
                <w:rFonts w:ascii="Adelle Sans;sans-serif" w:hAnsi="Adelle Sans;sans-serif"/>
                <w:b/>
                <w:color w:val="000000"/>
                <w:sz w:val="18"/>
              </w:rPr>
              <w:t>5</w:t>
            </w:r>
            <w:r>
              <w:rPr>
                <w:color w:val="000000"/>
              </w:rPr>
              <w:t> </w:t>
            </w:r>
          </w:p>
        </w:tc>
        <w:tc>
          <w:tcPr>
            <w:tcW w:w="511" w:type="dxa"/>
            <w:tcBorders>
              <w:top w:val="single" w:sz="8" w:space="0" w:color="000000"/>
              <w:bottom w:val="single" w:sz="8" w:space="0" w:color="000000"/>
            </w:tcBorders>
            <w:shd w:fill="F7F7F7"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7F7F7" w:val="clear"/>
            <w:tcMar>
              <w:left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top w:val="single" w:sz="8" w:space="0" w:color="000000"/>
              <w:bottom w:val="single" w:sz="8" w:space="0" w:color="000000"/>
            </w:tcBorders>
            <w:shd w:fill="F7F7F7" w:val="clear"/>
            <w:tcMar>
              <w:top w:w="52" w:type="dxa"/>
              <w:left w:w="0" w:type="dxa"/>
              <w:bottom w:w="30" w:type="dxa"/>
              <w:right w:w="0" w:type="dxa"/>
            </w:tcMar>
            <w:vAlign w:val="center"/>
          </w:tcPr>
          <w:p>
            <w:pPr>
              <w:pStyle w:val="TableContents"/>
              <w:bidi w:val="0"/>
              <w:spacing w:lineRule="auto" w:line="240" w:before="0" w:after="283"/>
              <w:jc w:val="right"/>
              <w:rPr/>
            </w:pPr>
            <w:r>
              <w:rPr>
                <w:rFonts w:ascii="Adelle Sans;sans-serif" w:hAnsi="Adelle Sans;sans-serif"/>
                <w:b/>
                <w:color w:val="000000"/>
                <w:sz w:val="18"/>
              </w:rPr>
              <w:t>1,853</w:t>
            </w:r>
            <w:r>
              <w:rPr>
                <w:color w:val="000000"/>
              </w:rPr>
              <w:t> </w:t>
            </w:r>
          </w:p>
        </w:tc>
        <w:tc>
          <w:tcPr>
            <w:tcW w:w="441" w:type="dxa"/>
            <w:tcBorders>
              <w:top w:val="single" w:sz="8" w:space="0" w:color="000000"/>
              <w:bottom w:val="single" w:sz="8" w:space="0" w:color="000000"/>
            </w:tcBorders>
            <w:shd w:fill="F7F7F7"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7F7F7" w:val="clear"/>
            <w:tcMar>
              <w:left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op w:val="single" w:sz="8" w:space="0" w:color="000000"/>
              <w:bottom w:val="single" w:sz="8" w:space="0" w:color="000000"/>
            </w:tcBorders>
            <w:shd w:fill="F7F7F7" w:val="clear"/>
            <w:tcMar>
              <w:top w:w="52" w:type="dxa"/>
              <w:left w:w="0" w:type="dxa"/>
              <w:bottom w:w="30" w:type="dxa"/>
              <w:right w:w="0" w:type="dxa"/>
            </w:tcMar>
            <w:vAlign w:val="center"/>
          </w:tcPr>
          <w:p>
            <w:pPr>
              <w:pStyle w:val="TableContents"/>
              <w:bidi w:val="0"/>
              <w:spacing w:lineRule="auto" w:line="240" w:before="0" w:after="283"/>
              <w:jc w:val="right"/>
              <w:rPr/>
            </w:pPr>
            <w:r>
              <w:rPr>
                <w:rFonts w:ascii="Adelle Sans;sans-serif" w:hAnsi="Adelle Sans;sans-serif"/>
                <w:b/>
                <w:color w:val="000000"/>
                <w:sz w:val="18"/>
              </w:rPr>
              <w:t>12,124</w:t>
            </w:r>
            <w:r>
              <w:rPr>
                <w:color w:val="000000"/>
              </w:rPr>
              <w:t> </w:t>
            </w:r>
          </w:p>
        </w:tc>
        <w:tc>
          <w:tcPr>
            <w:tcW w:w="275" w:type="dxa"/>
            <w:tcBorders>
              <w:top w:val="single" w:sz="8" w:space="0" w:color="000000"/>
              <w:bottom w:val="single" w:sz="8" w:space="0" w:color="000000"/>
            </w:tcBorders>
            <w:shd w:fill="F7F7F7"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62"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0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r>
      <w:tr>
        <w:trPr/>
        <w:tc>
          <w:tcPr>
            <w:tcW w:w="150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62"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0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r>
      <w:tr>
        <w:trPr/>
        <w:tc>
          <w:tcPr>
            <w:tcW w:w="150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62"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0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r>
      <w:tr>
        <w:trPr/>
        <w:tc>
          <w:tcPr>
            <w:tcW w:w="150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62"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0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r>
      <w:tr>
        <w:trPr/>
        <w:tc>
          <w:tcPr>
            <w:tcW w:w="150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62"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0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r>
      <w:tr>
        <w:trPr/>
        <w:tc>
          <w:tcPr>
            <w:tcW w:w="150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62"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0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r>
      <w:tr>
        <w:trPr/>
        <w:tc>
          <w:tcPr>
            <w:tcW w:w="150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62"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0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r>
      <w:tr>
        <w:trPr/>
        <w:tc>
          <w:tcPr>
            <w:tcW w:w="150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62"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0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r>
      <w:tr>
        <w:trPr/>
        <w:tc>
          <w:tcPr>
            <w:tcW w:w="150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62"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0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r>
      <w:tr>
        <w:trPr/>
        <w:tc>
          <w:tcPr>
            <w:tcW w:w="150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62"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0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r>
    </w:tbl>
    <w:tbl>
      <w:tblPr>
        <w:tblW w:w="13123" w:type="dxa"/>
        <w:jc w:val="center"/>
        <w:tblInd w:w="0" w:type="dxa"/>
        <w:tblLayout w:type="fixed"/>
        <w:tblCellMar>
          <w:top w:w="28" w:type="dxa"/>
          <w:left w:w="28" w:type="dxa"/>
          <w:bottom w:w="28" w:type="dxa"/>
          <w:right w:w="28" w:type="dxa"/>
        </w:tblCellMar>
      </w:tblPr>
      <w:tblGrid>
        <w:gridCol w:w="764"/>
        <w:gridCol w:w="368"/>
        <w:gridCol w:w="369"/>
        <w:gridCol w:w="109"/>
        <w:gridCol w:w="109"/>
        <w:gridCol w:w="795"/>
        <w:gridCol w:w="796"/>
        <w:gridCol w:w="271"/>
        <w:gridCol w:w="111"/>
        <w:gridCol w:w="111"/>
        <w:gridCol w:w="111"/>
        <w:gridCol w:w="420"/>
        <w:gridCol w:w="421"/>
        <w:gridCol w:w="318"/>
        <w:gridCol w:w="109"/>
        <w:gridCol w:w="109"/>
        <w:gridCol w:w="109"/>
        <w:gridCol w:w="109"/>
        <w:gridCol w:w="1156"/>
        <w:gridCol w:w="270"/>
        <w:gridCol w:w="271"/>
        <w:gridCol w:w="109"/>
        <w:gridCol w:w="510"/>
        <w:gridCol w:w="510"/>
        <w:gridCol w:w="511"/>
        <w:gridCol w:w="203"/>
        <w:gridCol w:w="203"/>
        <w:gridCol w:w="109"/>
        <w:gridCol w:w="440"/>
        <w:gridCol w:w="440"/>
        <w:gridCol w:w="441"/>
        <w:gridCol w:w="360"/>
        <w:gridCol w:w="361"/>
        <w:gridCol w:w="109"/>
        <w:gridCol w:w="205"/>
        <w:gridCol w:w="205"/>
        <w:gridCol w:w="206"/>
        <w:gridCol w:w="420"/>
        <w:gridCol w:w="421"/>
        <w:gridCol w:w="154"/>
      </w:tblGrid>
      <w:tr>
        <w:trPr/>
        <w:tc>
          <w:tcPr>
            <w:tcW w:w="764"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delle Sans;sans-serif" w:hAnsi="Adelle Sans;sans-serif"/>
                <w:b/>
                <w:color w:val="000000"/>
                <w:sz w:val="18"/>
              </w:rPr>
            </w:pPr>
            <w:r>
              <w:rPr>
                <w:rFonts w:ascii="Adelle Sans;sans-serif" w:hAnsi="Adelle Sans;sans-serif"/>
                <w:b/>
                <w:color w:val="000000"/>
                <w:sz w:val="18"/>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6" w:type="dxa"/>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delle Sans;sans-serif" w:hAnsi="Adelle Sans;sans-serif"/>
                <w:b/>
                <w:color w:val="000000"/>
                <w:sz w:val="18"/>
              </w:rPr>
            </w:pPr>
            <w:r>
              <w:rPr>
                <w:rFonts w:ascii="Adelle Sans;sans-serif" w:hAnsi="Adelle Sans;sans-serif"/>
                <w:b/>
                <w:color w:val="000000"/>
                <w:sz w:val="18"/>
              </w:rPr>
              <w:t xml:space="preserve">Additional </w:t>
              <w:br/>
              <w:t>Paid-In Capital</w:t>
            </w:r>
          </w:p>
        </w:tc>
        <w:tc>
          <w:tcPr>
            <w:tcW w:w="650"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delle Sans;sans-serif" w:hAnsi="Adelle Sans;sans-serif"/>
                <w:b/>
                <w:color w:val="000000"/>
                <w:sz w:val="16"/>
              </w:rPr>
            </w:pPr>
            <w:r>
              <w:rPr>
                <w:rFonts w:ascii="Adelle Sans;sans-serif" w:hAnsi="Adelle Sans;sans-serif"/>
                <w:b/>
                <w:color w:val="000000"/>
                <w:sz w:val="16"/>
              </w:rPr>
              <w:t>Accumulated Other Comprehensive Income (Loss)</w:t>
            </w:r>
          </w:p>
        </w:tc>
        <w:tc>
          <w:tcPr>
            <w:tcW w:w="515"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delle Sans;sans-serif" w:hAnsi="Adelle Sans;sans-serif"/>
                <w:b/>
                <w:color w:val="000000"/>
                <w:sz w:val="16"/>
              </w:rPr>
            </w:pPr>
            <w:r>
              <w:rPr>
                <w:rFonts w:ascii="Adelle Sans;sans-serif" w:hAnsi="Adelle Sans;sans-serif"/>
                <w:b/>
                <w:color w:val="000000"/>
                <w:sz w:val="16"/>
              </w:rPr>
              <w:t>Accumulated (Deficit) Surplus</w:t>
            </w:r>
          </w:p>
        </w:tc>
        <w:tc>
          <w:tcPr>
            <w:tcW w:w="830"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delle Sans;sans-serif" w:hAnsi="Adelle Sans;sans-serif"/>
                <w:b/>
                <w:color w:val="000000"/>
                <w:sz w:val="18"/>
              </w:rPr>
            </w:pPr>
            <w:r>
              <w:rPr>
                <w:rFonts w:ascii="Adelle Sans;sans-serif" w:hAnsi="Adelle Sans;sans-serif"/>
                <w:b/>
                <w:color w:val="000000"/>
                <w:sz w:val="18"/>
              </w:rPr>
              <w:t>Total</w:t>
            </w:r>
          </w:p>
        </w:tc>
        <w:tc>
          <w:tcPr>
            <w:tcW w:w="995" w:type="dxa"/>
            <w:gridSpan w:val="3"/>
            <w:tcBorders/>
          </w:tcPr>
          <w:p>
            <w:pPr>
              <w:pStyle w:val="TableContents"/>
              <w:bidi w:val="0"/>
              <w:spacing w:before="0" w:after="283"/>
              <w:jc w:val="left"/>
              <w:rPr>
                <w:sz w:val="4"/>
                <w:szCs w:val="4"/>
              </w:rPr>
            </w:pPr>
            <w:r>
              <w:rPr>
                <w:sz w:val="4"/>
                <w:szCs w:val="4"/>
              </w:rPr>
            </w:r>
          </w:p>
        </w:tc>
      </w:tr>
      <w:tr>
        <w:trPr/>
        <w:tc>
          <w:tcPr>
            <w:tcW w:w="15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6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delle Sans;sans-serif" w:hAnsi="Adelle Sans;sans-serif"/>
                <w:b/>
                <w:color w:val="000000"/>
                <w:sz w:val="18"/>
              </w:rPr>
            </w:pPr>
            <w:r>
              <w:rPr>
                <w:rFonts w:ascii="Adelle Sans;sans-serif" w:hAnsi="Adelle Sans;sans-serif"/>
                <w:b/>
                <w:color w:val="000000"/>
                <w:sz w:val="18"/>
              </w:rPr>
              <w:t>Shares</w:t>
            </w:r>
          </w:p>
        </w:tc>
        <w:tc>
          <w:tcPr>
            <w:tcW w:w="3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delle Sans;sans-serif" w:hAnsi="Adelle Sans;sans-serif"/>
                <w:b/>
                <w:color w:val="000000"/>
                <w:sz w:val="18"/>
              </w:rPr>
            </w:pPr>
            <w:r>
              <w:rPr>
                <w:rFonts w:ascii="Adelle Sans;sans-serif" w:hAnsi="Adelle Sans;sans-serif"/>
                <w:b/>
                <w:color w:val="000000"/>
                <w:sz w:val="18"/>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6" w:type="dxa"/>
            <w:vMerge w:val="continue"/>
            <w:tcBorders/>
            <w:tcMar>
              <w:top w:w="0" w:type="dxa"/>
              <w:left w:w="0" w:type="dxa"/>
              <w:bottom w:w="0" w:type="dxa"/>
              <w:right w:w="0" w:type="dxa"/>
            </w:tcMar>
            <w:vAlign w:val="center"/>
          </w:tcPr>
          <w:p>
            <w:pPr>
              <w:pStyle w:val="Normal"/>
              <w:bidi w:val="0"/>
              <w:jc w:val="left"/>
              <w:rPr/>
            </w:pPr>
            <w:r>
              <w:rPr/>
            </w:r>
          </w:p>
        </w:tc>
        <w:tc>
          <w:tcPr>
            <w:tcW w:w="650" w:type="dxa"/>
            <w:gridSpan w:val="3"/>
            <w:vMerge w:val="continue"/>
            <w:tcBorders/>
            <w:tcMar>
              <w:top w:w="0" w:type="dxa"/>
              <w:left w:w="0" w:type="dxa"/>
              <w:bottom w:w="0" w:type="dxa"/>
              <w:right w:w="0" w:type="dxa"/>
            </w:tcMar>
            <w:vAlign w:val="center"/>
          </w:tcPr>
          <w:p>
            <w:pPr>
              <w:pStyle w:val="Normal"/>
              <w:bidi w:val="0"/>
              <w:jc w:val="left"/>
              <w:rPr/>
            </w:pPr>
            <w:r>
              <w:rPr/>
            </w:r>
          </w:p>
        </w:tc>
        <w:tc>
          <w:tcPr>
            <w:tcW w:w="1531" w:type="dxa"/>
            <w:gridSpan w:val="3"/>
            <w:vMerge w:val="continue"/>
            <w:tcBorders/>
            <w:tcMar>
              <w:top w:w="0" w:type="dxa"/>
              <w:left w:w="0" w:type="dxa"/>
              <w:bottom w:w="0" w:type="dxa"/>
              <w:right w:w="0" w:type="dxa"/>
            </w:tcMar>
            <w:vAlign w:val="center"/>
          </w:tcPr>
          <w:p>
            <w:pPr>
              <w:pStyle w:val="Normal"/>
              <w:bidi w:val="0"/>
              <w:jc w:val="left"/>
              <w:rPr/>
            </w:pPr>
            <w:r>
              <w:rPr/>
            </w:r>
          </w:p>
        </w:tc>
        <w:tc>
          <w:tcPr>
            <w:tcW w:w="515" w:type="dxa"/>
            <w:gridSpan w:val="3"/>
            <w:vMerge w:val="continue"/>
            <w:tcBorders/>
            <w:tcMar>
              <w:top w:w="0" w:type="dxa"/>
              <w:left w:w="0" w:type="dxa"/>
              <w:bottom w:w="0" w:type="dxa"/>
              <w:right w:w="0" w:type="dxa"/>
            </w:tcMar>
            <w:vAlign w:val="center"/>
          </w:tcPr>
          <w:p>
            <w:pPr>
              <w:pStyle w:val="Normal"/>
              <w:bidi w:val="0"/>
              <w:jc w:val="left"/>
              <w:rPr/>
            </w:pPr>
            <w:r>
              <w:rPr/>
            </w:r>
          </w:p>
        </w:tc>
        <w:tc>
          <w:tcPr>
            <w:tcW w:w="1321" w:type="dxa"/>
            <w:gridSpan w:val="3"/>
            <w:vMerge w:val="continue"/>
            <w:tcBorders/>
            <w:tcMar>
              <w:top w:w="0" w:type="dxa"/>
              <w:left w:w="0" w:type="dxa"/>
              <w:bottom w:w="0" w:type="dxa"/>
              <w:right w:w="0" w:type="dxa"/>
            </w:tcMar>
            <w:vAlign w:val="center"/>
          </w:tcPr>
          <w:p>
            <w:pPr>
              <w:pStyle w:val="Normal"/>
              <w:bidi w:val="0"/>
              <w:jc w:val="left"/>
              <w:rPr/>
            </w:pPr>
            <w:r>
              <w:rPr/>
            </w:r>
          </w:p>
        </w:tc>
        <w:tc>
          <w:tcPr>
            <w:tcW w:w="830" w:type="dxa"/>
            <w:gridSpan w:val="3"/>
            <w:vMerge w:val="continue"/>
            <w:tcBorders/>
            <w:tcMar>
              <w:top w:w="0" w:type="dxa"/>
              <w:left w:w="0" w:type="dxa"/>
              <w:bottom w:w="0" w:type="dxa"/>
              <w:right w:w="0" w:type="dxa"/>
            </w:tcMar>
            <w:vAlign w:val="center"/>
          </w:tcPr>
          <w:p>
            <w:pPr>
              <w:pStyle w:val="Normal"/>
              <w:bidi w:val="0"/>
              <w:jc w:val="left"/>
              <w:rPr/>
            </w:pPr>
            <w:r>
              <w:rPr/>
            </w:r>
          </w:p>
        </w:tc>
        <w:tc>
          <w:tcPr>
            <w:tcW w:w="616" w:type="dxa"/>
            <w:gridSpan w:val="3"/>
            <w:vMerge w:val="continue"/>
            <w:tcBorders/>
            <w:tcMar>
              <w:top w:w="0" w:type="dxa"/>
              <w:left w:w="0" w:type="dxa"/>
              <w:bottom w:w="0" w:type="dxa"/>
              <w:right w:w="0" w:type="dxa"/>
            </w:tcMar>
            <w:vAlign w:val="center"/>
          </w:tcPr>
          <w:p>
            <w:pPr>
              <w:pStyle w:val="Normal"/>
              <w:bidi w:val="0"/>
              <w:jc w:val="left"/>
              <w:rPr/>
            </w:pPr>
            <w:r>
              <w:rPr/>
            </w:r>
          </w:p>
        </w:tc>
        <w:tc>
          <w:tcPr>
            <w:tcW w:w="995" w:type="dxa"/>
            <w:gridSpan w:val="3"/>
            <w:tcBorders/>
            <w:vAlign w:val="center"/>
          </w:tcPr>
          <w:p>
            <w:pPr>
              <w:pStyle w:val="TableContents"/>
              <w:bidi w:val="0"/>
              <w:spacing w:before="0" w:after="283"/>
              <w:jc w:val="left"/>
              <w:rPr>
                <w:sz w:val="4"/>
                <w:szCs w:val="4"/>
              </w:rPr>
            </w:pPr>
            <w:r>
              <w:rPr>
                <w:sz w:val="4"/>
                <w:szCs w:val="4"/>
              </w:rPr>
            </w:r>
          </w:p>
        </w:tc>
      </w:tr>
      <w:tr>
        <w:trPr/>
        <w:tc>
          <w:tcPr>
            <w:tcW w:w="15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delle Sans;sans-serif" w:hAnsi="Adelle Sans;sans-serif"/>
                <w:b/>
                <w:color w:val="000000"/>
                <w:sz w:val="18"/>
              </w:rPr>
            </w:pPr>
            <w:r>
              <w:rPr>
                <w:rFonts w:ascii="Adelle Sans;sans-serif" w:hAnsi="Adelle Sans;sans-serif"/>
                <w:b/>
                <w:color w:val="000000"/>
                <w:sz w:val="18"/>
              </w:rPr>
              <w:t>As of December 31, 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delle Sans;sans-serif" w:hAnsi="Adelle Sans;sans-serif"/>
                <w:b/>
                <w:color w:val="000000"/>
                <w:sz w:val="18"/>
              </w:rPr>
              <w:t>1,303,904,301</w:t>
            </w:r>
            <w:r>
              <w:rPr>
                <w:color w:val="000000"/>
              </w:rPr>
              <w:t> </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delle Sans;sans-serif" w:hAnsi="Adelle Sans;sans-serif"/>
                <w:b/>
                <w:color w:val="000000"/>
                <w:sz w:val="18"/>
              </w:rPr>
              <w:t>10,376</w:t>
            </w:r>
            <w:r>
              <w:rPr>
                <w:color w:val="000000"/>
              </w:rPr>
              <w:t> </w:t>
            </w:r>
          </w:p>
        </w:tc>
        <w:tc>
          <w:tcPr>
            <w:tcW w:w="31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54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delle Sans;sans-serif" w:hAnsi="Adelle Sans;sans-serif"/>
                <w:b/>
                <w:color w:val="000000"/>
                <w:sz w:val="18"/>
              </w:rPr>
              <w:t>236</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delle Sans;sans-serif" w:hAnsi="Adelle Sans;sans-serif"/>
                <w:b/>
                <w:color w:val="000000"/>
                <w:sz w:val="18"/>
              </w:rPr>
              <w:t>1</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delle Sans;sans-serif" w:hAnsi="Adelle Sans;sans-serif"/>
                <w:b/>
                <w:color w:val="000000"/>
                <w:sz w:val="18"/>
              </w:rPr>
              <w:t>2,860</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delle Sans;sans-serif" w:hAnsi="Adelle Sans;sans-serif"/>
                <w:b/>
                <w:color w:val="000000"/>
                <w:sz w:val="18"/>
              </w:rPr>
              <w:t>13,473</w:t>
            </w:r>
            <w:r>
              <w:rPr>
                <w:color w:val="000000"/>
              </w:rPr>
              <w:t>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shd w:fill="F7F7F7" w:val="clear"/>
            <w:tcMar>
              <w:top w:w="0" w:type="dxa"/>
              <w:left w:w="0" w:type="dxa"/>
              <w:bottom w:w="0" w:type="dxa"/>
              <w:right w:w="0" w:type="dxa"/>
            </w:tcMar>
            <w:vAlign w:val="center"/>
          </w:tcPr>
          <w:p>
            <w:pPr>
              <w:pStyle w:val="TableContents"/>
              <w:bidi w:val="0"/>
              <w:spacing w:lineRule="auto" w:line="240" w:before="0" w:after="283"/>
              <w:jc w:val="left"/>
              <w:rPr>
                <w:rFonts w:ascii="Adelle Sans;sans-serif" w:hAnsi="Adelle Sans;sans-serif"/>
                <w:b w:val="false"/>
                <w:color w:val="000000"/>
                <w:sz w:val="18"/>
              </w:rPr>
            </w:pPr>
            <w:r>
              <w:rPr>
                <w:rFonts w:ascii="Adelle Sans;sans-serif" w:hAnsi="Adelle Sans;sans-serif"/>
                <w:b w:val="false"/>
                <w:color w:val="000000"/>
                <w:sz w:val="18"/>
              </w:rPr>
              <w:t>Exercise of stock options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1" w:type="dxa"/>
            <w:gridSpan w:val="2"/>
            <w:tcBorders>
              <w:top w:val="single" w:sz="8" w:space="0" w:color="000000"/>
            </w:tcBorders>
            <w:shd w:fill="F7F7F7" w:val="clear"/>
            <w:tcMar>
              <w:top w:w="52"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202,056 </w:t>
            </w:r>
          </w:p>
        </w:tc>
        <w:tc>
          <w:tcPr>
            <w:tcW w:w="271" w:type="dxa"/>
            <w:tcBorders>
              <w:top w:val="single" w:sz="8" w:space="0" w:color="000000"/>
            </w:tcBorders>
            <w:shd w:fill="F7F7F7"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op w:val="single" w:sz="8" w:space="0" w:color="000000"/>
            </w:tcBorders>
            <w:shd w:fill="F7F7F7"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op w:val="single" w:sz="8" w:space="0" w:color="000000"/>
            </w:tcBorders>
            <w:shd w:fill="F7F7F7" w:val="clear"/>
            <w:tcMar>
              <w:top w:w="52"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10 </w:t>
            </w:r>
          </w:p>
        </w:tc>
        <w:tc>
          <w:tcPr>
            <w:tcW w:w="318" w:type="dxa"/>
            <w:tcBorders>
              <w:top w:val="single" w:sz="8" w:space="0" w:color="000000"/>
            </w:tcBorders>
            <w:shd w:fill="F7F7F7"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7F7F7"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541" w:type="dxa"/>
            <w:gridSpan w:val="2"/>
            <w:tcBorders>
              <w:top w:val="single" w:sz="8" w:space="0" w:color="000000"/>
            </w:tcBorders>
            <w:shd w:fill="F7F7F7" w:val="clear"/>
            <w:tcMar>
              <w:top w:w="52"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(4)</w:t>
            </w:r>
          </w:p>
        </w:tc>
        <w:tc>
          <w:tcPr>
            <w:tcW w:w="109" w:type="dxa"/>
            <w:tcBorders>
              <w:top w:val="single" w:sz="8" w:space="0" w:color="000000"/>
            </w:tcBorders>
            <w:shd w:fill="F7F7F7"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3"/>
            <w:tcBorders>
              <w:top w:val="single" w:sz="8" w:space="0" w:color="000000"/>
            </w:tcBorders>
            <w:shd w:fill="F7F7F7"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F7F7F7"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7F7F7"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op w:val="single" w:sz="8" w:space="0" w:color="000000"/>
            </w:tcBorders>
            <w:shd w:fill="F7F7F7"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F7F7F7"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7F7F7"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op w:val="single" w:sz="8" w:space="0" w:color="000000"/>
            </w:tcBorders>
            <w:shd w:fill="F7F7F7"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op w:val="single" w:sz="8" w:space="0" w:color="000000"/>
            </w:tcBorders>
            <w:shd w:fill="F7F7F7" w:val="clear"/>
            <w:tcMar>
              <w:top w:w="52"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6 </w:t>
            </w:r>
          </w:p>
        </w:tc>
        <w:tc>
          <w:tcPr>
            <w:tcW w:w="154" w:type="dxa"/>
            <w:tcBorders>
              <w:top w:val="single" w:sz="8" w:space="0" w:color="000000"/>
            </w:tcBorders>
            <w:shd w:fill="F7F7F7"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delle Sans;sans-serif" w:hAnsi="Adelle Sans;sans-serif"/>
                <w:b w:val="false"/>
                <w:color w:val="000000"/>
                <w:sz w:val="18"/>
              </w:rPr>
            </w:pPr>
            <w:r>
              <w:rPr>
                <w:rFonts w:ascii="Adelle Sans;sans-serif" w:hAnsi="Adelle Sans;sans-serif"/>
                <w:b w:val="false"/>
                <w:color w:val="000000"/>
                <w:sz w:val="18"/>
              </w:rPr>
              <w:t>Stock-based compensation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132 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132 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shd w:fill="F7F7F7" w:val="clear"/>
            <w:tcMar>
              <w:top w:w="0" w:type="dxa"/>
              <w:left w:w="0" w:type="dxa"/>
              <w:bottom w:w="0" w:type="dxa"/>
              <w:right w:w="0" w:type="dxa"/>
            </w:tcMar>
            <w:vAlign w:val="center"/>
          </w:tcPr>
          <w:p>
            <w:pPr>
              <w:pStyle w:val="TableContents"/>
              <w:bidi w:val="0"/>
              <w:spacing w:lineRule="auto" w:line="240" w:before="0" w:after="283"/>
              <w:jc w:val="left"/>
              <w:rPr>
                <w:rFonts w:ascii="Adelle Sans;sans-serif" w:hAnsi="Adelle Sans;sans-serif"/>
                <w:b w:val="false"/>
                <w:color w:val="000000"/>
                <w:sz w:val="18"/>
              </w:rPr>
            </w:pPr>
            <w:r>
              <w:rPr>
                <w:rFonts w:ascii="Adelle Sans;sans-serif" w:hAnsi="Adelle Sans;sans-serif"/>
                <w:b w:val="false"/>
                <w:color w:val="000000"/>
                <w:sz w:val="18"/>
              </w:rPr>
              <w:t>Vesting of restricted share units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1" w:type="dxa"/>
            <w:gridSpan w:val="2"/>
            <w:tcBorders/>
            <w:shd w:fill="F7F7F7"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886,692 </w:t>
            </w:r>
          </w:p>
        </w:tc>
        <w:tc>
          <w:tcPr>
            <w:tcW w:w="271" w:type="dxa"/>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7F7F7"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106 </w:t>
            </w:r>
          </w:p>
        </w:tc>
        <w:tc>
          <w:tcPr>
            <w:tcW w:w="318" w:type="dxa"/>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541" w:type="dxa"/>
            <w:gridSpan w:val="2"/>
            <w:tcBorders/>
            <w:shd w:fill="F7F7F7"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(109)</w:t>
            </w:r>
          </w:p>
        </w:tc>
        <w:tc>
          <w:tcPr>
            <w:tcW w:w="109" w:type="dxa"/>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7F7F7"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7F7F7"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7F7F7"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(3)</w:t>
            </w:r>
          </w:p>
        </w:tc>
        <w:tc>
          <w:tcPr>
            <w:tcW w:w="154" w:type="dxa"/>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62"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650" w:type="dxa"/>
            <w:gridSpan w:val="3"/>
            <w:tcBorders/>
            <w:vAlign w:val="center"/>
          </w:tcPr>
          <w:p>
            <w:pPr>
              <w:pStyle w:val="TableContents"/>
              <w:bidi w:val="0"/>
              <w:spacing w:before="0" w:after="283"/>
              <w:jc w:val="left"/>
              <w:rPr>
                <w:sz w:val="4"/>
                <w:szCs w:val="4"/>
              </w:rPr>
            </w:pPr>
            <w:r>
              <w:rPr>
                <w:sz w:val="4"/>
                <w:szCs w:val="4"/>
              </w:rPr>
            </w:r>
          </w:p>
        </w:tc>
        <w:tc>
          <w:tcPr>
            <w:tcW w:w="1531" w:type="dxa"/>
            <w:gridSpan w:val="3"/>
            <w:tcBorders/>
            <w:vAlign w:val="center"/>
          </w:tcPr>
          <w:p>
            <w:pPr>
              <w:pStyle w:val="TableContents"/>
              <w:bidi w:val="0"/>
              <w:spacing w:before="0" w:after="283"/>
              <w:jc w:val="left"/>
              <w:rPr>
                <w:sz w:val="4"/>
                <w:szCs w:val="4"/>
              </w:rPr>
            </w:pPr>
            <w:r>
              <w:rPr>
                <w:sz w:val="4"/>
                <w:szCs w:val="4"/>
              </w:rPr>
            </w:r>
          </w:p>
        </w:tc>
        <w:tc>
          <w:tcPr>
            <w:tcW w:w="515"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830" w:type="dxa"/>
            <w:gridSpan w:val="3"/>
            <w:tcBorders/>
            <w:vAlign w:val="center"/>
          </w:tcPr>
          <w:p>
            <w:pPr>
              <w:pStyle w:val="TableContents"/>
              <w:bidi w:val="0"/>
              <w:spacing w:before="0" w:after="283"/>
              <w:jc w:val="left"/>
              <w:rPr>
                <w:sz w:val="4"/>
                <w:szCs w:val="4"/>
              </w:rPr>
            </w:pPr>
            <w:r>
              <w:rPr>
                <w:sz w:val="4"/>
                <w:szCs w:val="4"/>
              </w:rPr>
            </w:r>
          </w:p>
        </w:tc>
        <w:tc>
          <w:tcPr>
            <w:tcW w:w="616" w:type="dxa"/>
            <w:gridSpan w:val="3"/>
            <w:tcBorders/>
            <w:vAlign w:val="center"/>
          </w:tcPr>
          <w:p>
            <w:pPr>
              <w:pStyle w:val="TableContents"/>
              <w:bidi w:val="0"/>
              <w:spacing w:before="0" w:after="283"/>
              <w:jc w:val="left"/>
              <w:rPr>
                <w:sz w:val="4"/>
                <w:szCs w:val="4"/>
              </w:rPr>
            </w:pPr>
            <w:r>
              <w:rPr>
                <w:sz w:val="4"/>
                <w:szCs w:val="4"/>
              </w:rPr>
            </w:r>
          </w:p>
        </w:tc>
        <w:tc>
          <w:tcPr>
            <w:tcW w:w="995" w:type="dxa"/>
            <w:gridSpan w:val="3"/>
            <w:tcBorders/>
            <w:vAlign w:val="center"/>
          </w:tcPr>
          <w:p>
            <w:pPr>
              <w:pStyle w:val="TableContents"/>
              <w:bidi w:val="0"/>
              <w:spacing w:before="0" w:after="283"/>
              <w:jc w:val="left"/>
              <w:rPr>
                <w:sz w:val="4"/>
                <w:szCs w:val="4"/>
              </w:rPr>
            </w:pPr>
            <w:r>
              <w:rPr>
                <w:sz w:val="4"/>
                <w:szCs w:val="4"/>
              </w:rPr>
            </w:r>
          </w:p>
        </w:tc>
      </w:tr>
      <w:tr>
        <w:trPr/>
        <w:tc>
          <w:tcPr>
            <w:tcW w:w="15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delle Sans;sans-serif" w:hAnsi="Adelle Sans;sans-serif"/>
                <w:b w:val="false"/>
                <w:color w:val="000000"/>
                <w:sz w:val="18"/>
              </w:rPr>
            </w:pPr>
            <w:r>
              <w:rPr>
                <w:rFonts w:ascii="Adelle Sans;sans-serif" w:hAnsi="Adelle Sans;sans-serif"/>
                <w:b w:val="false"/>
                <w:color w:val="000000"/>
                <w:sz w:val="18"/>
              </w:rPr>
              <w:t>Common stock, repurchased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(4,214,019)</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(521)</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(521)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shd w:fill="F7F7F7" w:val="clear"/>
            <w:tcMar>
              <w:top w:w="0" w:type="dxa"/>
              <w:left w:w="0" w:type="dxa"/>
              <w:bottom w:w="0" w:type="dxa"/>
              <w:right w:w="0" w:type="dxa"/>
            </w:tcMar>
            <w:vAlign w:val="center"/>
          </w:tcPr>
          <w:p>
            <w:pPr>
              <w:pStyle w:val="TableContents"/>
              <w:bidi w:val="0"/>
              <w:spacing w:lineRule="auto" w:line="240" w:before="0" w:after="283"/>
              <w:jc w:val="left"/>
              <w:rPr>
                <w:rFonts w:ascii="Adelle Sans;sans-serif" w:hAnsi="Adelle Sans;sans-serif"/>
                <w:b w:val="false"/>
                <w:color w:val="000000"/>
                <w:sz w:val="18"/>
              </w:rPr>
            </w:pPr>
            <w:r>
              <w:rPr>
                <w:rFonts w:ascii="Adelle Sans;sans-serif" w:hAnsi="Adelle Sans;sans-serif"/>
                <w:b w:val="false"/>
                <w:color w:val="000000"/>
                <w:sz w:val="18"/>
              </w:rPr>
              <w:t>Net loss and comprehensive loss for the period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1" w:type="dxa"/>
            <w:gridSpan w:val="2"/>
            <w:tcBorders/>
            <w:shd w:fill="F7F7F7"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7F7F7"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8" w:type="dxa"/>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541" w:type="dxa"/>
            <w:gridSpan w:val="2"/>
            <w:tcBorders/>
            <w:shd w:fill="F7F7F7"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7F7F7"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(5)</w:t>
            </w:r>
          </w:p>
        </w:tc>
        <w:tc>
          <w:tcPr>
            <w:tcW w:w="109" w:type="dxa"/>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7F7F7"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(581)</w:t>
            </w:r>
          </w:p>
        </w:tc>
        <w:tc>
          <w:tcPr>
            <w:tcW w:w="109" w:type="dxa"/>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7F7F7"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(586)</w:t>
            </w:r>
          </w:p>
        </w:tc>
        <w:tc>
          <w:tcPr>
            <w:tcW w:w="154" w:type="dxa"/>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delle Sans;sans-serif" w:hAnsi="Adelle Sans;sans-serif"/>
                <w:b/>
                <w:color w:val="000000"/>
                <w:sz w:val="18"/>
              </w:rPr>
            </w:pPr>
            <w:r>
              <w:rPr>
                <w:rFonts w:ascii="Adelle Sans;sans-serif" w:hAnsi="Adelle Sans;sans-serif"/>
                <w:b/>
                <w:color w:val="000000"/>
                <w:sz w:val="18"/>
              </w:rPr>
              <w:t>As of March 31, 2026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delle Sans;sans-serif" w:hAnsi="Adelle Sans;sans-serif"/>
                <w:b/>
                <w:color w:val="000000"/>
                <w:sz w:val="18"/>
              </w:rPr>
              <w:t>1,300,779,030</w:t>
            </w:r>
            <w:r>
              <w:rPr>
                <w:color w:val="000000"/>
              </w:rPr>
              <w:t> </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delle Sans;sans-serif" w:hAnsi="Adelle Sans;sans-serif"/>
                <w:b/>
                <w:color w:val="000000"/>
                <w:sz w:val="18"/>
              </w:rPr>
              <w:t>9,971</w:t>
            </w:r>
            <w:r>
              <w:rPr>
                <w:color w:val="000000"/>
              </w:rPr>
              <w:t> </w:t>
            </w:r>
          </w:p>
        </w:tc>
        <w:tc>
          <w:tcPr>
            <w:tcW w:w="31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54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delle Sans;sans-serif" w:hAnsi="Adelle Sans;sans-serif"/>
                <w:b/>
                <w:color w:val="000000"/>
                <w:sz w:val="18"/>
              </w:rPr>
              <w:t>255</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color w:val="000000"/>
                <w:sz w:val="18"/>
              </w:rPr>
            </w:pPr>
            <w:r>
              <w:rPr>
                <w:rFonts w:ascii="Adelle Sans;sans-serif" w:hAnsi="Adelle Sans;sans-serif"/>
                <w:b/>
                <w:color w:val="000000"/>
                <w:sz w:val="18"/>
              </w:rPr>
              <w:t>(4)</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delle Sans;sans-serif" w:hAnsi="Adelle Sans;sans-serif"/>
                <w:b/>
                <w:color w:val="000000"/>
                <w:sz w:val="18"/>
              </w:rPr>
              <w:t>2,279</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delle Sans;sans-serif" w:hAnsi="Adelle Sans;sans-serif"/>
                <w:b/>
                <w:color w:val="000000"/>
                <w:sz w:val="18"/>
              </w:rPr>
              <w:t>12,501</w:t>
            </w:r>
            <w:r>
              <w:rPr>
                <w:color w:val="000000"/>
              </w:rPr>
              <w:t>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shd w:fill="F7F7F7" w:val="clear"/>
            <w:tcMar>
              <w:top w:w="0" w:type="dxa"/>
              <w:left w:w="0" w:type="dxa"/>
              <w:bottom w:w="0" w:type="dxa"/>
              <w:right w:w="0" w:type="dxa"/>
            </w:tcMar>
            <w:vAlign w:val="center"/>
          </w:tcPr>
          <w:p>
            <w:pPr>
              <w:pStyle w:val="TableContents"/>
              <w:bidi w:val="0"/>
              <w:spacing w:lineRule="auto" w:line="240" w:before="0" w:after="283"/>
              <w:jc w:val="left"/>
              <w:rPr>
                <w:rFonts w:ascii="Adelle Sans;sans-serif" w:hAnsi="Adelle Sans;sans-serif"/>
                <w:b w:val="false"/>
                <w:color w:val="000000"/>
                <w:sz w:val="18"/>
              </w:rPr>
            </w:pPr>
            <w:r>
              <w:rPr>
                <w:rFonts w:ascii="Adelle Sans;sans-serif" w:hAnsi="Adelle Sans;sans-serif"/>
                <w:b w:val="false"/>
                <w:color w:val="000000"/>
                <w:sz w:val="18"/>
              </w:rPr>
              <w:t>Exercise of stock options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1" w:type="dxa"/>
            <w:gridSpan w:val="2"/>
            <w:tcBorders>
              <w:top w:val="single" w:sz="8" w:space="0" w:color="000000"/>
            </w:tcBorders>
            <w:shd w:fill="F7F7F7" w:val="clear"/>
            <w:tcMar>
              <w:top w:w="52"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112,390 </w:t>
            </w:r>
          </w:p>
        </w:tc>
        <w:tc>
          <w:tcPr>
            <w:tcW w:w="271" w:type="dxa"/>
            <w:tcBorders>
              <w:top w:val="single" w:sz="8" w:space="0" w:color="000000"/>
            </w:tcBorders>
            <w:shd w:fill="F7F7F7"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op w:val="single" w:sz="8" w:space="0" w:color="000000"/>
            </w:tcBorders>
            <w:shd w:fill="F7F7F7"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op w:val="single" w:sz="8" w:space="0" w:color="000000"/>
            </w:tcBorders>
            <w:shd w:fill="F7F7F7" w:val="clear"/>
            <w:tcMar>
              <w:top w:w="52"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5 </w:t>
            </w:r>
          </w:p>
        </w:tc>
        <w:tc>
          <w:tcPr>
            <w:tcW w:w="318" w:type="dxa"/>
            <w:tcBorders>
              <w:top w:val="single" w:sz="8" w:space="0" w:color="000000"/>
            </w:tcBorders>
            <w:shd w:fill="F7F7F7"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7F7F7"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541" w:type="dxa"/>
            <w:gridSpan w:val="2"/>
            <w:tcBorders>
              <w:top w:val="single" w:sz="8" w:space="0" w:color="000000"/>
            </w:tcBorders>
            <w:shd w:fill="F7F7F7" w:val="clear"/>
            <w:tcMar>
              <w:top w:w="52"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(2)</w:t>
            </w:r>
          </w:p>
        </w:tc>
        <w:tc>
          <w:tcPr>
            <w:tcW w:w="109" w:type="dxa"/>
            <w:tcBorders>
              <w:top w:val="single" w:sz="8" w:space="0" w:color="000000"/>
            </w:tcBorders>
            <w:shd w:fill="F7F7F7"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3"/>
            <w:tcBorders>
              <w:top w:val="single" w:sz="8" w:space="0" w:color="000000"/>
            </w:tcBorders>
            <w:shd w:fill="F7F7F7"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F7F7F7"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7F7F7"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op w:val="single" w:sz="8" w:space="0" w:color="000000"/>
            </w:tcBorders>
            <w:shd w:fill="F7F7F7"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F7F7F7"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7F7F7"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op w:val="single" w:sz="8" w:space="0" w:color="000000"/>
            </w:tcBorders>
            <w:shd w:fill="F7F7F7"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op w:val="single" w:sz="8" w:space="0" w:color="000000"/>
            </w:tcBorders>
            <w:shd w:fill="F7F7F7" w:val="clear"/>
            <w:tcMar>
              <w:top w:w="52"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3 </w:t>
            </w:r>
          </w:p>
        </w:tc>
        <w:tc>
          <w:tcPr>
            <w:tcW w:w="154" w:type="dxa"/>
            <w:tcBorders>
              <w:top w:val="single" w:sz="8" w:space="0" w:color="000000"/>
            </w:tcBorders>
            <w:shd w:fill="F7F7F7"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delle Sans;sans-serif" w:hAnsi="Adelle Sans;sans-serif"/>
                <w:b w:val="false"/>
                <w:color w:val="000000"/>
                <w:sz w:val="18"/>
              </w:rPr>
            </w:pPr>
            <w:r>
              <w:rPr>
                <w:rFonts w:ascii="Adelle Sans;sans-serif" w:hAnsi="Adelle Sans;sans-serif"/>
                <w:b w:val="false"/>
                <w:color w:val="000000"/>
                <w:sz w:val="18"/>
              </w:rPr>
              <w:t>Stock-based compensation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128 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128 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shd w:fill="F7F7F7" w:val="clear"/>
            <w:tcMar>
              <w:top w:w="0" w:type="dxa"/>
              <w:left w:w="0" w:type="dxa"/>
              <w:bottom w:w="0" w:type="dxa"/>
              <w:right w:w="0" w:type="dxa"/>
            </w:tcMar>
            <w:vAlign w:val="center"/>
          </w:tcPr>
          <w:p>
            <w:pPr>
              <w:pStyle w:val="TableContents"/>
              <w:bidi w:val="0"/>
              <w:spacing w:lineRule="auto" w:line="240" w:before="0" w:after="283"/>
              <w:jc w:val="left"/>
              <w:rPr>
                <w:rFonts w:ascii="Adelle Sans;sans-serif" w:hAnsi="Adelle Sans;sans-serif"/>
                <w:b w:val="false"/>
                <w:color w:val="000000"/>
                <w:sz w:val="18"/>
              </w:rPr>
            </w:pPr>
            <w:r>
              <w:rPr>
                <w:rFonts w:ascii="Adelle Sans;sans-serif" w:hAnsi="Adelle Sans;sans-serif"/>
                <w:b w:val="false"/>
                <w:color w:val="000000"/>
                <w:sz w:val="18"/>
              </w:rPr>
              <w:t>Vesting of restricted share units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1" w:type="dxa"/>
            <w:gridSpan w:val="2"/>
            <w:tcBorders/>
            <w:shd w:fill="F7F7F7"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961,125 </w:t>
            </w:r>
          </w:p>
        </w:tc>
        <w:tc>
          <w:tcPr>
            <w:tcW w:w="271" w:type="dxa"/>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7F7F7"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105 </w:t>
            </w:r>
          </w:p>
        </w:tc>
        <w:tc>
          <w:tcPr>
            <w:tcW w:w="318" w:type="dxa"/>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541" w:type="dxa"/>
            <w:gridSpan w:val="2"/>
            <w:tcBorders/>
            <w:shd w:fill="F7F7F7"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(107)</w:t>
            </w:r>
          </w:p>
        </w:tc>
        <w:tc>
          <w:tcPr>
            <w:tcW w:w="109" w:type="dxa"/>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7F7F7"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7F7F7"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7F7F7"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(2)</w:t>
            </w:r>
          </w:p>
        </w:tc>
        <w:tc>
          <w:tcPr>
            <w:tcW w:w="154" w:type="dxa"/>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62"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650" w:type="dxa"/>
            <w:gridSpan w:val="3"/>
            <w:tcBorders/>
            <w:vAlign w:val="center"/>
          </w:tcPr>
          <w:p>
            <w:pPr>
              <w:pStyle w:val="TableContents"/>
              <w:bidi w:val="0"/>
              <w:spacing w:before="0" w:after="283"/>
              <w:jc w:val="left"/>
              <w:rPr>
                <w:sz w:val="4"/>
                <w:szCs w:val="4"/>
              </w:rPr>
            </w:pPr>
            <w:r>
              <w:rPr>
                <w:sz w:val="4"/>
                <w:szCs w:val="4"/>
              </w:rPr>
            </w:r>
          </w:p>
        </w:tc>
        <w:tc>
          <w:tcPr>
            <w:tcW w:w="1531" w:type="dxa"/>
            <w:gridSpan w:val="3"/>
            <w:tcBorders/>
            <w:vAlign w:val="center"/>
          </w:tcPr>
          <w:p>
            <w:pPr>
              <w:pStyle w:val="TableContents"/>
              <w:bidi w:val="0"/>
              <w:spacing w:before="0" w:after="283"/>
              <w:jc w:val="left"/>
              <w:rPr>
                <w:sz w:val="4"/>
                <w:szCs w:val="4"/>
              </w:rPr>
            </w:pPr>
            <w:r>
              <w:rPr>
                <w:sz w:val="4"/>
                <w:szCs w:val="4"/>
              </w:rPr>
            </w:r>
          </w:p>
        </w:tc>
        <w:tc>
          <w:tcPr>
            <w:tcW w:w="515"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830" w:type="dxa"/>
            <w:gridSpan w:val="3"/>
            <w:tcBorders/>
            <w:vAlign w:val="center"/>
          </w:tcPr>
          <w:p>
            <w:pPr>
              <w:pStyle w:val="TableContents"/>
              <w:bidi w:val="0"/>
              <w:spacing w:before="0" w:after="283"/>
              <w:jc w:val="left"/>
              <w:rPr>
                <w:sz w:val="4"/>
                <w:szCs w:val="4"/>
              </w:rPr>
            </w:pPr>
            <w:r>
              <w:rPr>
                <w:sz w:val="4"/>
                <w:szCs w:val="4"/>
              </w:rPr>
            </w:r>
          </w:p>
        </w:tc>
        <w:tc>
          <w:tcPr>
            <w:tcW w:w="616" w:type="dxa"/>
            <w:gridSpan w:val="3"/>
            <w:tcBorders/>
            <w:vAlign w:val="center"/>
          </w:tcPr>
          <w:p>
            <w:pPr>
              <w:pStyle w:val="TableContents"/>
              <w:bidi w:val="0"/>
              <w:spacing w:before="0" w:after="283"/>
              <w:jc w:val="left"/>
              <w:rPr>
                <w:sz w:val="4"/>
                <w:szCs w:val="4"/>
              </w:rPr>
            </w:pPr>
            <w:r>
              <w:rPr>
                <w:sz w:val="4"/>
                <w:szCs w:val="4"/>
              </w:rPr>
            </w:r>
          </w:p>
        </w:tc>
        <w:tc>
          <w:tcPr>
            <w:tcW w:w="995" w:type="dxa"/>
            <w:gridSpan w:val="3"/>
            <w:tcBorders/>
            <w:vAlign w:val="center"/>
          </w:tcPr>
          <w:p>
            <w:pPr>
              <w:pStyle w:val="TableContents"/>
              <w:bidi w:val="0"/>
              <w:spacing w:before="0" w:after="283"/>
              <w:jc w:val="left"/>
              <w:rPr>
                <w:sz w:val="4"/>
                <w:szCs w:val="4"/>
              </w:rPr>
            </w:pPr>
            <w:r>
              <w:rPr>
                <w:sz w:val="4"/>
                <w:szCs w:val="4"/>
              </w:rPr>
            </w:r>
          </w:p>
        </w:tc>
      </w:tr>
      <w:tr>
        <w:trPr/>
        <w:tc>
          <w:tcPr>
            <w:tcW w:w="15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delle Sans;sans-serif" w:hAnsi="Adelle Sans;sans-serif"/>
                <w:b w:val="false"/>
                <w:color w:val="000000"/>
                <w:sz w:val="18"/>
              </w:rPr>
            </w:pPr>
            <w:r>
              <w:rPr>
                <w:rFonts w:ascii="Adelle Sans;sans-serif" w:hAnsi="Adelle Sans;sans-serif"/>
                <w:b w:val="false"/>
                <w:color w:val="000000"/>
                <w:sz w:val="18"/>
              </w:rPr>
              <w:t>Common stock, repurchased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(12,645,957)</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(1,445)</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(1,445)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shd w:fill="F7F7F7" w:val="clear"/>
            <w:tcMar>
              <w:top w:w="0" w:type="dxa"/>
              <w:left w:w="0" w:type="dxa"/>
              <w:bottom w:w="0" w:type="dxa"/>
              <w:right w:w="0" w:type="dxa"/>
            </w:tcMar>
            <w:vAlign w:val="center"/>
          </w:tcPr>
          <w:p>
            <w:pPr>
              <w:pStyle w:val="TableContents"/>
              <w:bidi w:val="0"/>
              <w:spacing w:lineRule="auto" w:line="240" w:before="0" w:after="283"/>
              <w:jc w:val="left"/>
              <w:rPr>
                <w:rFonts w:ascii="Adelle Sans;sans-serif" w:hAnsi="Adelle Sans;sans-serif"/>
                <w:b w:val="false"/>
                <w:color w:val="000000"/>
                <w:sz w:val="18"/>
              </w:rPr>
            </w:pPr>
            <w:r>
              <w:rPr>
                <w:rFonts w:ascii="Adelle Sans;sans-serif" w:hAnsi="Adelle Sans;sans-serif"/>
                <w:b w:val="false"/>
                <w:color w:val="000000"/>
                <w:sz w:val="18"/>
              </w:rPr>
              <w:t>Net income and comprehensive loss for the period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1" w:type="dxa"/>
            <w:gridSpan w:val="2"/>
            <w:tcBorders/>
            <w:shd w:fill="F7F7F7"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7F7F7"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8" w:type="dxa"/>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541" w:type="dxa"/>
            <w:gridSpan w:val="2"/>
            <w:tcBorders/>
            <w:shd w:fill="F7F7F7"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7F7F7"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(3)</w:t>
            </w:r>
          </w:p>
        </w:tc>
        <w:tc>
          <w:tcPr>
            <w:tcW w:w="109" w:type="dxa"/>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7F7F7"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1,502 </w:t>
            </w:r>
          </w:p>
        </w:tc>
        <w:tc>
          <w:tcPr>
            <w:tcW w:w="109" w:type="dxa"/>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7F7F7"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1,499 </w:t>
            </w:r>
          </w:p>
        </w:tc>
        <w:tc>
          <w:tcPr>
            <w:tcW w:w="154" w:type="dxa"/>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delle Sans;sans-serif" w:hAnsi="Adelle Sans;sans-serif"/>
                <w:b/>
                <w:color w:val="000000"/>
                <w:sz w:val="18"/>
              </w:rPr>
            </w:pPr>
            <w:r>
              <w:rPr>
                <w:rFonts w:ascii="Adelle Sans;sans-serif" w:hAnsi="Adelle Sans;sans-serif"/>
                <w:b/>
                <w:color w:val="000000"/>
                <w:sz w:val="18"/>
              </w:rPr>
              <w:t>As of June 30, 2026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1" w:type="dxa"/>
            <w:gridSpan w:val="2"/>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Adelle Sans;sans-serif" w:hAnsi="Adelle Sans;sans-serif"/>
                <w:b/>
                <w:color w:val="000000"/>
                <w:sz w:val="18"/>
              </w:rPr>
              <w:t>1,289,206,588</w:t>
            </w:r>
            <w:r>
              <w:rPr>
                <w:color w:val="000000"/>
              </w:rPr>
              <w:t> </w:t>
            </w:r>
          </w:p>
        </w:tc>
        <w:tc>
          <w:tcPr>
            <w:tcW w:w="271"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Adelle Sans;sans-serif" w:hAnsi="Adelle Sans;sans-serif"/>
                <w:b/>
                <w:color w:val="000000"/>
                <w:sz w:val="18"/>
              </w:rPr>
              <w:t>8,636</w:t>
            </w:r>
            <w:r>
              <w:rPr>
                <w:color w:val="000000"/>
              </w:rPr>
              <w:t> </w:t>
            </w:r>
          </w:p>
        </w:tc>
        <w:tc>
          <w:tcPr>
            <w:tcW w:w="318"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541" w:type="dxa"/>
            <w:gridSpan w:val="2"/>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Adelle Sans;sans-serif" w:hAnsi="Adelle Sans;sans-serif"/>
                <w:b/>
                <w:color w:val="000000"/>
                <w:sz w:val="18"/>
              </w:rPr>
              <w:t>274</w:t>
            </w:r>
            <w:r>
              <w:rPr>
                <w:color w:val="000000"/>
              </w:rPr>
              <w:t> </w:t>
            </w:r>
          </w:p>
        </w:tc>
        <w:tc>
          <w:tcPr>
            <w:tcW w:w="109"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531"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delle Sans;sans-serif" w:hAnsi="Adelle Sans;sans-serif"/>
                <w:b/>
                <w:color w:val="000000"/>
                <w:sz w:val="18"/>
              </w:rPr>
            </w:pPr>
            <w:r>
              <w:rPr>
                <w:rFonts w:ascii="Adelle Sans;sans-serif" w:hAnsi="Adelle Sans;sans-serif"/>
                <w:b/>
                <w:color w:val="000000"/>
                <w:sz w:val="18"/>
              </w:rPr>
              <w:t>(7)</w:t>
            </w:r>
          </w:p>
        </w:tc>
        <w:tc>
          <w:tcPr>
            <w:tcW w:w="109"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Adelle Sans;sans-serif" w:hAnsi="Adelle Sans;sans-serif"/>
                <w:b/>
                <w:color w:val="000000"/>
                <w:sz w:val="18"/>
              </w:rPr>
              <w:t>3,781</w:t>
            </w:r>
            <w:r>
              <w:rPr>
                <w:color w:val="000000"/>
              </w:rPr>
              <w:t> </w:t>
            </w:r>
          </w:p>
        </w:tc>
        <w:tc>
          <w:tcPr>
            <w:tcW w:w="109"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Adelle Sans;sans-serif" w:hAnsi="Adelle Sans;sans-serif"/>
                <w:b/>
                <w:color w:val="000000"/>
                <w:sz w:val="18"/>
              </w:rPr>
              <w:t>12,684</w:t>
            </w:r>
            <w:r>
              <w:rPr>
                <w:color w:val="000000"/>
              </w:rPr>
              <w:t> </w:t>
            </w:r>
          </w:p>
        </w:tc>
        <w:tc>
          <w:tcPr>
            <w:tcW w:w="154"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62"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650" w:type="dxa"/>
            <w:gridSpan w:val="3"/>
            <w:tcBorders/>
            <w:vAlign w:val="center"/>
          </w:tcPr>
          <w:p>
            <w:pPr>
              <w:pStyle w:val="TableContents"/>
              <w:bidi w:val="0"/>
              <w:spacing w:before="0" w:after="283"/>
              <w:jc w:val="left"/>
              <w:rPr>
                <w:sz w:val="4"/>
                <w:szCs w:val="4"/>
              </w:rPr>
            </w:pPr>
            <w:r>
              <w:rPr>
                <w:sz w:val="4"/>
                <w:szCs w:val="4"/>
              </w:rPr>
            </w:r>
          </w:p>
        </w:tc>
        <w:tc>
          <w:tcPr>
            <w:tcW w:w="1531" w:type="dxa"/>
            <w:gridSpan w:val="3"/>
            <w:tcBorders/>
            <w:vAlign w:val="center"/>
          </w:tcPr>
          <w:p>
            <w:pPr>
              <w:pStyle w:val="TableContents"/>
              <w:bidi w:val="0"/>
              <w:spacing w:before="0" w:after="283"/>
              <w:jc w:val="left"/>
              <w:rPr>
                <w:sz w:val="4"/>
                <w:szCs w:val="4"/>
              </w:rPr>
            </w:pPr>
            <w:r>
              <w:rPr>
                <w:sz w:val="4"/>
                <w:szCs w:val="4"/>
              </w:rPr>
            </w:r>
          </w:p>
        </w:tc>
        <w:tc>
          <w:tcPr>
            <w:tcW w:w="515"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830" w:type="dxa"/>
            <w:gridSpan w:val="3"/>
            <w:tcBorders/>
            <w:vAlign w:val="center"/>
          </w:tcPr>
          <w:p>
            <w:pPr>
              <w:pStyle w:val="TableContents"/>
              <w:bidi w:val="0"/>
              <w:spacing w:before="0" w:after="283"/>
              <w:jc w:val="left"/>
              <w:rPr>
                <w:sz w:val="4"/>
                <w:szCs w:val="4"/>
              </w:rPr>
            </w:pPr>
            <w:r>
              <w:rPr>
                <w:sz w:val="4"/>
                <w:szCs w:val="4"/>
              </w:rPr>
            </w:r>
          </w:p>
        </w:tc>
        <w:tc>
          <w:tcPr>
            <w:tcW w:w="616" w:type="dxa"/>
            <w:gridSpan w:val="3"/>
            <w:tcBorders/>
            <w:vAlign w:val="center"/>
          </w:tcPr>
          <w:p>
            <w:pPr>
              <w:pStyle w:val="TableContents"/>
              <w:bidi w:val="0"/>
              <w:spacing w:before="0" w:after="283"/>
              <w:jc w:val="left"/>
              <w:rPr>
                <w:sz w:val="4"/>
                <w:szCs w:val="4"/>
              </w:rPr>
            </w:pPr>
            <w:r>
              <w:rPr>
                <w:sz w:val="4"/>
                <w:szCs w:val="4"/>
              </w:rPr>
            </w:r>
          </w:p>
        </w:tc>
        <w:tc>
          <w:tcPr>
            <w:tcW w:w="995" w:type="dxa"/>
            <w:gridSpan w:val="3"/>
            <w:tcBorders/>
            <w:vAlign w:val="center"/>
          </w:tcPr>
          <w:p>
            <w:pPr>
              <w:pStyle w:val="TableContents"/>
              <w:bidi w:val="0"/>
              <w:spacing w:before="0" w:after="283"/>
              <w:jc w:val="left"/>
              <w:rPr>
                <w:sz w:val="4"/>
                <w:szCs w:val="4"/>
              </w:rPr>
            </w:pPr>
            <w:r>
              <w:rPr>
                <w:sz w:val="4"/>
                <w:szCs w:val="4"/>
              </w:rPr>
            </w:r>
          </w:p>
        </w:tc>
      </w:tr>
      <w:tr>
        <w:trPr/>
        <w:tc>
          <w:tcPr>
            <w:tcW w:w="150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62"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650" w:type="dxa"/>
            <w:gridSpan w:val="3"/>
            <w:tcBorders/>
            <w:vAlign w:val="center"/>
          </w:tcPr>
          <w:p>
            <w:pPr>
              <w:pStyle w:val="TableContents"/>
              <w:bidi w:val="0"/>
              <w:spacing w:before="0" w:after="283"/>
              <w:jc w:val="left"/>
              <w:rPr>
                <w:sz w:val="4"/>
                <w:szCs w:val="4"/>
              </w:rPr>
            </w:pPr>
            <w:r>
              <w:rPr>
                <w:sz w:val="4"/>
                <w:szCs w:val="4"/>
              </w:rPr>
            </w:r>
          </w:p>
        </w:tc>
        <w:tc>
          <w:tcPr>
            <w:tcW w:w="1531" w:type="dxa"/>
            <w:gridSpan w:val="3"/>
            <w:tcBorders/>
            <w:vAlign w:val="center"/>
          </w:tcPr>
          <w:p>
            <w:pPr>
              <w:pStyle w:val="TableContents"/>
              <w:bidi w:val="0"/>
              <w:spacing w:before="0" w:after="283"/>
              <w:jc w:val="left"/>
              <w:rPr>
                <w:sz w:val="4"/>
                <w:szCs w:val="4"/>
              </w:rPr>
            </w:pPr>
            <w:r>
              <w:rPr>
                <w:sz w:val="4"/>
                <w:szCs w:val="4"/>
              </w:rPr>
            </w:r>
          </w:p>
        </w:tc>
        <w:tc>
          <w:tcPr>
            <w:tcW w:w="515"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830" w:type="dxa"/>
            <w:gridSpan w:val="3"/>
            <w:tcBorders/>
            <w:vAlign w:val="center"/>
          </w:tcPr>
          <w:p>
            <w:pPr>
              <w:pStyle w:val="TableContents"/>
              <w:bidi w:val="0"/>
              <w:spacing w:before="0" w:after="283"/>
              <w:jc w:val="left"/>
              <w:rPr>
                <w:sz w:val="4"/>
                <w:szCs w:val="4"/>
              </w:rPr>
            </w:pPr>
            <w:r>
              <w:rPr>
                <w:sz w:val="4"/>
                <w:szCs w:val="4"/>
              </w:rPr>
            </w:r>
          </w:p>
        </w:tc>
        <w:tc>
          <w:tcPr>
            <w:tcW w:w="616" w:type="dxa"/>
            <w:gridSpan w:val="3"/>
            <w:tcBorders/>
            <w:vAlign w:val="center"/>
          </w:tcPr>
          <w:p>
            <w:pPr>
              <w:pStyle w:val="TableContents"/>
              <w:bidi w:val="0"/>
              <w:spacing w:before="0" w:after="283"/>
              <w:jc w:val="left"/>
              <w:rPr>
                <w:sz w:val="4"/>
                <w:szCs w:val="4"/>
              </w:rPr>
            </w:pPr>
            <w:r>
              <w:rPr>
                <w:sz w:val="4"/>
                <w:szCs w:val="4"/>
              </w:rPr>
            </w:r>
          </w:p>
        </w:tc>
        <w:tc>
          <w:tcPr>
            <w:tcW w:w="995" w:type="dxa"/>
            <w:gridSpan w:val="3"/>
            <w:tcBorders/>
            <w:vAlign w:val="center"/>
          </w:tcPr>
          <w:p>
            <w:pPr>
              <w:pStyle w:val="TableContents"/>
              <w:bidi w:val="0"/>
              <w:spacing w:before="0" w:after="283"/>
              <w:jc w:val="left"/>
              <w:rPr>
                <w:sz w:val="4"/>
                <w:szCs w:val="4"/>
              </w:rPr>
            </w:pPr>
            <w:r>
              <w:rPr>
                <w:sz w:val="4"/>
                <w:szCs w:val="4"/>
              </w:rPr>
            </w:r>
          </w:p>
        </w:tc>
      </w:tr>
      <w:tr>
        <w:trPr/>
        <w:tc>
          <w:tcPr>
            <w:tcW w:w="150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62"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650" w:type="dxa"/>
            <w:gridSpan w:val="3"/>
            <w:tcBorders/>
            <w:vAlign w:val="center"/>
          </w:tcPr>
          <w:p>
            <w:pPr>
              <w:pStyle w:val="TableContents"/>
              <w:bidi w:val="0"/>
              <w:spacing w:before="0" w:after="283"/>
              <w:jc w:val="left"/>
              <w:rPr>
                <w:sz w:val="4"/>
                <w:szCs w:val="4"/>
              </w:rPr>
            </w:pPr>
            <w:r>
              <w:rPr>
                <w:sz w:val="4"/>
                <w:szCs w:val="4"/>
              </w:rPr>
            </w:r>
          </w:p>
        </w:tc>
        <w:tc>
          <w:tcPr>
            <w:tcW w:w="1531" w:type="dxa"/>
            <w:gridSpan w:val="3"/>
            <w:tcBorders/>
            <w:vAlign w:val="center"/>
          </w:tcPr>
          <w:p>
            <w:pPr>
              <w:pStyle w:val="TableContents"/>
              <w:bidi w:val="0"/>
              <w:spacing w:before="0" w:after="283"/>
              <w:jc w:val="left"/>
              <w:rPr>
                <w:sz w:val="4"/>
                <w:szCs w:val="4"/>
              </w:rPr>
            </w:pPr>
            <w:r>
              <w:rPr>
                <w:sz w:val="4"/>
                <w:szCs w:val="4"/>
              </w:rPr>
            </w:r>
          </w:p>
        </w:tc>
        <w:tc>
          <w:tcPr>
            <w:tcW w:w="515"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830" w:type="dxa"/>
            <w:gridSpan w:val="3"/>
            <w:tcBorders/>
            <w:vAlign w:val="center"/>
          </w:tcPr>
          <w:p>
            <w:pPr>
              <w:pStyle w:val="TableContents"/>
              <w:bidi w:val="0"/>
              <w:spacing w:before="0" w:after="283"/>
              <w:jc w:val="left"/>
              <w:rPr>
                <w:sz w:val="4"/>
                <w:szCs w:val="4"/>
              </w:rPr>
            </w:pPr>
            <w:r>
              <w:rPr>
                <w:sz w:val="4"/>
                <w:szCs w:val="4"/>
              </w:rPr>
            </w:r>
          </w:p>
        </w:tc>
        <w:tc>
          <w:tcPr>
            <w:tcW w:w="616" w:type="dxa"/>
            <w:gridSpan w:val="3"/>
            <w:tcBorders/>
            <w:vAlign w:val="center"/>
          </w:tcPr>
          <w:p>
            <w:pPr>
              <w:pStyle w:val="TableContents"/>
              <w:bidi w:val="0"/>
              <w:spacing w:before="0" w:after="283"/>
              <w:jc w:val="left"/>
              <w:rPr>
                <w:sz w:val="4"/>
                <w:szCs w:val="4"/>
              </w:rPr>
            </w:pPr>
            <w:r>
              <w:rPr>
                <w:sz w:val="4"/>
                <w:szCs w:val="4"/>
              </w:rPr>
            </w:r>
          </w:p>
        </w:tc>
        <w:tc>
          <w:tcPr>
            <w:tcW w:w="995" w:type="dxa"/>
            <w:gridSpan w:val="3"/>
            <w:tcBorders/>
            <w:vAlign w:val="center"/>
          </w:tcPr>
          <w:p>
            <w:pPr>
              <w:pStyle w:val="TableContents"/>
              <w:bidi w:val="0"/>
              <w:spacing w:before="0" w:after="283"/>
              <w:jc w:val="left"/>
              <w:rPr>
                <w:sz w:val="4"/>
                <w:szCs w:val="4"/>
              </w:rPr>
            </w:pPr>
            <w:r>
              <w:rPr>
                <w:sz w:val="4"/>
                <w:szCs w:val="4"/>
              </w:rPr>
            </w:r>
          </w:p>
        </w:tc>
      </w:tr>
      <w:tr>
        <w:trPr/>
        <w:tc>
          <w:tcPr>
            <w:tcW w:w="150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62"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650" w:type="dxa"/>
            <w:gridSpan w:val="3"/>
            <w:tcBorders/>
            <w:vAlign w:val="center"/>
          </w:tcPr>
          <w:p>
            <w:pPr>
              <w:pStyle w:val="TableContents"/>
              <w:bidi w:val="0"/>
              <w:spacing w:before="0" w:after="283"/>
              <w:jc w:val="left"/>
              <w:rPr>
                <w:sz w:val="4"/>
                <w:szCs w:val="4"/>
              </w:rPr>
            </w:pPr>
            <w:r>
              <w:rPr>
                <w:sz w:val="4"/>
                <w:szCs w:val="4"/>
              </w:rPr>
            </w:r>
          </w:p>
        </w:tc>
        <w:tc>
          <w:tcPr>
            <w:tcW w:w="1531" w:type="dxa"/>
            <w:gridSpan w:val="3"/>
            <w:tcBorders/>
            <w:vAlign w:val="center"/>
          </w:tcPr>
          <w:p>
            <w:pPr>
              <w:pStyle w:val="TableContents"/>
              <w:bidi w:val="0"/>
              <w:spacing w:before="0" w:after="283"/>
              <w:jc w:val="left"/>
              <w:rPr>
                <w:sz w:val="4"/>
                <w:szCs w:val="4"/>
              </w:rPr>
            </w:pPr>
            <w:r>
              <w:rPr>
                <w:sz w:val="4"/>
                <w:szCs w:val="4"/>
              </w:rPr>
            </w:r>
          </w:p>
        </w:tc>
        <w:tc>
          <w:tcPr>
            <w:tcW w:w="515"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830" w:type="dxa"/>
            <w:gridSpan w:val="3"/>
            <w:tcBorders/>
            <w:vAlign w:val="center"/>
          </w:tcPr>
          <w:p>
            <w:pPr>
              <w:pStyle w:val="TableContents"/>
              <w:bidi w:val="0"/>
              <w:spacing w:before="0" w:after="283"/>
              <w:jc w:val="left"/>
              <w:rPr>
                <w:sz w:val="4"/>
                <w:szCs w:val="4"/>
              </w:rPr>
            </w:pPr>
            <w:r>
              <w:rPr>
                <w:sz w:val="4"/>
                <w:szCs w:val="4"/>
              </w:rPr>
            </w:r>
          </w:p>
        </w:tc>
        <w:tc>
          <w:tcPr>
            <w:tcW w:w="616" w:type="dxa"/>
            <w:gridSpan w:val="3"/>
            <w:tcBorders/>
            <w:vAlign w:val="center"/>
          </w:tcPr>
          <w:p>
            <w:pPr>
              <w:pStyle w:val="TableContents"/>
              <w:bidi w:val="0"/>
              <w:spacing w:before="0" w:after="283"/>
              <w:jc w:val="left"/>
              <w:rPr>
                <w:sz w:val="4"/>
                <w:szCs w:val="4"/>
              </w:rPr>
            </w:pPr>
            <w:r>
              <w:rPr>
                <w:sz w:val="4"/>
                <w:szCs w:val="4"/>
              </w:rPr>
            </w:r>
          </w:p>
        </w:tc>
        <w:tc>
          <w:tcPr>
            <w:tcW w:w="995" w:type="dxa"/>
            <w:gridSpan w:val="3"/>
            <w:tcBorders/>
            <w:vAlign w:val="center"/>
          </w:tcPr>
          <w:p>
            <w:pPr>
              <w:pStyle w:val="TableContents"/>
              <w:bidi w:val="0"/>
              <w:spacing w:before="0" w:after="283"/>
              <w:jc w:val="left"/>
              <w:rPr>
                <w:sz w:val="4"/>
                <w:szCs w:val="4"/>
              </w:rPr>
            </w:pPr>
            <w:r>
              <w:rPr>
                <w:sz w:val="4"/>
                <w:szCs w:val="4"/>
              </w:rPr>
            </w:r>
          </w:p>
        </w:tc>
      </w:tr>
      <w:tr>
        <w:trPr/>
        <w:tc>
          <w:tcPr>
            <w:tcW w:w="150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62"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650" w:type="dxa"/>
            <w:gridSpan w:val="3"/>
            <w:tcBorders/>
            <w:vAlign w:val="center"/>
          </w:tcPr>
          <w:p>
            <w:pPr>
              <w:pStyle w:val="TableContents"/>
              <w:bidi w:val="0"/>
              <w:spacing w:before="0" w:after="283"/>
              <w:jc w:val="left"/>
              <w:rPr>
                <w:sz w:val="4"/>
                <w:szCs w:val="4"/>
              </w:rPr>
            </w:pPr>
            <w:r>
              <w:rPr>
                <w:sz w:val="4"/>
                <w:szCs w:val="4"/>
              </w:rPr>
            </w:r>
          </w:p>
        </w:tc>
        <w:tc>
          <w:tcPr>
            <w:tcW w:w="1531" w:type="dxa"/>
            <w:gridSpan w:val="3"/>
            <w:tcBorders/>
            <w:vAlign w:val="center"/>
          </w:tcPr>
          <w:p>
            <w:pPr>
              <w:pStyle w:val="TableContents"/>
              <w:bidi w:val="0"/>
              <w:spacing w:before="0" w:after="283"/>
              <w:jc w:val="left"/>
              <w:rPr>
                <w:sz w:val="4"/>
                <w:szCs w:val="4"/>
              </w:rPr>
            </w:pPr>
            <w:r>
              <w:rPr>
                <w:sz w:val="4"/>
                <w:szCs w:val="4"/>
              </w:rPr>
            </w:r>
          </w:p>
        </w:tc>
        <w:tc>
          <w:tcPr>
            <w:tcW w:w="515"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830" w:type="dxa"/>
            <w:gridSpan w:val="3"/>
            <w:tcBorders/>
            <w:vAlign w:val="center"/>
          </w:tcPr>
          <w:p>
            <w:pPr>
              <w:pStyle w:val="TableContents"/>
              <w:bidi w:val="0"/>
              <w:spacing w:before="0" w:after="283"/>
              <w:jc w:val="left"/>
              <w:rPr>
                <w:sz w:val="4"/>
                <w:szCs w:val="4"/>
              </w:rPr>
            </w:pPr>
            <w:r>
              <w:rPr>
                <w:sz w:val="4"/>
                <w:szCs w:val="4"/>
              </w:rPr>
            </w:r>
          </w:p>
        </w:tc>
        <w:tc>
          <w:tcPr>
            <w:tcW w:w="616" w:type="dxa"/>
            <w:gridSpan w:val="3"/>
            <w:tcBorders/>
            <w:vAlign w:val="center"/>
          </w:tcPr>
          <w:p>
            <w:pPr>
              <w:pStyle w:val="TableContents"/>
              <w:bidi w:val="0"/>
              <w:spacing w:before="0" w:after="283"/>
              <w:jc w:val="left"/>
              <w:rPr>
                <w:sz w:val="4"/>
                <w:szCs w:val="4"/>
              </w:rPr>
            </w:pPr>
            <w:r>
              <w:rPr>
                <w:sz w:val="4"/>
                <w:szCs w:val="4"/>
              </w:rPr>
            </w:r>
          </w:p>
        </w:tc>
        <w:tc>
          <w:tcPr>
            <w:tcW w:w="995" w:type="dxa"/>
            <w:gridSpan w:val="3"/>
            <w:tcBorders/>
            <w:vAlign w:val="center"/>
          </w:tcPr>
          <w:p>
            <w:pPr>
              <w:pStyle w:val="TableContents"/>
              <w:bidi w:val="0"/>
              <w:spacing w:before="0" w:after="283"/>
              <w:jc w:val="left"/>
              <w:rPr>
                <w:sz w:val="4"/>
                <w:szCs w:val="4"/>
              </w:rPr>
            </w:pPr>
            <w:r>
              <w:rPr>
                <w:sz w:val="4"/>
                <w:szCs w:val="4"/>
              </w:rPr>
            </w:r>
          </w:p>
        </w:tc>
      </w:tr>
      <w:tr>
        <w:trPr/>
        <w:tc>
          <w:tcPr>
            <w:tcW w:w="150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62"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650" w:type="dxa"/>
            <w:gridSpan w:val="3"/>
            <w:tcBorders/>
            <w:vAlign w:val="center"/>
          </w:tcPr>
          <w:p>
            <w:pPr>
              <w:pStyle w:val="TableContents"/>
              <w:bidi w:val="0"/>
              <w:spacing w:before="0" w:after="283"/>
              <w:jc w:val="left"/>
              <w:rPr>
                <w:sz w:val="4"/>
                <w:szCs w:val="4"/>
              </w:rPr>
            </w:pPr>
            <w:r>
              <w:rPr>
                <w:sz w:val="4"/>
                <w:szCs w:val="4"/>
              </w:rPr>
            </w:r>
          </w:p>
        </w:tc>
        <w:tc>
          <w:tcPr>
            <w:tcW w:w="1531" w:type="dxa"/>
            <w:gridSpan w:val="3"/>
            <w:tcBorders/>
            <w:vAlign w:val="center"/>
          </w:tcPr>
          <w:p>
            <w:pPr>
              <w:pStyle w:val="TableContents"/>
              <w:bidi w:val="0"/>
              <w:spacing w:before="0" w:after="283"/>
              <w:jc w:val="left"/>
              <w:rPr>
                <w:sz w:val="4"/>
                <w:szCs w:val="4"/>
              </w:rPr>
            </w:pPr>
            <w:r>
              <w:rPr>
                <w:sz w:val="4"/>
                <w:szCs w:val="4"/>
              </w:rPr>
            </w:r>
          </w:p>
        </w:tc>
        <w:tc>
          <w:tcPr>
            <w:tcW w:w="515"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830" w:type="dxa"/>
            <w:gridSpan w:val="3"/>
            <w:tcBorders/>
            <w:vAlign w:val="center"/>
          </w:tcPr>
          <w:p>
            <w:pPr>
              <w:pStyle w:val="TableContents"/>
              <w:bidi w:val="0"/>
              <w:spacing w:before="0" w:after="283"/>
              <w:jc w:val="left"/>
              <w:rPr>
                <w:sz w:val="4"/>
                <w:szCs w:val="4"/>
              </w:rPr>
            </w:pPr>
            <w:r>
              <w:rPr>
                <w:sz w:val="4"/>
                <w:szCs w:val="4"/>
              </w:rPr>
            </w:r>
          </w:p>
        </w:tc>
        <w:tc>
          <w:tcPr>
            <w:tcW w:w="616" w:type="dxa"/>
            <w:gridSpan w:val="3"/>
            <w:tcBorders/>
            <w:vAlign w:val="center"/>
          </w:tcPr>
          <w:p>
            <w:pPr>
              <w:pStyle w:val="TableContents"/>
              <w:bidi w:val="0"/>
              <w:spacing w:before="0" w:after="283"/>
              <w:jc w:val="left"/>
              <w:rPr>
                <w:sz w:val="4"/>
                <w:szCs w:val="4"/>
              </w:rPr>
            </w:pPr>
            <w:r>
              <w:rPr>
                <w:sz w:val="4"/>
                <w:szCs w:val="4"/>
              </w:rPr>
            </w:r>
          </w:p>
        </w:tc>
        <w:tc>
          <w:tcPr>
            <w:tcW w:w="995" w:type="dxa"/>
            <w:gridSpan w:val="3"/>
            <w:tcBorders/>
            <w:vAlign w:val="center"/>
          </w:tcPr>
          <w:p>
            <w:pPr>
              <w:pStyle w:val="TableContents"/>
              <w:bidi w:val="0"/>
              <w:spacing w:before="0" w:after="283"/>
              <w:jc w:val="left"/>
              <w:rPr>
                <w:sz w:val="4"/>
                <w:szCs w:val="4"/>
              </w:rPr>
            </w:pPr>
            <w:r>
              <w:rPr>
                <w:sz w:val="4"/>
                <w:szCs w:val="4"/>
              </w:rPr>
            </w:r>
          </w:p>
        </w:tc>
      </w:tr>
      <w:tr>
        <w:trPr/>
        <w:tc>
          <w:tcPr>
            <w:tcW w:w="150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62"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650" w:type="dxa"/>
            <w:gridSpan w:val="3"/>
            <w:tcBorders/>
            <w:vAlign w:val="center"/>
          </w:tcPr>
          <w:p>
            <w:pPr>
              <w:pStyle w:val="TableContents"/>
              <w:bidi w:val="0"/>
              <w:spacing w:before="0" w:after="283"/>
              <w:jc w:val="left"/>
              <w:rPr>
                <w:sz w:val="4"/>
                <w:szCs w:val="4"/>
              </w:rPr>
            </w:pPr>
            <w:r>
              <w:rPr>
                <w:sz w:val="4"/>
                <w:szCs w:val="4"/>
              </w:rPr>
            </w:r>
          </w:p>
        </w:tc>
        <w:tc>
          <w:tcPr>
            <w:tcW w:w="1531" w:type="dxa"/>
            <w:gridSpan w:val="3"/>
            <w:tcBorders/>
            <w:vAlign w:val="center"/>
          </w:tcPr>
          <w:p>
            <w:pPr>
              <w:pStyle w:val="TableContents"/>
              <w:bidi w:val="0"/>
              <w:spacing w:before="0" w:after="283"/>
              <w:jc w:val="left"/>
              <w:rPr>
                <w:sz w:val="4"/>
                <w:szCs w:val="4"/>
              </w:rPr>
            </w:pPr>
            <w:r>
              <w:rPr>
                <w:sz w:val="4"/>
                <w:szCs w:val="4"/>
              </w:rPr>
            </w:r>
          </w:p>
        </w:tc>
        <w:tc>
          <w:tcPr>
            <w:tcW w:w="515"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830" w:type="dxa"/>
            <w:gridSpan w:val="3"/>
            <w:tcBorders/>
            <w:vAlign w:val="center"/>
          </w:tcPr>
          <w:p>
            <w:pPr>
              <w:pStyle w:val="TableContents"/>
              <w:bidi w:val="0"/>
              <w:spacing w:before="0" w:after="283"/>
              <w:jc w:val="left"/>
              <w:rPr>
                <w:sz w:val="4"/>
                <w:szCs w:val="4"/>
              </w:rPr>
            </w:pPr>
            <w:r>
              <w:rPr>
                <w:sz w:val="4"/>
                <w:szCs w:val="4"/>
              </w:rPr>
            </w:r>
          </w:p>
        </w:tc>
        <w:tc>
          <w:tcPr>
            <w:tcW w:w="616" w:type="dxa"/>
            <w:gridSpan w:val="3"/>
            <w:tcBorders/>
            <w:vAlign w:val="center"/>
          </w:tcPr>
          <w:p>
            <w:pPr>
              <w:pStyle w:val="TableContents"/>
              <w:bidi w:val="0"/>
              <w:spacing w:before="0" w:after="283"/>
              <w:jc w:val="left"/>
              <w:rPr>
                <w:sz w:val="4"/>
                <w:szCs w:val="4"/>
              </w:rPr>
            </w:pPr>
            <w:r>
              <w:rPr>
                <w:sz w:val="4"/>
                <w:szCs w:val="4"/>
              </w:rPr>
            </w:r>
          </w:p>
        </w:tc>
        <w:tc>
          <w:tcPr>
            <w:tcW w:w="995" w:type="dxa"/>
            <w:gridSpan w:val="3"/>
            <w:tcBorders/>
            <w:vAlign w:val="center"/>
          </w:tcPr>
          <w:p>
            <w:pPr>
              <w:pStyle w:val="TableContents"/>
              <w:bidi w:val="0"/>
              <w:spacing w:before="0" w:after="283"/>
              <w:jc w:val="left"/>
              <w:rPr>
                <w:sz w:val="4"/>
                <w:szCs w:val="4"/>
              </w:rPr>
            </w:pPr>
            <w:r>
              <w:rPr>
                <w:sz w:val="4"/>
                <w:szCs w:val="4"/>
              </w:rPr>
            </w:r>
          </w:p>
        </w:tc>
      </w:tr>
      <w:tr>
        <w:trPr/>
        <w:tc>
          <w:tcPr>
            <w:tcW w:w="150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62"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650" w:type="dxa"/>
            <w:gridSpan w:val="3"/>
            <w:tcBorders/>
            <w:vAlign w:val="center"/>
          </w:tcPr>
          <w:p>
            <w:pPr>
              <w:pStyle w:val="TableContents"/>
              <w:bidi w:val="0"/>
              <w:spacing w:before="0" w:after="283"/>
              <w:jc w:val="left"/>
              <w:rPr>
                <w:sz w:val="4"/>
                <w:szCs w:val="4"/>
              </w:rPr>
            </w:pPr>
            <w:r>
              <w:rPr>
                <w:sz w:val="4"/>
                <w:szCs w:val="4"/>
              </w:rPr>
            </w:r>
          </w:p>
        </w:tc>
        <w:tc>
          <w:tcPr>
            <w:tcW w:w="1531" w:type="dxa"/>
            <w:gridSpan w:val="3"/>
            <w:tcBorders/>
            <w:vAlign w:val="center"/>
          </w:tcPr>
          <w:p>
            <w:pPr>
              <w:pStyle w:val="TableContents"/>
              <w:bidi w:val="0"/>
              <w:spacing w:before="0" w:after="283"/>
              <w:jc w:val="left"/>
              <w:rPr>
                <w:sz w:val="4"/>
                <w:szCs w:val="4"/>
              </w:rPr>
            </w:pPr>
            <w:r>
              <w:rPr>
                <w:sz w:val="4"/>
                <w:szCs w:val="4"/>
              </w:rPr>
            </w:r>
          </w:p>
        </w:tc>
        <w:tc>
          <w:tcPr>
            <w:tcW w:w="515"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830" w:type="dxa"/>
            <w:gridSpan w:val="3"/>
            <w:tcBorders/>
            <w:vAlign w:val="center"/>
          </w:tcPr>
          <w:p>
            <w:pPr>
              <w:pStyle w:val="TableContents"/>
              <w:bidi w:val="0"/>
              <w:spacing w:before="0" w:after="283"/>
              <w:jc w:val="left"/>
              <w:rPr>
                <w:sz w:val="4"/>
                <w:szCs w:val="4"/>
              </w:rPr>
            </w:pPr>
            <w:r>
              <w:rPr>
                <w:sz w:val="4"/>
                <w:szCs w:val="4"/>
              </w:rPr>
            </w:r>
          </w:p>
        </w:tc>
        <w:tc>
          <w:tcPr>
            <w:tcW w:w="616" w:type="dxa"/>
            <w:gridSpan w:val="3"/>
            <w:tcBorders/>
            <w:vAlign w:val="center"/>
          </w:tcPr>
          <w:p>
            <w:pPr>
              <w:pStyle w:val="TableContents"/>
              <w:bidi w:val="0"/>
              <w:spacing w:before="0" w:after="283"/>
              <w:jc w:val="left"/>
              <w:rPr>
                <w:sz w:val="4"/>
                <w:szCs w:val="4"/>
              </w:rPr>
            </w:pPr>
            <w:r>
              <w:rPr>
                <w:sz w:val="4"/>
                <w:szCs w:val="4"/>
              </w:rPr>
            </w:r>
          </w:p>
        </w:tc>
        <w:tc>
          <w:tcPr>
            <w:tcW w:w="995" w:type="dxa"/>
            <w:gridSpan w:val="3"/>
            <w:tcBorders/>
            <w:vAlign w:val="center"/>
          </w:tcPr>
          <w:p>
            <w:pPr>
              <w:pStyle w:val="TableContents"/>
              <w:bidi w:val="0"/>
              <w:spacing w:before="0" w:after="283"/>
              <w:jc w:val="left"/>
              <w:rPr>
                <w:sz w:val="4"/>
                <w:szCs w:val="4"/>
              </w:rPr>
            </w:pPr>
            <w:r>
              <w:rPr>
                <w:sz w:val="4"/>
                <w:szCs w:val="4"/>
              </w:rPr>
            </w:r>
          </w:p>
        </w:tc>
      </w:tr>
      <w:tr>
        <w:trPr/>
        <w:tc>
          <w:tcPr>
            <w:tcW w:w="150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62"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650" w:type="dxa"/>
            <w:gridSpan w:val="3"/>
            <w:tcBorders/>
            <w:vAlign w:val="center"/>
          </w:tcPr>
          <w:p>
            <w:pPr>
              <w:pStyle w:val="TableContents"/>
              <w:bidi w:val="0"/>
              <w:spacing w:before="0" w:after="283"/>
              <w:jc w:val="left"/>
              <w:rPr>
                <w:sz w:val="4"/>
                <w:szCs w:val="4"/>
              </w:rPr>
            </w:pPr>
            <w:r>
              <w:rPr>
                <w:sz w:val="4"/>
                <w:szCs w:val="4"/>
              </w:rPr>
            </w:r>
          </w:p>
        </w:tc>
        <w:tc>
          <w:tcPr>
            <w:tcW w:w="1531" w:type="dxa"/>
            <w:gridSpan w:val="3"/>
            <w:tcBorders/>
            <w:vAlign w:val="center"/>
          </w:tcPr>
          <w:p>
            <w:pPr>
              <w:pStyle w:val="TableContents"/>
              <w:bidi w:val="0"/>
              <w:spacing w:before="0" w:after="283"/>
              <w:jc w:val="left"/>
              <w:rPr>
                <w:sz w:val="4"/>
                <w:szCs w:val="4"/>
              </w:rPr>
            </w:pPr>
            <w:r>
              <w:rPr>
                <w:sz w:val="4"/>
                <w:szCs w:val="4"/>
              </w:rPr>
            </w:r>
          </w:p>
        </w:tc>
        <w:tc>
          <w:tcPr>
            <w:tcW w:w="515"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830" w:type="dxa"/>
            <w:gridSpan w:val="3"/>
            <w:tcBorders/>
            <w:vAlign w:val="center"/>
          </w:tcPr>
          <w:p>
            <w:pPr>
              <w:pStyle w:val="TableContents"/>
              <w:bidi w:val="0"/>
              <w:spacing w:before="0" w:after="283"/>
              <w:jc w:val="left"/>
              <w:rPr>
                <w:sz w:val="4"/>
                <w:szCs w:val="4"/>
              </w:rPr>
            </w:pPr>
            <w:r>
              <w:rPr>
                <w:sz w:val="4"/>
                <w:szCs w:val="4"/>
              </w:rPr>
            </w:r>
          </w:p>
        </w:tc>
        <w:tc>
          <w:tcPr>
            <w:tcW w:w="616" w:type="dxa"/>
            <w:gridSpan w:val="3"/>
            <w:tcBorders/>
            <w:vAlign w:val="center"/>
          </w:tcPr>
          <w:p>
            <w:pPr>
              <w:pStyle w:val="TableContents"/>
              <w:bidi w:val="0"/>
              <w:spacing w:before="0" w:after="283"/>
              <w:jc w:val="left"/>
              <w:rPr>
                <w:sz w:val="4"/>
                <w:szCs w:val="4"/>
              </w:rPr>
            </w:pPr>
            <w:r>
              <w:rPr>
                <w:sz w:val="4"/>
                <w:szCs w:val="4"/>
              </w:rPr>
            </w:r>
          </w:p>
        </w:tc>
        <w:tc>
          <w:tcPr>
            <w:tcW w:w="995" w:type="dxa"/>
            <w:gridSpan w:val="3"/>
            <w:tcBorders/>
            <w:vAlign w:val="center"/>
          </w:tcPr>
          <w:p>
            <w:pPr>
              <w:pStyle w:val="TableContents"/>
              <w:bidi w:val="0"/>
              <w:spacing w:before="0" w:after="283"/>
              <w:jc w:val="left"/>
              <w:rPr>
                <w:sz w:val="4"/>
                <w:szCs w:val="4"/>
              </w:rPr>
            </w:pPr>
            <w:r>
              <w:rPr>
                <w:sz w:val="4"/>
                <w:szCs w:val="4"/>
              </w:rPr>
            </w:r>
          </w:p>
        </w:tc>
      </w:tr>
      <w:tr>
        <w:trPr/>
        <w:tc>
          <w:tcPr>
            <w:tcW w:w="150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62"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650" w:type="dxa"/>
            <w:gridSpan w:val="3"/>
            <w:tcBorders/>
            <w:vAlign w:val="center"/>
          </w:tcPr>
          <w:p>
            <w:pPr>
              <w:pStyle w:val="TableContents"/>
              <w:bidi w:val="0"/>
              <w:spacing w:before="0" w:after="283"/>
              <w:jc w:val="left"/>
              <w:rPr>
                <w:sz w:val="4"/>
                <w:szCs w:val="4"/>
              </w:rPr>
            </w:pPr>
            <w:r>
              <w:rPr>
                <w:sz w:val="4"/>
                <w:szCs w:val="4"/>
              </w:rPr>
            </w:r>
          </w:p>
        </w:tc>
        <w:tc>
          <w:tcPr>
            <w:tcW w:w="1531" w:type="dxa"/>
            <w:gridSpan w:val="3"/>
            <w:tcBorders/>
            <w:vAlign w:val="center"/>
          </w:tcPr>
          <w:p>
            <w:pPr>
              <w:pStyle w:val="TableContents"/>
              <w:bidi w:val="0"/>
              <w:spacing w:before="0" w:after="283"/>
              <w:jc w:val="left"/>
              <w:rPr>
                <w:sz w:val="4"/>
                <w:szCs w:val="4"/>
              </w:rPr>
            </w:pPr>
            <w:r>
              <w:rPr>
                <w:sz w:val="4"/>
                <w:szCs w:val="4"/>
              </w:rPr>
            </w:r>
          </w:p>
        </w:tc>
        <w:tc>
          <w:tcPr>
            <w:tcW w:w="515"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830" w:type="dxa"/>
            <w:gridSpan w:val="3"/>
            <w:tcBorders/>
            <w:vAlign w:val="center"/>
          </w:tcPr>
          <w:p>
            <w:pPr>
              <w:pStyle w:val="TableContents"/>
              <w:bidi w:val="0"/>
              <w:spacing w:before="0" w:after="283"/>
              <w:jc w:val="left"/>
              <w:rPr>
                <w:sz w:val="4"/>
                <w:szCs w:val="4"/>
              </w:rPr>
            </w:pPr>
            <w:r>
              <w:rPr>
                <w:sz w:val="4"/>
                <w:szCs w:val="4"/>
              </w:rPr>
            </w:r>
          </w:p>
        </w:tc>
        <w:tc>
          <w:tcPr>
            <w:tcW w:w="616" w:type="dxa"/>
            <w:gridSpan w:val="3"/>
            <w:tcBorders/>
            <w:vAlign w:val="center"/>
          </w:tcPr>
          <w:p>
            <w:pPr>
              <w:pStyle w:val="TableContents"/>
              <w:bidi w:val="0"/>
              <w:spacing w:before="0" w:after="283"/>
              <w:jc w:val="left"/>
              <w:rPr>
                <w:sz w:val="4"/>
                <w:szCs w:val="4"/>
              </w:rPr>
            </w:pPr>
            <w:r>
              <w:rPr>
                <w:sz w:val="4"/>
                <w:szCs w:val="4"/>
              </w:rPr>
            </w:r>
          </w:p>
        </w:tc>
        <w:tc>
          <w:tcPr>
            <w:tcW w:w="995"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jc w:val="both"/>
        <w:rPr>
          <w:rFonts w:ascii="Adelle Sans Light;sans-serif" w:hAnsi="Adelle Sans Light;sans-serif"/>
          <w:b w:val="false"/>
          <w:color w:val="000000"/>
          <w:sz w:val="18"/>
        </w:rPr>
      </w:pPr>
      <w:r>
        <w:rPr>
          <w:rFonts w:ascii="Adelle Sans Light;sans-serif" w:hAnsi="Adelle Sans Light;sans-serif"/>
          <w:b w:val="false"/>
          <w:color w:val="000000"/>
          <w:sz w:val="18"/>
        </w:rPr>
        <w:t xml:space="preserve">The accompanying notes are an integral part of these condensed consolidated financial statements.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7955"/>
                <wp:effectExtent l="0" t="0" r="0" b="0"/>
                <wp:wrapNone/>
                <wp:docPr id="9" name="Frame8"/>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200"/>
                              <w:jc w:val="center"/>
                              <w:rPr>
                                <w:rFonts w:ascii="Adelle Sans Light;sans-serif" w:hAnsi="Adelle Sans Light;sans-serif"/>
                                <w:b w:val="false"/>
                                <w:color w:val="000000"/>
                                <w:sz w:val="20"/>
                              </w:rPr>
                            </w:pPr>
                            <w:r>
                              <w:rPr>
                                <w:rFonts w:ascii="Adelle Sans Light;sans-serif" w:hAnsi="Adelle Sans Light;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Adelle Sans Light;sans-serif" w:hAnsi="Adelle Sans Light;sans-serif"/>
                          <w:b w:val="false"/>
                          <w:color w:val="000000"/>
                          <w:sz w:val="20"/>
                        </w:rPr>
                      </w:pPr>
                      <w:r>
                        <w:rPr>
                          <w:rFonts w:ascii="Adelle Sans Light;sans-serif" w:hAnsi="Adelle Sans Light;sans-serif"/>
                          <w:b w:val="false"/>
                          <w:color w:val="000000"/>
                          <w:sz w:val="20"/>
                        </w:rPr>
                        <w:t>8</w:t>
                      </w:r>
                    </w:p>
                  </w:txbxContent>
                </v:textbox>
                <w10:wrap type="none"/>
              </v:rect>
            </w:pict>
          </mc:Fallback>
        </mc:AlternateContent>
      </w:r>
    </w:p>
    <w:p>
      <w:pPr>
        <w:pStyle w:val="TextBody"/>
        <w:bidi w:val="0"/>
        <w:spacing w:before="0" w:after="200"/>
        <w:jc w:val="both"/>
        <w:rPr/>
      </w:pPr>
      <w:r>
        <w:rPr/>
      </w:r>
    </w:p>
    <w:p>
      <w:pPr>
        <w:pStyle w:val="TextBody"/>
        <w:bidi w:val="0"/>
        <w:spacing w:lineRule="auto" w:line="288" w:before="0" w:after="0"/>
        <w:jc w:val="left"/>
        <w:rPr>
          <w:rFonts w:ascii="Adelle Sans;sans-serif" w:hAnsi="Adelle Sans;sans-serif"/>
          <w:b/>
          <w:color w:val="000000"/>
          <w:sz w:val="20"/>
        </w:rPr>
      </w:pPr>
      <w:bookmarkStart w:id="9" w:name="ic0c05b38b1164acd81da55afc33d38db"/>
      <w:bookmarkEnd w:id="9"/>
      <w:r>
        <w:rPr>
          <w:rFonts w:ascii="Adelle Sans;sans-serif" w:hAnsi="Adelle Sans;sans-serif"/>
          <w:b/>
          <w:color w:val="000000"/>
          <w:sz w:val="20"/>
        </w:rPr>
        <w:t xml:space="preserve">Shopify Inc. </w:t>
      </w:r>
    </w:p>
    <w:p>
      <w:pPr>
        <w:pStyle w:val="TextBody"/>
        <w:bidi w:val="0"/>
        <w:spacing w:lineRule="auto" w:line="288" w:before="0" w:after="0"/>
        <w:jc w:val="left"/>
        <w:rPr>
          <w:rFonts w:ascii="Adelle Sans;sans-serif" w:hAnsi="Adelle Sans;sans-serif"/>
          <w:b/>
          <w:color w:val="000000"/>
          <w:sz w:val="20"/>
        </w:rPr>
      </w:pPr>
      <w:bookmarkStart w:id="10" w:name="i809f16f26bc54c8ab3ee1fa12dbc1cdb"/>
      <w:bookmarkEnd w:id="10"/>
      <w:r>
        <w:rPr>
          <w:rFonts w:ascii="Adelle Sans;sans-serif" w:hAnsi="Adelle Sans;sans-serif"/>
          <w:b/>
          <w:color w:val="000000"/>
          <w:sz w:val="20"/>
        </w:rPr>
        <w:t>Condensed Consolidated Statements of Cash Flows</w:t>
      </w:r>
    </w:p>
    <w:p>
      <w:pPr>
        <w:pStyle w:val="TextBody"/>
        <w:bidi w:val="0"/>
        <w:spacing w:lineRule="auto" w:line="288" w:before="0" w:after="0"/>
        <w:jc w:val="left"/>
        <w:rPr>
          <w:rFonts w:ascii="Adelle Sans;sans-serif" w:hAnsi="Adelle Sans;sans-serif"/>
          <w:b/>
          <w:color w:val="000000"/>
          <w:sz w:val="20"/>
        </w:rPr>
      </w:pPr>
      <w:bookmarkStart w:id="11" w:name="i54701246432d49febcd9bd13322c0961"/>
      <w:bookmarkEnd w:id="11"/>
      <w:r>
        <w:rPr>
          <w:rFonts w:ascii="Adelle Sans;sans-serif" w:hAnsi="Adelle Sans;sans-serif"/>
          <w:b/>
          <w:color w:val="000000"/>
          <w:sz w:val="20"/>
        </w:rPr>
        <w:t>(unaudited)</w:t>
      </w:r>
    </w:p>
    <w:p>
      <w:pPr>
        <w:pStyle w:val="TextBody"/>
        <w:bidi w:val="0"/>
        <w:spacing w:lineRule="auto" w:line="288" w:before="0" w:after="0"/>
        <w:jc w:val="left"/>
        <w:rPr>
          <w:rFonts w:ascii="Adelle Sans Light;sans-serif" w:hAnsi="Adelle Sans Light;sans-serif"/>
          <w:b w:val="false"/>
          <w:color w:val="000000"/>
          <w:sz w:val="18"/>
        </w:rPr>
      </w:pPr>
      <w:r>
        <w:rPr>
          <w:rFonts w:ascii="Adelle Sans Light;sans-serif" w:hAnsi="Adelle Sans Light;sans-serif"/>
          <w:b w:val="false"/>
          <w:color w:val="000000"/>
          <w:sz w:val="18"/>
        </w:rPr>
        <w:t>(Expressed in US $ millions)</w:t>
      </w:r>
    </w:p>
    <w:tbl>
      <w:tblPr>
        <w:tblW w:w="10205" w:type="dxa"/>
        <w:jc w:val="left"/>
        <w:tblInd w:w="0" w:type="dxa"/>
        <w:tblLayout w:type="fixed"/>
        <w:tblCellMar>
          <w:top w:w="28" w:type="dxa"/>
          <w:left w:w="28" w:type="dxa"/>
          <w:bottom w:w="28" w:type="dxa"/>
          <w:right w:w="28" w:type="dxa"/>
        </w:tblCellMar>
      </w:tblPr>
      <w:tblGrid>
        <w:gridCol w:w="1808"/>
        <w:gridCol w:w="1400"/>
        <w:gridCol w:w="1408"/>
        <w:gridCol w:w="346"/>
        <w:gridCol w:w="307"/>
        <w:gridCol w:w="230"/>
        <w:gridCol w:w="230"/>
        <w:gridCol w:w="230"/>
        <w:gridCol w:w="230"/>
        <w:gridCol w:w="346"/>
        <w:gridCol w:w="307"/>
        <w:gridCol w:w="230"/>
        <w:gridCol w:w="109"/>
        <w:gridCol w:w="109"/>
        <w:gridCol w:w="109"/>
        <w:gridCol w:w="316"/>
        <w:gridCol w:w="306"/>
        <w:gridCol w:w="215"/>
        <w:gridCol w:w="215"/>
        <w:gridCol w:w="215"/>
        <w:gridCol w:w="215"/>
        <w:gridCol w:w="316"/>
        <w:gridCol w:w="306"/>
        <w:gridCol w:w="215"/>
        <w:gridCol w:w="109"/>
        <w:gridCol w:w="109"/>
        <w:gridCol w:w="109"/>
        <w:gridCol w:w="160"/>
      </w:tblGrid>
      <w:tr>
        <w:trPr/>
        <w:tc>
          <w:tcPr>
            <w:tcW w:w="1808" w:type="dxa"/>
            <w:tcBorders/>
            <w:vAlign w:val="center"/>
          </w:tcPr>
          <w:p>
            <w:pPr>
              <w:pStyle w:val="TableContents"/>
              <w:bidi w:val="0"/>
              <w:spacing w:before="0" w:after="283"/>
              <w:jc w:val="left"/>
              <w:rPr>
                <w:sz w:val="4"/>
                <w:szCs w:val="4"/>
              </w:rPr>
            </w:pPr>
            <w:r>
              <w:rPr>
                <w:sz w:val="4"/>
                <w:szCs w:val="4"/>
              </w:rPr>
            </w:r>
          </w:p>
        </w:tc>
        <w:tc>
          <w:tcPr>
            <w:tcW w:w="1400" w:type="dxa"/>
            <w:tcBorders/>
            <w:vAlign w:val="center"/>
          </w:tcPr>
          <w:p>
            <w:pPr>
              <w:pStyle w:val="TableContents"/>
              <w:bidi w:val="0"/>
              <w:spacing w:before="0" w:after="283"/>
              <w:jc w:val="left"/>
              <w:rPr>
                <w:sz w:val="4"/>
                <w:szCs w:val="4"/>
              </w:rPr>
            </w:pPr>
            <w:r>
              <w:rPr>
                <w:sz w:val="4"/>
                <w:szCs w:val="4"/>
              </w:rPr>
            </w:r>
          </w:p>
        </w:tc>
        <w:tc>
          <w:tcPr>
            <w:tcW w:w="1408"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6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6"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delle Sans;sans-serif" w:hAnsi="Adelle Sans;sans-serif"/>
                <w:b/>
                <w:color w:val="000000"/>
                <w:sz w:val="18"/>
              </w:rPr>
            </w:pPr>
            <w:r>
              <w:rPr>
                <w:rFonts w:ascii="Adelle Sans;sans-serif" w:hAnsi="Adelle Sans;sans-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9"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delle Sans;sans-serif" w:hAnsi="Adelle Sans;sans-serif"/>
                <w:b/>
                <w:color w:val="000000"/>
                <w:sz w:val="18"/>
              </w:rPr>
            </w:pPr>
            <w:r>
              <w:rPr>
                <w:rFonts w:ascii="Adelle Sans;sans-serif" w:hAnsi="Adelle Sans;sans-serif"/>
                <w:b/>
                <w:color w:val="000000"/>
                <w:sz w:val="18"/>
              </w:rPr>
              <w:t>Six months ended June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gridSpan w:val="2"/>
            <w:tcBorders/>
          </w:tcPr>
          <w:p>
            <w:pPr>
              <w:pStyle w:val="TableContents"/>
              <w:bidi w:val="0"/>
              <w:spacing w:before="0" w:after="283"/>
              <w:jc w:val="left"/>
              <w:rPr>
                <w:sz w:val="4"/>
                <w:szCs w:val="4"/>
              </w:rPr>
            </w:pPr>
            <w:r>
              <w:rPr>
                <w:sz w:val="4"/>
                <w:szCs w:val="4"/>
              </w:rPr>
            </w:r>
          </w:p>
        </w:tc>
      </w:tr>
      <w:tr>
        <w:trPr/>
        <w:tc>
          <w:tcPr>
            <w:tcW w:w="46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delle Sans;sans-serif" w:hAnsi="Adelle Sans;sans-serif"/>
                <w:b/>
                <w:color w:val="000000"/>
                <w:sz w:val="18"/>
              </w:rPr>
            </w:pPr>
            <w:r>
              <w:rPr>
                <w:rFonts w:ascii="Adelle Sans;sans-serif" w:hAnsi="Adelle Sans;sans-serif"/>
                <w:b/>
                <w:color w:val="000000"/>
                <w:sz w:val="18"/>
              </w:rPr>
              <w:t>2026</w:t>
            </w:r>
          </w:p>
        </w:tc>
        <w:tc>
          <w:tcPr>
            <w:tcW w:w="6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delle Sans;sans-serif" w:hAnsi="Adelle Sans;sans-serif"/>
                <w:b/>
                <w:color w:val="000000"/>
                <w:sz w:val="18"/>
              </w:rPr>
            </w:pPr>
            <w:r>
              <w:rPr>
                <w:rFonts w:ascii="Adelle Sans;sans-serif" w:hAnsi="Adelle Sans;sans-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delle Sans;sans-serif" w:hAnsi="Adelle Sans;sans-serif"/>
                <w:b/>
                <w:color w:val="000000"/>
                <w:sz w:val="18"/>
              </w:rPr>
            </w:pPr>
            <w:r>
              <w:rPr>
                <w:rFonts w:ascii="Adelle Sans;sans-serif" w:hAnsi="Adelle Sans;sans-serif"/>
                <w:b/>
                <w:color w:val="000000"/>
                <w:sz w:val="18"/>
              </w:rPr>
              <w:t>2026</w:t>
            </w:r>
          </w:p>
        </w:tc>
        <w:tc>
          <w:tcPr>
            <w:tcW w:w="6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delle Sans;sans-serif" w:hAnsi="Adelle Sans;sans-serif"/>
                <w:b/>
                <w:color w:val="000000"/>
                <w:sz w:val="18"/>
              </w:rPr>
            </w:pPr>
            <w:r>
              <w:rPr>
                <w:rFonts w:ascii="Adelle Sans;sans-serif" w:hAnsi="Adelle Sans;sans-serif"/>
                <w:b/>
                <w:color w:val="000000"/>
                <w:sz w:val="18"/>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61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delle Sans;sans-serif" w:hAnsi="Adelle Sans;sans-serif"/>
                <w:b/>
                <w:color w:val="000000"/>
                <w:sz w:val="18"/>
              </w:rPr>
            </w:pPr>
            <w:r>
              <w:rPr>
                <w:rFonts w:ascii="Adelle Sans;sans-serif" w:hAnsi="Adelle Sans;sans-serif"/>
                <w:b/>
                <w:color w:val="000000"/>
                <w:sz w:val="18"/>
              </w:rPr>
              <w:t>Cash flows from operating activities</w:t>
            </w:r>
          </w:p>
        </w:tc>
        <w:tc>
          <w:tcPr>
            <w:tcW w:w="88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616" w:type="dxa"/>
            <w:gridSpan w:val="3"/>
            <w:tcBorders/>
            <w:shd w:fill="F7F7F7" w:val="clear"/>
            <w:tcMar>
              <w:top w:w="0" w:type="dxa"/>
              <w:left w:w="0" w:type="dxa"/>
              <w:bottom w:w="0" w:type="dxa"/>
              <w:right w:w="0" w:type="dxa"/>
            </w:tcMar>
            <w:vAlign w:val="center"/>
          </w:tcPr>
          <w:p>
            <w:pPr>
              <w:pStyle w:val="TableContents"/>
              <w:bidi w:val="0"/>
              <w:spacing w:lineRule="auto" w:line="240" w:before="0" w:after="283"/>
              <w:jc w:val="left"/>
              <w:rPr>
                <w:rFonts w:ascii="Adelle Sans;sans-serif" w:hAnsi="Adelle Sans;sans-serif"/>
                <w:b w:val="false"/>
                <w:color w:val="000000"/>
                <w:sz w:val="18"/>
              </w:rPr>
            </w:pPr>
            <w:r>
              <w:rPr>
                <w:rFonts w:ascii="Adelle Sans;sans-serif" w:hAnsi="Adelle Sans;sans-serif"/>
                <w:b w:val="false"/>
                <w:color w:val="000000"/>
                <w:sz w:val="18"/>
              </w:rPr>
              <w:t>Net income for the period</w:t>
            </w:r>
          </w:p>
        </w:tc>
        <w:tc>
          <w:tcPr>
            <w:tcW w:w="883" w:type="dxa"/>
            <w:gridSpan w:val="3"/>
            <w:tcBorders/>
            <w:shd w:fill="F7F7F7"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1,502</w:t>
            </w:r>
          </w:p>
        </w:tc>
        <w:tc>
          <w:tcPr>
            <w:tcW w:w="690"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3"/>
            <w:tcBorders/>
            <w:shd w:fill="F7F7F7"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906</w:t>
            </w:r>
          </w:p>
        </w:tc>
        <w:tc>
          <w:tcPr>
            <w:tcW w:w="327"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3"/>
            <w:tcBorders/>
            <w:shd w:fill="F7F7F7"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921</w:t>
            </w:r>
          </w:p>
        </w:tc>
        <w:tc>
          <w:tcPr>
            <w:tcW w:w="645"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3"/>
            <w:tcBorders/>
            <w:shd w:fill="F7F7F7"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224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6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delle Sans;sans-serif" w:hAnsi="Adelle Sans;sans-serif"/>
                <w:b w:val="false"/>
                <w:color w:val="000000"/>
                <w:sz w:val="18"/>
              </w:rPr>
            </w:pPr>
            <w:r>
              <w:rPr>
                <w:rFonts w:ascii="Adelle Sans;sans-serif" w:hAnsi="Adelle Sans;sans-serif"/>
                <w:b w:val="false"/>
                <w:color w:val="000000"/>
                <w:sz w:val="18"/>
              </w:rPr>
              <w:t>Adjustments to reconcile net income to net cash provided by operating activities:</w:t>
            </w:r>
          </w:p>
        </w:tc>
        <w:tc>
          <w:tcPr>
            <w:tcW w:w="8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616" w:type="dxa"/>
            <w:gridSpan w:val="3"/>
            <w:tcBorders/>
            <w:shd w:fill="F7F7F7" w:val="clear"/>
            <w:tcMar>
              <w:top w:w="0" w:type="dxa"/>
              <w:left w:w="0" w:type="dxa"/>
              <w:bottom w:w="0" w:type="dxa"/>
              <w:right w:w="0" w:type="dxa"/>
            </w:tcMar>
            <w:vAlign w:val="center"/>
          </w:tcPr>
          <w:p>
            <w:pPr>
              <w:pStyle w:val="TableContents"/>
              <w:bidi w:val="0"/>
              <w:spacing w:lineRule="auto" w:line="240" w:before="0" w:after="283"/>
              <w:jc w:val="left"/>
              <w:rPr>
                <w:rFonts w:ascii="Adelle Sans;sans-serif" w:hAnsi="Adelle Sans;sans-serif"/>
                <w:b w:val="false"/>
                <w:color w:val="000000"/>
                <w:sz w:val="18"/>
              </w:rPr>
            </w:pPr>
            <w:r>
              <w:rPr>
                <w:rFonts w:ascii="Adelle Sans;sans-serif" w:hAnsi="Adelle Sans;sans-serif"/>
                <w:b w:val="false"/>
                <w:color w:val="000000"/>
                <w:sz w:val="18"/>
              </w:rPr>
              <w:t>Amortization and depreciation</w:t>
            </w:r>
          </w:p>
        </w:tc>
        <w:tc>
          <w:tcPr>
            <w:tcW w:w="883" w:type="dxa"/>
            <w:gridSpan w:val="3"/>
            <w:tcBorders/>
            <w:shd w:fill="F7F7F7"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7</w:t>
            </w:r>
          </w:p>
        </w:tc>
        <w:tc>
          <w:tcPr>
            <w:tcW w:w="690"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3"/>
            <w:tcBorders/>
            <w:shd w:fill="F7F7F7"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8</w:t>
            </w:r>
          </w:p>
        </w:tc>
        <w:tc>
          <w:tcPr>
            <w:tcW w:w="327"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3"/>
            <w:tcBorders/>
            <w:shd w:fill="F7F7F7"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14</w:t>
            </w:r>
          </w:p>
        </w:tc>
        <w:tc>
          <w:tcPr>
            <w:tcW w:w="645"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3"/>
            <w:tcBorders/>
            <w:shd w:fill="F7F7F7"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16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616" w:type="dxa"/>
            <w:gridSpan w:val="3"/>
            <w:tcBorders/>
            <w:vAlign w:val="center"/>
          </w:tcPr>
          <w:p>
            <w:pPr>
              <w:pStyle w:val="TableContents"/>
              <w:bidi w:val="0"/>
              <w:spacing w:before="0" w:after="283"/>
              <w:jc w:val="left"/>
              <w:rPr>
                <w:sz w:val="4"/>
                <w:szCs w:val="4"/>
              </w:rPr>
            </w:pPr>
            <w:r>
              <w:rPr>
                <w:sz w:val="4"/>
                <w:szCs w:val="4"/>
              </w:rPr>
            </w:r>
          </w:p>
        </w:tc>
        <w:tc>
          <w:tcPr>
            <w:tcW w:w="883" w:type="dxa"/>
            <w:gridSpan w:val="3"/>
            <w:tcBorders/>
            <w:vAlign w:val="center"/>
          </w:tcPr>
          <w:p>
            <w:pPr>
              <w:pStyle w:val="TableContents"/>
              <w:bidi w:val="0"/>
              <w:spacing w:before="0" w:after="283"/>
              <w:jc w:val="left"/>
              <w:rPr>
                <w:sz w:val="4"/>
                <w:szCs w:val="4"/>
              </w:rPr>
            </w:pPr>
            <w:r>
              <w:rPr>
                <w:sz w:val="4"/>
                <w:szCs w:val="4"/>
              </w:rPr>
            </w:r>
          </w:p>
        </w:tc>
        <w:tc>
          <w:tcPr>
            <w:tcW w:w="690" w:type="dxa"/>
            <w:gridSpan w:val="3"/>
            <w:tcBorders/>
            <w:vAlign w:val="center"/>
          </w:tcPr>
          <w:p>
            <w:pPr>
              <w:pStyle w:val="TableContents"/>
              <w:bidi w:val="0"/>
              <w:spacing w:before="0" w:after="283"/>
              <w:jc w:val="left"/>
              <w:rPr>
                <w:sz w:val="4"/>
                <w:szCs w:val="4"/>
              </w:rPr>
            </w:pPr>
            <w:r>
              <w:rPr>
                <w:sz w:val="4"/>
                <w:szCs w:val="4"/>
              </w:rPr>
            </w:r>
          </w:p>
        </w:tc>
        <w:tc>
          <w:tcPr>
            <w:tcW w:w="8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7" w:type="dxa"/>
            <w:gridSpan w:val="3"/>
            <w:tcBorders/>
            <w:vAlign w:val="center"/>
          </w:tcPr>
          <w:p>
            <w:pPr>
              <w:pStyle w:val="TableContents"/>
              <w:bidi w:val="0"/>
              <w:spacing w:before="0" w:after="283"/>
              <w:jc w:val="left"/>
              <w:rPr>
                <w:sz w:val="4"/>
                <w:szCs w:val="4"/>
              </w:rPr>
            </w:pPr>
            <w:r>
              <w:rPr>
                <w:sz w:val="4"/>
                <w:szCs w:val="4"/>
              </w:rPr>
            </w:r>
          </w:p>
        </w:tc>
        <w:tc>
          <w:tcPr>
            <w:tcW w:w="645" w:type="dxa"/>
            <w:gridSpan w:val="3"/>
            <w:tcBorders/>
            <w:vAlign w:val="center"/>
          </w:tcPr>
          <w:p>
            <w:pPr>
              <w:pStyle w:val="TableContents"/>
              <w:bidi w:val="0"/>
              <w:spacing w:before="0" w:after="283"/>
              <w:jc w:val="left"/>
              <w:rPr>
                <w:sz w:val="4"/>
                <w:szCs w:val="4"/>
              </w:rPr>
            </w:pPr>
            <w:r>
              <w:rPr>
                <w:sz w:val="4"/>
                <w:szCs w:val="4"/>
              </w:rPr>
            </w:r>
          </w:p>
        </w:tc>
        <w:tc>
          <w:tcPr>
            <w:tcW w:w="83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6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delle Sans;sans-serif" w:hAnsi="Adelle Sans;sans-serif"/>
                <w:b w:val="false"/>
                <w:color w:val="000000"/>
                <w:sz w:val="18"/>
              </w:rPr>
            </w:pPr>
            <w:r>
              <w:rPr>
                <w:rFonts w:ascii="Adelle Sans;sans-serif" w:hAnsi="Adelle Sans;sans-serif"/>
                <w:b w:val="false"/>
                <w:color w:val="000000"/>
                <w:sz w:val="18"/>
              </w:rPr>
              <w:t>Stock-based compensation</w:t>
            </w:r>
          </w:p>
        </w:tc>
        <w:tc>
          <w:tcPr>
            <w:tcW w:w="8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128</w:t>
            </w:r>
          </w:p>
        </w:tc>
        <w:tc>
          <w:tcPr>
            <w:tcW w:w="6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113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260</w:t>
            </w:r>
          </w:p>
        </w:tc>
        <w:tc>
          <w:tcPr>
            <w:tcW w:w="6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227</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616" w:type="dxa"/>
            <w:gridSpan w:val="3"/>
            <w:tcBorders/>
            <w:vAlign w:val="center"/>
          </w:tcPr>
          <w:p>
            <w:pPr>
              <w:pStyle w:val="TableContents"/>
              <w:bidi w:val="0"/>
              <w:spacing w:before="0" w:after="283"/>
              <w:jc w:val="left"/>
              <w:rPr>
                <w:sz w:val="4"/>
                <w:szCs w:val="4"/>
              </w:rPr>
            </w:pPr>
            <w:r>
              <w:rPr>
                <w:sz w:val="4"/>
                <w:szCs w:val="4"/>
              </w:rPr>
            </w:r>
          </w:p>
        </w:tc>
        <w:tc>
          <w:tcPr>
            <w:tcW w:w="883" w:type="dxa"/>
            <w:gridSpan w:val="3"/>
            <w:tcBorders/>
            <w:vAlign w:val="center"/>
          </w:tcPr>
          <w:p>
            <w:pPr>
              <w:pStyle w:val="TableContents"/>
              <w:bidi w:val="0"/>
              <w:spacing w:before="0" w:after="283"/>
              <w:jc w:val="left"/>
              <w:rPr>
                <w:sz w:val="4"/>
                <w:szCs w:val="4"/>
              </w:rPr>
            </w:pPr>
            <w:r>
              <w:rPr>
                <w:sz w:val="4"/>
                <w:szCs w:val="4"/>
              </w:rPr>
            </w:r>
          </w:p>
        </w:tc>
        <w:tc>
          <w:tcPr>
            <w:tcW w:w="690" w:type="dxa"/>
            <w:gridSpan w:val="3"/>
            <w:tcBorders/>
            <w:vAlign w:val="center"/>
          </w:tcPr>
          <w:p>
            <w:pPr>
              <w:pStyle w:val="TableContents"/>
              <w:bidi w:val="0"/>
              <w:spacing w:before="0" w:after="283"/>
              <w:jc w:val="left"/>
              <w:rPr>
                <w:sz w:val="4"/>
                <w:szCs w:val="4"/>
              </w:rPr>
            </w:pPr>
            <w:r>
              <w:rPr>
                <w:sz w:val="4"/>
                <w:szCs w:val="4"/>
              </w:rPr>
            </w:r>
          </w:p>
        </w:tc>
        <w:tc>
          <w:tcPr>
            <w:tcW w:w="8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7" w:type="dxa"/>
            <w:gridSpan w:val="3"/>
            <w:tcBorders/>
            <w:vAlign w:val="center"/>
          </w:tcPr>
          <w:p>
            <w:pPr>
              <w:pStyle w:val="TableContents"/>
              <w:bidi w:val="0"/>
              <w:spacing w:before="0" w:after="283"/>
              <w:jc w:val="left"/>
              <w:rPr>
                <w:sz w:val="4"/>
                <w:szCs w:val="4"/>
              </w:rPr>
            </w:pPr>
            <w:r>
              <w:rPr>
                <w:sz w:val="4"/>
                <w:szCs w:val="4"/>
              </w:rPr>
            </w:r>
          </w:p>
        </w:tc>
        <w:tc>
          <w:tcPr>
            <w:tcW w:w="645" w:type="dxa"/>
            <w:gridSpan w:val="3"/>
            <w:tcBorders/>
            <w:vAlign w:val="center"/>
          </w:tcPr>
          <w:p>
            <w:pPr>
              <w:pStyle w:val="TableContents"/>
              <w:bidi w:val="0"/>
              <w:spacing w:before="0" w:after="283"/>
              <w:jc w:val="left"/>
              <w:rPr>
                <w:sz w:val="4"/>
                <w:szCs w:val="4"/>
              </w:rPr>
            </w:pPr>
            <w:r>
              <w:rPr>
                <w:sz w:val="4"/>
                <w:szCs w:val="4"/>
              </w:rPr>
            </w:r>
          </w:p>
        </w:tc>
        <w:tc>
          <w:tcPr>
            <w:tcW w:w="83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616" w:type="dxa"/>
            <w:gridSpan w:val="3"/>
            <w:tcBorders/>
            <w:shd w:fill="F7F7F7" w:val="clear"/>
            <w:tcMar>
              <w:top w:w="0" w:type="dxa"/>
              <w:left w:w="0" w:type="dxa"/>
              <w:bottom w:w="0" w:type="dxa"/>
              <w:right w:w="0" w:type="dxa"/>
            </w:tcMar>
            <w:vAlign w:val="center"/>
          </w:tcPr>
          <w:p>
            <w:pPr>
              <w:pStyle w:val="TableContents"/>
              <w:bidi w:val="0"/>
              <w:spacing w:lineRule="auto" w:line="240" w:before="0" w:after="283"/>
              <w:jc w:val="left"/>
              <w:rPr>
                <w:rFonts w:ascii="Adelle Sans;sans-serif" w:hAnsi="Adelle Sans;sans-serif"/>
                <w:b w:val="false"/>
                <w:color w:val="000000"/>
                <w:sz w:val="18"/>
              </w:rPr>
            </w:pPr>
            <w:r>
              <w:rPr>
                <w:rFonts w:ascii="Adelle Sans;sans-serif" w:hAnsi="Adelle Sans;sans-serif"/>
                <w:b w:val="false"/>
                <w:color w:val="000000"/>
                <w:sz w:val="18"/>
              </w:rPr>
              <w:t>Impairment of right-of-use assets and leasehold improvements</w:t>
            </w:r>
          </w:p>
        </w:tc>
        <w:tc>
          <w:tcPr>
            <w:tcW w:w="883" w:type="dxa"/>
            <w:gridSpan w:val="3"/>
            <w:tcBorders/>
            <w:shd w:fill="F7F7F7"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690"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3"/>
            <w:tcBorders/>
            <w:shd w:fill="F7F7F7"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10</w:t>
            </w:r>
          </w:p>
        </w:tc>
        <w:tc>
          <w:tcPr>
            <w:tcW w:w="327"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3"/>
            <w:tcBorders/>
            <w:shd w:fill="F7F7F7"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645"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3"/>
            <w:tcBorders/>
            <w:shd w:fill="F7F7F7"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10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6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delle Sans;sans-serif" w:hAnsi="Adelle Sans;sans-serif"/>
                <w:b w:val="false"/>
                <w:color w:val="000000"/>
                <w:sz w:val="18"/>
              </w:rPr>
            </w:pPr>
            <w:r>
              <w:rPr>
                <w:rFonts w:ascii="Adelle Sans;sans-serif" w:hAnsi="Adelle Sans;sans-serif"/>
                <w:b w:val="false"/>
                <w:color w:val="000000"/>
                <w:sz w:val="18"/>
              </w:rPr>
              <w:t>Provision for transaction and loan losses</w:t>
            </w:r>
          </w:p>
        </w:tc>
        <w:tc>
          <w:tcPr>
            <w:tcW w:w="8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94</w:t>
            </w:r>
          </w:p>
        </w:tc>
        <w:tc>
          <w:tcPr>
            <w:tcW w:w="6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44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142</w:t>
            </w:r>
          </w:p>
        </w:tc>
        <w:tc>
          <w:tcPr>
            <w:tcW w:w="6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87</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616" w:type="dxa"/>
            <w:gridSpan w:val="3"/>
            <w:tcBorders/>
            <w:shd w:fill="F7F7F7" w:val="clear"/>
            <w:tcMar>
              <w:top w:w="0" w:type="dxa"/>
              <w:left w:w="0" w:type="dxa"/>
              <w:bottom w:w="0" w:type="dxa"/>
              <w:right w:w="0" w:type="dxa"/>
            </w:tcMar>
            <w:vAlign w:val="center"/>
          </w:tcPr>
          <w:p>
            <w:pPr>
              <w:pStyle w:val="TableContents"/>
              <w:bidi w:val="0"/>
              <w:spacing w:lineRule="auto" w:line="240" w:before="0" w:after="283"/>
              <w:jc w:val="left"/>
              <w:rPr>
                <w:rFonts w:ascii="Adelle Sans;sans-serif" w:hAnsi="Adelle Sans;sans-serif"/>
                <w:b w:val="false"/>
                <w:color w:val="000000"/>
                <w:sz w:val="18"/>
              </w:rPr>
            </w:pPr>
            <w:r>
              <w:rPr>
                <w:rFonts w:ascii="Adelle Sans;sans-serif" w:hAnsi="Adelle Sans;sans-serif"/>
                <w:b w:val="false"/>
                <w:color w:val="000000"/>
                <w:sz w:val="18"/>
              </w:rPr>
              <w:t>Deferred income tax expense (recovery)</w:t>
            </w:r>
          </w:p>
        </w:tc>
        <w:tc>
          <w:tcPr>
            <w:tcW w:w="883" w:type="dxa"/>
            <w:gridSpan w:val="3"/>
            <w:tcBorders/>
            <w:shd w:fill="F7F7F7"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165</w:t>
            </w:r>
          </w:p>
        </w:tc>
        <w:tc>
          <w:tcPr>
            <w:tcW w:w="690"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3"/>
            <w:tcBorders/>
            <w:shd w:fill="F7F7F7"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98</w:t>
            </w:r>
          </w:p>
        </w:tc>
        <w:tc>
          <w:tcPr>
            <w:tcW w:w="327"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3"/>
            <w:tcBorders/>
            <w:shd w:fill="F7F7F7"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26</w:t>
            </w:r>
          </w:p>
        </w:tc>
        <w:tc>
          <w:tcPr>
            <w:tcW w:w="645"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3"/>
            <w:tcBorders/>
            <w:shd w:fill="F7F7F7"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6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delle Sans;sans-serif" w:hAnsi="Adelle Sans;sans-serif"/>
                <w:b w:val="false"/>
                <w:color w:val="000000"/>
                <w:sz w:val="18"/>
              </w:rPr>
            </w:pPr>
            <w:r>
              <w:rPr>
                <w:rFonts w:ascii="Adelle Sans;sans-serif" w:hAnsi="Adelle Sans;sans-serif"/>
                <w:b w:val="false"/>
                <w:color w:val="000000"/>
                <w:sz w:val="18"/>
              </w:rPr>
              <w:t>Revenue related to non-cash consideration</w:t>
            </w:r>
          </w:p>
        </w:tc>
        <w:tc>
          <w:tcPr>
            <w:tcW w:w="8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(13)</w:t>
            </w:r>
          </w:p>
        </w:tc>
        <w:tc>
          <w:tcPr>
            <w:tcW w:w="6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(12)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(25)</w:t>
            </w:r>
          </w:p>
        </w:tc>
        <w:tc>
          <w:tcPr>
            <w:tcW w:w="6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616" w:type="dxa"/>
            <w:gridSpan w:val="3"/>
            <w:tcBorders/>
            <w:vAlign w:val="center"/>
          </w:tcPr>
          <w:p>
            <w:pPr>
              <w:pStyle w:val="TableContents"/>
              <w:bidi w:val="0"/>
              <w:spacing w:before="0" w:after="283"/>
              <w:jc w:val="left"/>
              <w:rPr>
                <w:sz w:val="4"/>
                <w:szCs w:val="4"/>
              </w:rPr>
            </w:pPr>
            <w:r>
              <w:rPr>
                <w:sz w:val="4"/>
                <w:szCs w:val="4"/>
              </w:rPr>
            </w:r>
          </w:p>
        </w:tc>
        <w:tc>
          <w:tcPr>
            <w:tcW w:w="883" w:type="dxa"/>
            <w:gridSpan w:val="3"/>
            <w:tcBorders/>
            <w:vAlign w:val="center"/>
          </w:tcPr>
          <w:p>
            <w:pPr>
              <w:pStyle w:val="TableContents"/>
              <w:bidi w:val="0"/>
              <w:spacing w:before="0" w:after="283"/>
              <w:jc w:val="left"/>
              <w:rPr>
                <w:sz w:val="4"/>
                <w:szCs w:val="4"/>
              </w:rPr>
            </w:pPr>
            <w:r>
              <w:rPr>
                <w:sz w:val="4"/>
                <w:szCs w:val="4"/>
              </w:rPr>
            </w:r>
          </w:p>
        </w:tc>
        <w:tc>
          <w:tcPr>
            <w:tcW w:w="690" w:type="dxa"/>
            <w:gridSpan w:val="3"/>
            <w:tcBorders/>
            <w:vAlign w:val="center"/>
          </w:tcPr>
          <w:p>
            <w:pPr>
              <w:pStyle w:val="TableContents"/>
              <w:bidi w:val="0"/>
              <w:spacing w:before="0" w:after="283"/>
              <w:jc w:val="left"/>
              <w:rPr>
                <w:sz w:val="4"/>
                <w:szCs w:val="4"/>
              </w:rPr>
            </w:pPr>
            <w:r>
              <w:rPr>
                <w:sz w:val="4"/>
                <w:szCs w:val="4"/>
              </w:rPr>
            </w:r>
          </w:p>
        </w:tc>
        <w:tc>
          <w:tcPr>
            <w:tcW w:w="8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7" w:type="dxa"/>
            <w:gridSpan w:val="3"/>
            <w:tcBorders/>
            <w:vAlign w:val="center"/>
          </w:tcPr>
          <w:p>
            <w:pPr>
              <w:pStyle w:val="TableContents"/>
              <w:bidi w:val="0"/>
              <w:spacing w:before="0" w:after="283"/>
              <w:jc w:val="left"/>
              <w:rPr>
                <w:sz w:val="4"/>
                <w:szCs w:val="4"/>
              </w:rPr>
            </w:pPr>
            <w:r>
              <w:rPr>
                <w:sz w:val="4"/>
                <w:szCs w:val="4"/>
              </w:rPr>
            </w:r>
          </w:p>
        </w:tc>
        <w:tc>
          <w:tcPr>
            <w:tcW w:w="645" w:type="dxa"/>
            <w:gridSpan w:val="3"/>
            <w:tcBorders/>
            <w:vAlign w:val="center"/>
          </w:tcPr>
          <w:p>
            <w:pPr>
              <w:pStyle w:val="TableContents"/>
              <w:bidi w:val="0"/>
              <w:spacing w:before="0" w:after="283"/>
              <w:jc w:val="left"/>
              <w:rPr>
                <w:sz w:val="4"/>
                <w:szCs w:val="4"/>
              </w:rPr>
            </w:pPr>
            <w:r>
              <w:rPr>
                <w:sz w:val="4"/>
                <w:szCs w:val="4"/>
              </w:rPr>
            </w:r>
          </w:p>
        </w:tc>
        <w:tc>
          <w:tcPr>
            <w:tcW w:w="83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616" w:type="dxa"/>
            <w:gridSpan w:val="3"/>
            <w:tcBorders/>
            <w:vAlign w:val="center"/>
          </w:tcPr>
          <w:p>
            <w:pPr>
              <w:pStyle w:val="TableContents"/>
              <w:bidi w:val="0"/>
              <w:spacing w:before="0" w:after="283"/>
              <w:jc w:val="left"/>
              <w:rPr>
                <w:sz w:val="4"/>
                <w:szCs w:val="4"/>
              </w:rPr>
            </w:pPr>
            <w:r>
              <w:rPr>
                <w:sz w:val="4"/>
                <w:szCs w:val="4"/>
              </w:rPr>
            </w:r>
          </w:p>
        </w:tc>
        <w:tc>
          <w:tcPr>
            <w:tcW w:w="883" w:type="dxa"/>
            <w:gridSpan w:val="3"/>
            <w:tcBorders/>
            <w:vAlign w:val="center"/>
          </w:tcPr>
          <w:p>
            <w:pPr>
              <w:pStyle w:val="TableContents"/>
              <w:bidi w:val="0"/>
              <w:spacing w:before="0" w:after="283"/>
              <w:jc w:val="left"/>
              <w:rPr>
                <w:sz w:val="4"/>
                <w:szCs w:val="4"/>
              </w:rPr>
            </w:pPr>
            <w:r>
              <w:rPr>
                <w:sz w:val="4"/>
                <w:szCs w:val="4"/>
              </w:rPr>
            </w:r>
          </w:p>
        </w:tc>
        <w:tc>
          <w:tcPr>
            <w:tcW w:w="690" w:type="dxa"/>
            <w:gridSpan w:val="3"/>
            <w:tcBorders/>
            <w:vAlign w:val="center"/>
          </w:tcPr>
          <w:p>
            <w:pPr>
              <w:pStyle w:val="TableContents"/>
              <w:bidi w:val="0"/>
              <w:spacing w:before="0" w:after="283"/>
              <w:jc w:val="left"/>
              <w:rPr>
                <w:sz w:val="4"/>
                <w:szCs w:val="4"/>
              </w:rPr>
            </w:pPr>
            <w:r>
              <w:rPr>
                <w:sz w:val="4"/>
                <w:szCs w:val="4"/>
              </w:rPr>
            </w:r>
          </w:p>
        </w:tc>
        <w:tc>
          <w:tcPr>
            <w:tcW w:w="8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7" w:type="dxa"/>
            <w:gridSpan w:val="3"/>
            <w:tcBorders/>
            <w:vAlign w:val="center"/>
          </w:tcPr>
          <w:p>
            <w:pPr>
              <w:pStyle w:val="TableContents"/>
              <w:bidi w:val="0"/>
              <w:spacing w:before="0" w:after="283"/>
              <w:jc w:val="left"/>
              <w:rPr>
                <w:sz w:val="4"/>
                <w:szCs w:val="4"/>
              </w:rPr>
            </w:pPr>
            <w:r>
              <w:rPr>
                <w:sz w:val="4"/>
                <w:szCs w:val="4"/>
              </w:rPr>
            </w:r>
          </w:p>
        </w:tc>
        <w:tc>
          <w:tcPr>
            <w:tcW w:w="645" w:type="dxa"/>
            <w:gridSpan w:val="3"/>
            <w:tcBorders/>
            <w:vAlign w:val="center"/>
          </w:tcPr>
          <w:p>
            <w:pPr>
              <w:pStyle w:val="TableContents"/>
              <w:bidi w:val="0"/>
              <w:spacing w:before="0" w:after="283"/>
              <w:jc w:val="left"/>
              <w:rPr>
                <w:sz w:val="4"/>
                <w:szCs w:val="4"/>
              </w:rPr>
            </w:pPr>
            <w:r>
              <w:rPr>
                <w:sz w:val="4"/>
                <w:szCs w:val="4"/>
              </w:rPr>
            </w:r>
          </w:p>
        </w:tc>
        <w:tc>
          <w:tcPr>
            <w:tcW w:w="83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616" w:type="dxa"/>
            <w:gridSpan w:val="3"/>
            <w:tcBorders/>
            <w:vAlign w:val="center"/>
          </w:tcPr>
          <w:p>
            <w:pPr>
              <w:pStyle w:val="TableContents"/>
              <w:bidi w:val="0"/>
              <w:spacing w:before="0" w:after="283"/>
              <w:jc w:val="left"/>
              <w:rPr>
                <w:sz w:val="4"/>
                <w:szCs w:val="4"/>
              </w:rPr>
            </w:pPr>
            <w:r>
              <w:rPr>
                <w:sz w:val="4"/>
                <w:szCs w:val="4"/>
              </w:rPr>
            </w:r>
          </w:p>
        </w:tc>
        <w:tc>
          <w:tcPr>
            <w:tcW w:w="883" w:type="dxa"/>
            <w:gridSpan w:val="3"/>
            <w:tcBorders/>
            <w:vAlign w:val="center"/>
          </w:tcPr>
          <w:p>
            <w:pPr>
              <w:pStyle w:val="TableContents"/>
              <w:bidi w:val="0"/>
              <w:spacing w:before="0" w:after="283"/>
              <w:jc w:val="left"/>
              <w:rPr>
                <w:sz w:val="4"/>
                <w:szCs w:val="4"/>
              </w:rPr>
            </w:pPr>
            <w:r>
              <w:rPr>
                <w:sz w:val="4"/>
                <w:szCs w:val="4"/>
              </w:rPr>
            </w:r>
          </w:p>
        </w:tc>
        <w:tc>
          <w:tcPr>
            <w:tcW w:w="690" w:type="dxa"/>
            <w:gridSpan w:val="3"/>
            <w:tcBorders/>
            <w:vAlign w:val="center"/>
          </w:tcPr>
          <w:p>
            <w:pPr>
              <w:pStyle w:val="TableContents"/>
              <w:bidi w:val="0"/>
              <w:spacing w:before="0" w:after="283"/>
              <w:jc w:val="left"/>
              <w:rPr>
                <w:sz w:val="4"/>
                <w:szCs w:val="4"/>
              </w:rPr>
            </w:pPr>
            <w:r>
              <w:rPr>
                <w:sz w:val="4"/>
                <w:szCs w:val="4"/>
              </w:rPr>
            </w:r>
          </w:p>
        </w:tc>
        <w:tc>
          <w:tcPr>
            <w:tcW w:w="8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7" w:type="dxa"/>
            <w:gridSpan w:val="3"/>
            <w:tcBorders/>
            <w:vAlign w:val="center"/>
          </w:tcPr>
          <w:p>
            <w:pPr>
              <w:pStyle w:val="TableContents"/>
              <w:bidi w:val="0"/>
              <w:spacing w:before="0" w:after="283"/>
              <w:jc w:val="left"/>
              <w:rPr>
                <w:sz w:val="4"/>
                <w:szCs w:val="4"/>
              </w:rPr>
            </w:pPr>
            <w:r>
              <w:rPr>
                <w:sz w:val="4"/>
                <w:szCs w:val="4"/>
              </w:rPr>
            </w:r>
          </w:p>
        </w:tc>
        <w:tc>
          <w:tcPr>
            <w:tcW w:w="645" w:type="dxa"/>
            <w:gridSpan w:val="3"/>
            <w:tcBorders/>
            <w:vAlign w:val="center"/>
          </w:tcPr>
          <w:p>
            <w:pPr>
              <w:pStyle w:val="TableContents"/>
              <w:bidi w:val="0"/>
              <w:spacing w:before="0" w:after="283"/>
              <w:jc w:val="left"/>
              <w:rPr>
                <w:sz w:val="4"/>
                <w:szCs w:val="4"/>
              </w:rPr>
            </w:pPr>
            <w:r>
              <w:rPr>
                <w:sz w:val="4"/>
                <w:szCs w:val="4"/>
              </w:rPr>
            </w:r>
          </w:p>
        </w:tc>
        <w:tc>
          <w:tcPr>
            <w:tcW w:w="83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616" w:type="dxa"/>
            <w:gridSpan w:val="3"/>
            <w:tcBorders/>
            <w:shd w:fill="F7F7F7" w:val="clear"/>
            <w:tcMar>
              <w:top w:w="0" w:type="dxa"/>
              <w:left w:w="0" w:type="dxa"/>
              <w:bottom w:w="0" w:type="dxa"/>
              <w:right w:w="0" w:type="dxa"/>
            </w:tcMar>
            <w:vAlign w:val="center"/>
          </w:tcPr>
          <w:p>
            <w:pPr>
              <w:pStyle w:val="TableContents"/>
              <w:bidi w:val="0"/>
              <w:spacing w:lineRule="auto" w:line="240" w:before="0" w:after="283"/>
              <w:jc w:val="left"/>
              <w:rPr>
                <w:rFonts w:ascii="Adelle Sans;sans-serif" w:hAnsi="Adelle Sans;sans-serif"/>
                <w:b w:val="false"/>
                <w:color w:val="000000"/>
                <w:sz w:val="18"/>
              </w:rPr>
            </w:pPr>
            <w:r>
              <w:rPr>
                <w:rFonts w:ascii="Adelle Sans;sans-serif" w:hAnsi="Adelle Sans;sans-serif"/>
                <w:b w:val="false"/>
                <w:color w:val="000000"/>
                <w:sz w:val="18"/>
              </w:rPr>
              <w:t>Net (gain) loss on equity and other investments</w:t>
            </w:r>
          </w:p>
        </w:tc>
        <w:tc>
          <w:tcPr>
            <w:tcW w:w="883" w:type="dxa"/>
            <w:gridSpan w:val="3"/>
            <w:tcBorders/>
            <w:shd w:fill="F7F7F7"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(1,250)</w:t>
            </w:r>
          </w:p>
        </w:tc>
        <w:tc>
          <w:tcPr>
            <w:tcW w:w="690"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3"/>
            <w:tcBorders/>
            <w:shd w:fill="F7F7F7"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(682)</w:t>
            </w:r>
          </w:p>
        </w:tc>
        <w:tc>
          <w:tcPr>
            <w:tcW w:w="327"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3"/>
            <w:tcBorders/>
            <w:shd w:fill="F7F7F7"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(189)</w:t>
            </w:r>
          </w:p>
        </w:tc>
        <w:tc>
          <w:tcPr>
            <w:tcW w:w="645"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3"/>
            <w:tcBorders/>
            <w:shd w:fill="F7F7F7"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339</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6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delle Sans;sans-serif" w:hAnsi="Adelle Sans;sans-serif"/>
                <w:b w:val="false"/>
                <w:color w:val="000000"/>
                <w:sz w:val="18"/>
              </w:rPr>
            </w:pPr>
            <w:r>
              <w:rPr>
                <w:rFonts w:ascii="Adelle Sans;sans-serif" w:hAnsi="Adelle Sans;sans-serif"/>
                <w:b w:val="false"/>
                <w:color w:val="000000"/>
                <w:sz w:val="18"/>
              </w:rPr>
              <w:t>Net loss on equity method investment</w:t>
            </w:r>
          </w:p>
        </w:tc>
        <w:tc>
          <w:tcPr>
            <w:tcW w:w="8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22</w:t>
            </w:r>
          </w:p>
        </w:tc>
        <w:tc>
          <w:tcPr>
            <w:tcW w:w="6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43</w:t>
            </w:r>
          </w:p>
        </w:tc>
        <w:tc>
          <w:tcPr>
            <w:tcW w:w="6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47</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616" w:type="dxa"/>
            <w:gridSpan w:val="3"/>
            <w:tcBorders/>
            <w:shd w:fill="F7F7F7" w:val="clear"/>
            <w:tcMar>
              <w:top w:w="0" w:type="dxa"/>
              <w:left w:w="0" w:type="dxa"/>
              <w:bottom w:w="0" w:type="dxa"/>
              <w:right w:w="0" w:type="dxa"/>
            </w:tcMar>
            <w:vAlign w:val="center"/>
          </w:tcPr>
          <w:p>
            <w:pPr>
              <w:pStyle w:val="TableContents"/>
              <w:bidi w:val="0"/>
              <w:spacing w:lineRule="auto" w:line="240" w:before="0" w:after="283"/>
              <w:jc w:val="left"/>
              <w:rPr>
                <w:rFonts w:ascii="Adelle Sans;sans-serif" w:hAnsi="Adelle Sans;sans-serif"/>
                <w:b w:val="false"/>
                <w:color w:val="000000"/>
                <w:sz w:val="18"/>
              </w:rPr>
            </w:pPr>
            <w:r>
              <w:rPr>
                <w:rFonts w:ascii="Adelle Sans;sans-serif" w:hAnsi="Adelle Sans;sans-serif"/>
                <w:b w:val="false"/>
                <w:color w:val="000000"/>
                <w:sz w:val="18"/>
              </w:rPr>
              <w:t>Unrealized foreign exchange loss (gain)</w:t>
            </w:r>
          </w:p>
        </w:tc>
        <w:tc>
          <w:tcPr>
            <w:tcW w:w="883" w:type="dxa"/>
            <w:gridSpan w:val="3"/>
            <w:tcBorders/>
            <w:shd w:fill="F7F7F7"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4</w:t>
            </w:r>
          </w:p>
        </w:tc>
        <w:tc>
          <w:tcPr>
            <w:tcW w:w="690"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3"/>
            <w:tcBorders/>
            <w:shd w:fill="F7F7F7"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(46)</w:t>
            </w:r>
          </w:p>
        </w:tc>
        <w:tc>
          <w:tcPr>
            <w:tcW w:w="327"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3"/>
            <w:tcBorders/>
            <w:shd w:fill="F7F7F7"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18</w:t>
            </w:r>
          </w:p>
        </w:tc>
        <w:tc>
          <w:tcPr>
            <w:tcW w:w="645"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3"/>
            <w:tcBorders/>
            <w:shd w:fill="F7F7F7"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(58)</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6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delle Sans;sans-serif" w:hAnsi="Adelle Sans;sans-serif"/>
                <w:b w:val="false"/>
                <w:color w:val="000000"/>
                <w:sz w:val="18"/>
              </w:rPr>
            </w:pPr>
            <w:r>
              <w:rPr>
                <w:rFonts w:ascii="Adelle Sans;sans-serif" w:hAnsi="Adelle Sans;sans-serif"/>
                <w:b w:val="false"/>
                <w:color w:val="000000"/>
                <w:sz w:val="18"/>
              </w:rPr>
              <w:t>Changes in operating assets and liabilities</w:t>
            </w:r>
          </w:p>
        </w:tc>
        <w:tc>
          <w:tcPr>
            <w:tcW w:w="8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(1)</w:t>
            </w:r>
          </w:p>
        </w:tc>
        <w:tc>
          <w:tcPr>
            <w:tcW w:w="6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(35)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(71)</w:t>
            </w:r>
          </w:p>
        </w:tc>
        <w:tc>
          <w:tcPr>
            <w:tcW w:w="6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(41)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616" w:type="dxa"/>
            <w:gridSpan w:val="3"/>
            <w:tcBorders/>
            <w:vAlign w:val="center"/>
          </w:tcPr>
          <w:p>
            <w:pPr>
              <w:pStyle w:val="TableContents"/>
              <w:bidi w:val="0"/>
              <w:spacing w:before="0" w:after="283"/>
              <w:jc w:val="left"/>
              <w:rPr>
                <w:sz w:val="4"/>
                <w:szCs w:val="4"/>
              </w:rPr>
            </w:pPr>
            <w:r>
              <w:rPr>
                <w:sz w:val="4"/>
                <w:szCs w:val="4"/>
              </w:rPr>
            </w:r>
          </w:p>
        </w:tc>
        <w:tc>
          <w:tcPr>
            <w:tcW w:w="883" w:type="dxa"/>
            <w:gridSpan w:val="3"/>
            <w:tcBorders/>
            <w:vAlign w:val="center"/>
          </w:tcPr>
          <w:p>
            <w:pPr>
              <w:pStyle w:val="TableContents"/>
              <w:bidi w:val="0"/>
              <w:spacing w:before="0" w:after="283"/>
              <w:jc w:val="left"/>
              <w:rPr>
                <w:sz w:val="4"/>
                <w:szCs w:val="4"/>
              </w:rPr>
            </w:pPr>
            <w:r>
              <w:rPr>
                <w:sz w:val="4"/>
                <w:szCs w:val="4"/>
              </w:rPr>
            </w:r>
          </w:p>
        </w:tc>
        <w:tc>
          <w:tcPr>
            <w:tcW w:w="690" w:type="dxa"/>
            <w:gridSpan w:val="3"/>
            <w:tcBorders/>
            <w:vAlign w:val="center"/>
          </w:tcPr>
          <w:p>
            <w:pPr>
              <w:pStyle w:val="TableContents"/>
              <w:bidi w:val="0"/>
              <w:spacing w:before="0" w:after="283"/>
              <w:jc w:val="left"/>
              <w:rPr>
                <w:sz w:val="4"/>
                <w:szCs w:val="4"/>
              </w:rPr>
            </w:pPr>
            <w:r>
              <w:rPr>
                <w:sz w:val="4"/>
                <w:szCs w:val="4"/>
              </w:rPr>
            </w:r>
          </w:p>
        </w:tc>
        <w:tc>
          <w:tcPr>
            <w:tcW w:w="8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7" w:type="dxa"/>
            <w:gridSpan w:val="3"/>
            <w:tcBorders/>
            <w:vAlign w:val="center"/>
          </w:tcPr>
          <w:p>
            <w:pPr>
              <w:pStyle w:val="TableContents"/>
              <w:bidi w:val="0"/>
              <w:spacing w:before="0" w:after="283"/>
              <w:jc w:val="left"/>
              <w:rPr>
                <w:sz w:val="4"/>
                <w:szCs w:val="4"/>
              </w:rPr>
            </w:pPr>
            <w:r>
              <w:rPr>
                <w:sz w:val="4"/>
                <w:szCs w:val="4"/>
              </w:rPr>
            </w:r>
          </w:p>
        </w:tc>
        <w:tc>
          <w:tcPr>
            <w:tcW w:w="645" w:type="dxa"/>
            <w:gridSpan w:val="3"/>
            <w:tcBorders/>
            <w:vAlign w:val="center"/>
          </w:tcPr>
          <w:p>
            <w:pPr>
              <w:pStyle w:val="TableContents"/>
              <w:bidi w:val="0"/>
              <w:spacing w:before="0" w:after="283"/>
              <w:jc w:val="left"/>
              <w:rPr>
                <w:sz w:val="4"/>
                <w:szCs w:val="4"/>
              </w:rPr>
            </w:pPr>
            <w:r>
              <w:rPr>
                <w:sz w:val="4"/>
                <w:szCs w:val="4"/>
              </w:rPr>
            </w:r>
          </w:p>
        </w:tc>
        <w:tc>
          <w:tcPr>
            <w:tcW w:w="83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616" w:type="dxa"/>
            <w:gridSpan w:val="3"/>
            <w:tcBorders/>
            <w:vAlign w:val="center"/>
          </w:tcPr>
          <w:p>
            <w:pPr>
              <w:pStyle w:val="TableContents"/>
              <w:bidi w:val="0"/>
              <w:spacing w:before="0" w:after="283"/>
              <w:jc w:val="left"/>
              <w:rPr>
                <w:sz w:val="4"/>
                <w:szCs w:val="4"/>
              </w:rPr>
            </w:pPr>
            <w:r>
              <w:rPr>
                <w:sz w:val="4"/>
                <w:szCs w:val="4"/>
              </w:rPr>
            </w:r>
          </w:p>
        </w:tc>
        <w:tc>
          <w:tcPr>
            <w:tcW w:w="883" w:type="dxa"/>
            <w:gridSpan w:val="3"/>
            <w:tcBorders/>
            <w:vAlign w:val="center"/>
          </w:tcPr>
          <w:p>
            <w:pPr>
              <w:pStyle w:val="TableContents"/>
              <w:bidi w:val="0"/>
              <w:spacing w:before="0" w:after="283"/>
              <w:jc w:val="left"/>
              <w:rPr>
                <w:sz w:val="4"/>
                <w:szCs w:val="4"/>
              </w:rPr>
            </w:pPr>
            <w:r>
              <w:rPr>
                <w:sz w:val="4"/>
                <w:szCs w:val="4"/>
              </w:rPr>
            </w:r>
          </w:p>
        </w:tc>
        <w:tc>
          <w:tcPr>
            <w:tcW w:w="690" w:type="dxa"/>
            <w:gridSpan w:val="3"/>
            <w:tcBorders/>
            <w:vAlign w:val="center"/>
          </w:tcPr>
          <w:p>
            <w:pPr>
              <w:pStyle w:val="TableContents"/>
              <w:bidi w:val="0"/>
              <w:spacing w:before="0" w:after="283"/>
              <w:jc w:val="left"/>
              <w:rPr>
                <w:sz w:val="4"/>
                <w:szCs w:val="4"/>
              </w:rPr>
            </w:pPr>
            <w:r>
              <w:rPr>
                <w:sz w:val="4"/>
                <w:szCs w:val="4"/>
              </w:rPr>
            </w:r>
          </w:p>
        </w:tc>
        <w:tc>
          <w:tcPr>
            <w:tcW w:w="8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7" w:type="dxa"/>
            <w:gridSpan w:val="3"/>
            <w:tcBorders/>
            <w:vAlign w:val="center"/>
          </w:tcPr>
          <w:p>
            <w:pPr>
              <w:pStyle w:val="TableContents"/>
              <w:bidi w:val="0"/>
              <w:spacing w:before="0" w:after="283"/>
              <w:jc w:val="left"/>
              <w:rPr>
                <w:sz w:val="4"/>
                <w:szCs w:val="4"/>
              </w:rPr>
            </w:pPr>
            <w:r>
              <w:rPr>
                <w:sz w:val="4"/>
                <w:szCs w:val="4"/>
              </w:rPr>
            </w:r>
          </w:p>
        </w:tc>
        <w:tc>
          <w:tcPr>
            <w:tcW w:w="645" w:type="dxa"/>
            <w:gridSpan w:val="3"/>
            <w:tcBorders/>
            <w:vAlign w:val="center"/>
          </w:tcPr>
          <w:p>
            <w:pPr>
              <w:pStyle w:val="TableContents"/>
              <w:bidi w:val="0"/>
              <w:spacing w:before="0" w:after="283"/>
              <w:jc w:val="left"/>
              <w:rPr>
                <w:sz w:val="4"/>
                <w:szCs w:val="4"/>
              </w:rPr>
            </w:pPr>
            <w:r>
              <w:rPr>
                <w:sz w:val="4"/>
                <w:szCs w:val="4"/>
              </w:rPr>
            </w:r>
          </w:p>
        </w:tc>
        <w:tc>
          <w:tcPr>
            <w:tcW w:w="83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616" w:type="dxa"/>
            <w:gridSpan w:val="3"/>
            <w:tcBorders/>
            <w:vAlign w:val="center"/>
          </w:tcPr>
          <w:p>
            <w:pPr>
              <w:pStyle w:val="TableContents"/>
              <w:bidi w:val="0"/>
              <w:spacing w:before="0" w:after="283"/>
              <w:jc w:val="left"/>
              <w:rPr>
                <w:sz w:val="4"/>
                <w:szCs w:val="4"/>
              </w:rPr>
            </w:pPr>
            <w:r>
              <w:rPr>
                <w:sz w:val="4"/>
                <w:szCs w:val="4"/>
              </w:rPr>
            </w:r>
          </w:p>
        </w:tc>
        <w:tc>
          <w:tcPr>
            <w:tcW w:w="883" w:type="dxa"/>
            <w:gridSpan w:val="3"/>
            <w:tcBorders/>
            <w:vAlign w:val="center"/>
          </w:tcPr>
          <w:p>
            <w:pPr>
              <w:pStyle w:val="TableContents"/>
              <w:bidi w:val="0"/>
              <w:spacing w:before="0" w:after="283"/>
              <w:jc w:val="left"/>
              <w:rPr>
                <w:sz w:val="4"/>
                <w:szCs w:val="4"/>
              </w:rPr>
            </w:pPr>
            <w:r>
              <w:rPr>
                <w:sz w:val="4"/>
                <w:szCs w:val="4"/>
              </w:rPr>
            </w:r>
          </w:p>
        </w:tc>
        <w:tc>
          <w:tcPr>
            <w:tcW w:w="690" w:type="dxa"/>
            <w:gridSpan w:val="3"/>
            <w:tcBorders/>
            <w:vAlign w:val="center"/>
          </w:tcPr>
          <w:p>
            <w:pPr>
              <w:pStyle w:val="TableContents"/>
              <w:bidi w:val="0"/>
              <w:spacing w:before="0" w:after="283"/>
              <w:jc w:val="left"/>
              <w:rPr>
                <w:sz w:val="4"/>
                <w:szCs w:val="4"/>
              </w:rPr>
            </w:pPr>
            <w:r>
              <w:rPr>
                <w:sz w:val="4"/>
                <w:szCs w:val="4"/>
              </w:rPr>
            </w:r>
          </w:p>
        </w:tc>
        <w:tc>
          <w:tcPr>
            <w:tcW w:w="8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7" w:type="dxa"/>
            <w:gridSpan w:val="3"/>
            <w:tcBorders/>
            <w:vAlign w:val="center"/>
          </w:tcPr>
          <w:p>
            <w:pPr>
              <w:pStyle w:val="TableContents"/>
              <w:bidi w:val="0"/>
              <w:spacing w:before="0" w:after="283"/>
              <w:jc w:val="left"/>
              <w:rPr>
                <w:sz w:val="4"/>
                <w:szCs w:val="4"/>
              </w:rPr>
            </w:pPr>
            <w:r>
              <w:rPr>
                <w:sz w:val="4"/>
                <w:szCs w:val="4"/>
              </w:rPr>
            </w:r>
          </w:p>
        </w:tc>
        <w:tc>
          <w:tcPr>
            <w:tcW w:w="645" w:type="dxa"/>
            <w:gridSpan w:val="3"/>
            <w:tcBorders/>
            <w:vAlign w:val="center"/>
          </w:tcPr>
          <w:p>
            <w:pPr>
              <w:pStyle w:val="TableContents"/>
              <w:bidi w:val="0"/>
              <w:spacing w:before="0" w:after="283"/>
              <w:jc w:val="left"/>
              <w:rPr>
                <w:sz w:val="4"/>
                <w:szCs w:val="4"/>
              </w:rPr>
            </w:pPr>
            <w:r>
              <w:rPr>
                <w:sz w:val="4"/>
                <w:szCs w:val="4"/>
              </w:rPr>
            </w:r>
          </w:p>
        </w:tc>
        <w:tc>
          <w:tcPr>
            <w:tcW w:w="83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616" w:type="dxa"/>
            <w:gridSpan w:val="3"/>
            <w:tcBorders/>
            <w:vAlign w:val="center"/>
          </w:tcPr>
          <w:p>
            <w:pPr>
              <w:pStyle w:val="TableContents"/>
              <w:bidi w:val="0"/>
              <w:spacing w:before="0" w:after="283"/>
              <w:jc w:val="left"/>
              <w:rPr>
                <w:sz w:val="4"/>
                <w:szCs w:val="4"/>
              </w:rPr>
            </w:pPr>
            <w:r>
              <w:rPr>
                <w:sz w:val="4"/>
                <w:szCs w:val="4"/>
              </w:rPr>
            </w:r>
          </w:p>
        </w:tc>
        <w:tc>
          <w:tcPr>
            <w:tcW w:w="883" w:type="dxa"/>
            <w:gridSpan w:val="3"/>
            <w:tcBorders/>
            <w:vAlign w:val="center"/>
          </w:tcPr>
          <w:p>
            <w:pPr>
              <w:pStyle w:val="TableContents"/>
              <w:bidi w:val="0"/>
              <w:spacing w:before="0" w:after="283"/>
              <w:jc w:val="left"/>
              <w:rPr>
                <w:sz w:val="4"/>
                <w:szCs w:val="4"/>
              </w:rPr>
            </w:pPr>
            <w:r>
              <w:rPr>
                <w:sz w:val="4"/>
                <w:szCs w:val="4"/>
              </w:rPr>
            </w:r>
          </w:p>
        </w:tc>
        <w:tc>
          <w:tcPr>
            <w:tcW w:w="690" w:type="dxa"/>
            <w:gridSpan w:val="3"/>
            <w:tcBorders/>
            <w:vAlign w:val="center"/>
          </w:tcPr>
          <w:p>
            <w:pPr>
              <w:pStyle w:val="TableContents"/>
              <w:bidi w:val="0"/>
              <w:spacing w:before="0" w:after="283"/>
              <w:jc w:val="left"/>
              <w:rPr>
                <w:sz w:val="4"/>
                <w:szCs w:val="4"/>
              </w:rPr>
            </w:pPr>
            <w:r>
              <w:rPr>
                <w:sz w:val="4"/>
                <w:szCs w:val="4"/>
              </w:rPr>
            </w:r>
          </w:p>
        </w:tc>
        <w:tc>
          <w:tcPr>
            <w:tcW w:w="8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7" w:type="dxa"/>
            <w:gridSpan w:val="3"/>
            <w:tcBorders/>
            <w:vAlign w:val="center"/>
          </w:tcPr>
          <w:p>
            <w:pPr>
              <w:pStyle w:val="TableContents"/>
              <w:bidi w:val="0"/>
              <w:spacing w:before="0" w:after="283"/>
              <w:jc w:val="left"/>
              <w:rPr>
                <w:sz w:val="4"/>
                <w:szCs w:val="4"/>
              </w:rPr>
            </w:pPr>
            <w:r>
              <w:rPr>
                <w:sz w:val="4"/>
                <w:szCs w:val="4"/>
              </w:rPr>
            </w:r>
          </w:p>
        </w:tc>
        <w:tc>
          <w:tcPr>
            <w:tcW w:w="645" w:type="dxa"/>
            <w:gridSpan w:val="3"/>
            <w:tcBorders/>
            <w:vAlign w:val="center"/>
          </w:tcPr>
          <w:p>
            <w:pPr>
              <w:pStyle w:val="TableContents"/>
              <w:bidi w:val="0"/>
              <w:spacing w:before="0" w:after="283"/>
              <w:jc w:val="left"/>
              <w:rPr>
                <w:sz w:val="4"/>
                <w:szCs w:val="4"/>
              </w:rPr>
            </w:pPr>
            <w:r>
              <w:rPr>
                <w:sz w:val="4"/>
                <w:szCs w:val="4"/>
              </w:rPr>
            </w:r>
          </w:p>
        </w:tc>
        <w:tc>
          <w:tcPr>
            <w:tcW w:w="83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616" w:type="dxa"/>
            <w:gridSpan w:val="3"/>
            <w:tcBorders/>
            <w:vAlign w:val="center"/>
          </w:tcPr>
          <w:p>
            <w:pPr>
              <w:pStyle w:val="TableContents"/>
              <w:bidi w:val="0"/>
              <w:spacing w:before="0" w:after="283"/>
              <w:jc w:val="left"/>
              <w:rPr>
                <w:sz w:val="4"/>
                <w:szCs w:val="4"/>
              </w:rPr>
            </w:pPr>
            <w:r>
              <w:rPr>
                <w:sz w:val="4"/>
                <w:szCs w:val="4"/>
              </w:rPr>
            </w:r>
          </w:p>
        </w:tc>
        <w:tc>
          <w:tcPr>
            <w:tcW w:w="883" w:type="dxa"/>
            <w:gridSpan w:val="3"/>
            <w:tcBorders/>
            <w:vAlign w:val="center"/>
          </w:tcPr>
          <w:p>
            <w:pPr>
              <w:pStyle w:val="TableContents"/>
              <w:bidi w:val="0"/>
              <w:spacing w:before="0" w:after="283"/>
              <w:jc w:val="left"/>
              <w:rPr>
                <w:sz w:val="4"/>
                <w:szCs w:val="4"/>
              </w:rPr>
            </w:pPr>
            <w:r>
              <w:rPr>
                <w:sz w:val="4"/>
                <w:szCs w:val="4"/>
              </w:rPr>
            </w:r>
          </w:p>
        </w:tc>
        <w:tc>
          <w:tcPr>
            <w:tcW w:w="690" w:type="dxa"/>
            <w:gridSpan w:val="3"/>
            <w:tcBorders/>
            <w:vAlign w:val="center"/>
          </w:tcPr>
          <w:p>
            <w:pPr>
              <w:pStyle w:val="TableContents"/>
              <w:bidi w:val="0"/>
              <w:spacing w:before="0" w:after="283"/>
              <w:jc w:val="left"/>
              <w:rPr>
                <w:sz w:val="4"/>
                <w:szCs w:val="4"/>
              </w:rPr>
            </w:pPr>
            <w:r>
              <w:rPr>
                <w:sz w:val="4"/>
                <w:szCs w:val="4"/>
              </w:rPr>
            </w:r>
          </w:p>
        </w:tc>
        <w:tc>
          <w:tcPr>
            <w:tcW w:w="8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7" w:type="dxa"/>
            <w:gridSpan w:val="3"/>
            <w:tcBorders/>
            <w:vAlign w:val="center"/>
          </w:tcPr>
          <w:p>
            <w:pPr>
              <w:pStyle w:val="TableContents"/>
              <w:bidi w:val="0"/>
              <w:spacing w:before="0" w:after="283"/>
              <w:jc w:val="left"/>
              <w:rPr>
                <w:sz w:val="4"/>
                <w:szCs w:val="4"/>
              </w:rPr>
            </w:pPr>
            <w:r>
              <w:rPr>
                <w:sz w:val="4"/>
                <w:szCs w:val="4"/>
              </w:rPr>
            </w:r>
          </w:p>
        </w:tc>
        <w:tc>
          <w:tcPr>
            <w:tcW w:w="645" w:type="dxa"/>
            <w:gridSpan w:val="3"/>
            <w:tcBorders/>
            <w:vAlign w:val="center"/>
          </w:tcPr>
          <w:p>
            <w:pPr>
              <w:pStyle w:val="TableContents"/>
              <w:bidi w:val="0"/>
              <w:spacing w:before="0" w:after="283"/>
              <w:jc w:val="left"/>
              <w:rPr>
                <w:sz w:val="4"/>
                <w:szCs w:val="4"/>
              </w:rPr>
            </w:pPr>
            <w:r>
              <w:rPr>
                <w:sz w:val="4"/>
                <w:szCs w:val="4"/>
              </w:rPr>
            </w:r>
          </w:p>
        </w:tc>
        <w:tc>
          <w:tcPr>
            <w:tcW w:w="83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616" w:type="dxa"/>
            <w:gridSpan w:val="3"/>
            <w:tcBorders/>
            <w:vAlign w:val="center"/>
          </w:tcPr>
          <w:p>
            <w:pPr>
              <w:pStyle w:val="TableContents"/>
              <w:bidi w:val="0"/>
              <w:spacing w:before="0" w:after="283"/>
              <w:jc w:val="left"/>
              <w:rPr>
                <w:sz w:val="4"/>
                <w:szCs w:val="4"/>
              </w:rPr>
            </w:pPr>
            <w:r>
              <w:rPr>
                <w:sz w:val="4"/>
                <w:szCs w:val="4"/>
              </w:rPr>
            </w:r>
          </w:p>
        </w:tc>
        <w:tc>
          <w:tcPr>
            <w:tcW w:w="883" w:type="dxa"/>
            <w:gridSpan w:val="3"/>
            <w:tcBorders/>
            <w:vAlign w:val="center"/>
          </w:tcPr>
          <w:p>
            <w:pPr>
              <w:pStyle w:val="TableContents"/>
              <w:bidi w:val="0"/>
              <w:spacing w:before="0" w:after="283"/>
              <w:jc w:val="left"/>
              <w:rPr>
                <w:sz w:val="4"/>
                <w:szCs w:val="4"/>
              </w:rPr>
            </w:pPr>
            <w:r>
              <w:rPr>
                <w:sz w:val="4"/>
                <w:szCs w:val="4"/>
              </w:rPr>
            </w:r>
          </w:p>
        </w:tc>
        <w:tc>
          <w:tcPr>
            <w:tcW w:w="690" w:type="dxa"/>
            <w:gridSpan w:val="3"/>
            <w:tcBorders/>
            <w:vAlign w:val="center"/>
          </w:tcPr>
          <w:p>
            <w:pPr>
              <w:pStyle w:val="TableContents"/>
              <w:bidi w:val="0"/>
              <w:spacing w:before="0" w:after="283"/>
              <w:jc w:val="left"/>
              <w:rPr>
                <w:sz w:val="4"/>
                <w:szCs w:val="4"/>
              </w:rPr>
            </w:pPr>
            <w:r>
              <w:rPr>
                <w:sz w:val="4"/>
                <w:szCs w:val="4"/>
              </w:rPr>
            </w:r>
          </w:p>
        </w:tc>
        <w:tc>
          <w:tcPr>
            <w:tcW w:w="8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7" w:type="dxa"/>
            <w:gridSpan w:val="3"/>
            <w:tcBorders/>
            <w:vAlign w:val="center"/>
          </w:tcPr>
          <w:p>
            <w:pPr>
              <w:pStyle w:val="TableContents"/>
              <w:bidi w:val="0"/>
              <w:spacing w:before="0" w:after="283"/>
              <w:jc w:val="left"/>
              <w:rPr>
                <w:sz w:val="4"/>
                <w:szCs w:val="4"/>
              </w:rPr>
            </w:pPr>
            <w:r>
              <w:rPr>
                <w:sz w:val="4"/>
                <w:szCs w:val="4"/>
              </w:rPr>
            </w:r>
          </w:p>
        </w:tc>
        <w:tc>
          <w:tcPr>
            <w:tcW w:w="645" w:type="dxa"/>
            <w:gridSpan w:val="3"/>
            <w:tcBorders/>
            <w:vAlign w:val="center"/>
          </w:tcPr>
          <w:p>
            <w:pPr>
              <w:pStyle w:val="TableContents"/>
              <w:bidi w:val="0"/>
              <w:spacing w:before="0" w:after="283"/>
              <w:jc w:val="left"/>
              <w:rPr>
                <w:sz w:val="4"/>
                <w:szCs w:val="4"/>
              </w:rPr>
            </w:pPr>
            <w:r>
              <w:rPr>
                <w:sz w:val="4"/>
                <w:szCs w:val="4"/>
              </w:rPr>
            </w:r>
          </w:p>
        </w:tc>
        <w:tc>
          <w:tcPr>
            <w:tcW w:w="83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616" w:type="dxa"/>
            <w:gridSpan w:val="3"/>
            <w:tcBorders/>
            <w:vAlign w:val="center"/>
          </w:tcPr>
          <w:p>
            <w:pPr>
              <w:pStyle w:val="TableContents"/>
              <w:bidi w:val="0"/>
              <w:spacing w:before="0" w:after="283"/>
              <w:jc w:val="left"/>
              <w:rPr>
                <w:sz w:val="4"/>
                <w:szCs w:val="4"/>
              </w:rPr>
            </w:pPr>
            <w:r>
              <w:rPr>
                <w:sz w:val="4"/>
                <w:szCs w:val="4"/>
              </w:rPr>
            </w:r>
          </w:p>
        </w:tc>
        <w:tc>
          <w:tcPr>
            <w:tcW w:w="883" w:type="dxa"/>
            <w:gridSpan w:val="3"/>
            <w:tcBorders/>
            <w:vAlign w:val="center"/>
          </w:tcPr>
          <w:p>
            <w:pPr>
              <w:pStyle w:val="TableContents"/>
              <w:bidi w:val="0"/>
              <w:spacing w:before="0" w:after="283"/>
              <w:jc w:val="left"/>
              <w:rPr>
                <w:sz w:val="4"/>
                <w:szCs w:val="4"/>
              </w:rPr>
            </w:pPr>
            <w:r>
              <w:rPr>
                <w:sz w:val="4"/>
                <w:szCs w:val="4"/>
              </w:rPr>
            </w:r>
          </w:p>
        </w:tc>
        <w:tc>
          <w:tcPr>
            <w:tcW w:w="690" w:type="dxa"/>
            <w:gridSpan w:val="3"/>
            <w:tcBorders/>
            <w:vAlign w:val="center"/>
          </w:tcPr>
          <w:p>
            <w:pPr>
              <w:pStyle w:val="TableContents"/>
              <w:bidi w:val="0"/>
              <w:spacing w:before="0" w:after="283"/>
              <w:jc w:val="left"/>
              <w:rPr>
                <w:sz w:val="4"/>
                <w:szCs w:val="4"/>
              </w:rPr>
            </w:pPr>
            <w:r>
              <w:rPr>
                <w:sz w:val="4"/>
                <w:szCs w:val="4"/>
              </w:rPr>
            </w:r>
          </w:p>
        </w:tc>
        <w:tc>
          <w:tcPr>
            <w:tcW w:w="8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7" w:type="dxa"/>
            <w:gridSpan w:val="3"/>
            <w:tcBorders/>
            <w:vAlign w:val="center"/>
          </w:tcPr>
          <w:p>
            <w:pPr>
              <w:pStyle w:val="TableContents"/>
              <w:bidi w:val="0"/>
              <w:spacing w:before="0" w:after="283"/>
              <w:jc w:val="left"/>
              <w:rPr>
                <w:sz w:val="4"/>
                <w:szCs w:val="4"/>
              </w:rPr>
            </w:pPr>
            <w:r>
              <w:rPr>
                <w:sz w:val="4"/>
                <w:szCs w:val="4"/>
              </w:rPr>
            </w:r>
          </w:p>
        </w:tc>
        <w:tc>
          <w:tcPr>
            <w:tcW w:w="645" w:type="dxa"/>
            <w:gridSpan w:val="3"/>
            <w:tcBorders/>
            <w:vAlign w:val="center"/>
          </w:tcPr>
          <w:p>
            <w:pPr>
              <w:pStyle w:val="TableContents"/>
              <w:bidi w:val="0"/>
              <w:spacing w:before="0" w:after="283"/>
              <w:jc w:val="left"/>
              <w:rPr>
                <w:sz w:val="4"/>
                <w:szCs w:val="4"/>
              </w:rPr>
            </w:pPr>
            <w:r>
              <w:rPr>
                <w:sz w:val="4"/>
                <w:szCs w:val="4"/>
              </w:rPr>
            </w:r>
          </w:p>
        </w:tc>
        <w:tc>
          <w:tcPr>
            <w:tcW w:w="83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616" w:type="dxa"/>
            <w:gridSpan w:val="3"/>
            <w:tcBorders/>
            <w:vAlign w:val="center"/>
          </w:tcPr>
          <w:p>
            <w:pPr>
              <w:pStyle w:val="TableContents"/>
              <w:bidi w:val="0"/>
              <w:spacing w:before="0" w:after="283"/>
              <w:jc w:val="left"/>
              <w:rPr>
                <w:sz w:val="4"/>
                <w:szCs w:val="4"/>
              </w:rPr>
            </w:pPr>
            <w:r>
              <w:rPr>
                <w:sz w:val="4"/>
                <w:szCs w:val="4"/>
              </w:rPr>
            </w:r>
          </w:p>
        </w:tc>
        <w:tc>
          <w:tcPr>
            <w:tcW w:w="883" w:type="dxa"/>
            <w:gridSpan w:val="3"/>
            <w:tcBorders/>
            <w:vAlign w:val="center"/>
          </w:tcPr>
          <w:p>
            <w:pPr>
              <w:pStyle w:val="TableContents"/>
              <w:bidi w:val="0"/>
              <w:spacing w:before="0" w:after="283"/>
              <w:jc w:val="left"/>
              <w:rPr>
                <w:sz w:val="4"/>
                <w:szCs w:val="4"/>
              </w:rPr>
            </w:pPr>
            <w:r>
              <w:rPr>
                <w:sz w:val="4"/>
                <w:szCs w:val="4"/>
              </w:rPr>
            </w:r>
          </w:p>
        </w:tc>
        <w:tc>
          <w:tcPr>
            <w:tcW w:w="690" w:type="dxa"/>
            <w:gridSpan w:val="3"/>
            <w:tcBorders/>
            <w:vAlign w:val="center"/>
          </w:tcPr>
          <w:p>
            <w:pPr>
              <w:pStyle w:val="TableContents"/>
              <w:bidi w:val="0"/>
              <w:spacing w:before="0" w:after="283"/>
              <w:jc w:val="left"/>
              <w:rPr>
                <w:sz w:val="4"/>
                <w:szCs w:val="4"/>
              </w:rPr>
            </w:pPr>
            <w:r>
              <w:rPr>
                <w:sz w:val="4"/>
                <w:szCs w:val="4"/>
              </w:rPr>
            </w:r>
          </w:p>
        </w:tc>
        <w:tc>
          <w:tcPr>
            <w:tcW w:w="8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7" w:type="dxa"/>
            <w:gridSpan w:val="3"/>
            <w:tcBorders/>
            <w:vAlign w:val="center"/>
          </w:tcPr>
          <w:p>
            <w:pPr>
              <w:pStyle w:val="TableContents"/>
              <w:bidi w:val="0"/>
              <w:spacing w:before="0" w:after="283"/>
              <w:jc w:val="left"/>
              <w:rPr>
                <w:sz w:val="4"/>
                <w:szCs w:val="4"/>
              </w:rPr>
            </w:pPr>
            <w:r>
              <w:rPr>
                <w:sz w:val="4"/>
                <w:szCs w:val="4"/>
              </w:rPr>
            </w:r>
          </w:p>
        </w:tc>
        <w:tc>
          <w:tcPr>
            <w:tcW w:w="645" w:type="dxa"/>
            <w:gridSpan w:val="3"/>
            <w:tcBorders/>
            <w:vAlign w:val="center"/>
          </w:tcPr>
          <w:p>
            <w:pPr>
              <w:pStyle w:val="TableContents"/>
              <w:bidi w:val="0"/>
              <w:spacing w:before="0" w:after="283"/>
              <w:jc w:val="left"/>
              <w:rPr>
                <w:sz w:val="4"/>
                <w:szCs w:val="4"/>
              </w:rPr>
            </w:pPr>
            <w:r>
              <w:rPr>
                <w:sz w:val="4"/>
                <w:szCs w:val="4"/>
              </w:rPr>
            </w:r>
          </w:p>
        </w:tc>
        <w:tc>
          <w:tcPr>
            <w:tcW w:w="83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616" w:type="dxa"/>
            <w:gridSpan w:val="3"/>
            <w:tcBorders/>
            <w:shd w:fill="F7F7F7" w:val="clear"/>
            <w:tcMar>
              <w:top w:w="0" w:type="dxa"/>
              <w:left w:w="0" w:type="dxa"/>
              <w:bottom w:w="0" w:type="dxa"/>
              <w:right w:w="0" w:type="dxa"/>
            </w:tcMar>
            <w:vAlign w:val="center"/>
          </w:tcPr>
          <w:p>
            <w:pPr>
              <w:pStyle w:val="TableContents"/>
              <w:bidi w:val="0"/>
              <w:spacing w:lineRule="auto" w:line="240" w:before="0" w:after="283"/>
              <w:jc w:val="left"/>
              <w:rPr>
                <w:rFonts w:ascii="Adelle Sans;sans-serif" w:hAnsi="Adelle Sans;sans-serif"/>
                <w:b/>
                <w:color w:val="000000"/>
                <w:sz w:val="18"/>
              </w:rPr>
            </w:pPr>
            <w:r>
              <w:rPr>
                <w:rFonts w:ascii="Adelle Sans;sans-serif" w:hAnsi="Adelle Sans;sans-serif"/>
                <w:b/>
                <w:color w:val="000000"/>
                <w:sz w:val="18"/>
              </w:rPr>
              <w:t>Net cash provided by operating activities</w:t>
            </w:r>
          </w:p>
        </w:tc>
        <w:tc>
          <w:tcPr>
            <w:tcW w:w="883" w:type="dxa"/>
            <w:gridSpan w:val="3"/>
            <w:tcBorders>
              <w:top w:val="single" w:sz="4" w:space="0" w:color="000000"/>
            </w:tcBorders>
            <w:shd w:fill="F7F7F7" w:val="clear"/>
            <w:tcMar>
              <w:top w:w="52"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658</w:t>
            </w:r>
          </w:p>
        </w:tc>
        <w:tc>
          <w:tcPr>
            <w:tcW w:w="690" w:type="dxa"/>
            <w:gridSpan w:val="3"/>
            <w:tcBorders>
              <w:top w:val="single" w:sz="4" w:space="0" w:color="000000"/>
            </w:tcBorders>
            <w:shd w:fill="F7F7F7"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3"/>
            <w:tcBorders>
              <w:top w:val="single" w:sz="4" w:space="0" w:color="000000"/>
            </w:tcBorders>
            <w:shd w:fill="F7F7F7" w:val="clear"/>
            <w:tcMar>
              <w:top w:w="52"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428</w:t>
            </w:r>
          </w:p>
        </w:tc>
        <w:tc>
          <w:tcPr>
            <w:tcW w:w="327"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3"/>
            <w:tcBorders>
              <w:top w:val="single" w:sz="4" w:space="0" w:color="000000"/>
            </w:tcBorders>
            <w:shd w:fill="F7F7F7" w:val="clear"/>
            <w:tcMar>
              <w:top w:w="52"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1,139</w:t>
            </w:r>
          </w:p>
        </w:tc>
        <w:tc>
          <w:tcPr>
            <w:tcW w:w="645" w:type="dxa"/>
            <w:gridSpan w:val="3"/>
            <w:tcBorders>
              <w:top w:val="single" w:sz="4" w:space="0" w:color="000000"/>
            </w:tcBorders>
            <w:shd w:fill="F7F7F7"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3"/>
            <w:tcBorders>
              <w:top w:val="single" w:sz="4" w:space="0" w:color="000000"/>
            </w:tcBorders>
            <w:shd w:fill="F7F7F7" w:val="clear"/>
            <w:tcMar>
              <w:top w:w="52"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795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61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delle Sans;sans-serif" w:hAnsi="Adelle Sans;sans-serif"/>
                <w:b/>
                <w:color w:val="000000"/>
                <w:sz w:val="18"/>
              </w:rPr>
            </w:pPr>
            <w:r>
              <w:rPr>
                <w:rFonts w:ascii="Adelle Sans;sans-serif" w:hAnsi="Adelle Sans;sans-serif"/>
                <w:b/>
                <w:color w:val="000000"/>
                <w:sz w:val="18"/>
              </w:rPr>
              <w:t>Cash flows from investing activities</w:t>
            </w:r>
          </w:p>
        </w:tc>
        <w:tc>
          <w:tcPr>
            <w:tcW w:w="88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616" w:type="dxa"/>
            <w:gridSpan w:val="3"/>
            <w:tcBorders/>
            <w:shd w:fill="F7F7F7" w:val="clear"/>
            <w:tcMar>
              <w:top w:w="0" w:type="dxa"/>
              <w:left w:w="0" w:type="dxa"/>
              <w:bottom w:w="0" w:type="dxa"/>
              <w:right w:w="0" w:type="dxa"/>
            </w:tcMar>
            <w:vAlign w:val="center"/>
          </w:tcPr>
          <w:p>
            <w:pPr>
              <w:pStyle w:val="TableContents"/>
              <w:bidi w:val="0"/>
              <w:spacing w:lineRule="auto" w:line="240" w:before="0" w:after="283"/>
              <w:jc w:val="left"/>
              <w:rPr>
                <w:rFonts w:ascii="Adelle Sans;sans-serif" w:hAnsi="Adelle Sans;sans-serif"/>
                <w:b w:val="false"/>
                <w:color w:val="000000"/>
                <w:sz w:val="18"/>
              </w:rPr>
            </w:pPr>
            <w:r>
              <w:rPr>
                <w:rFonts w:ascii="Adelle Sans;sans-serif" w:hAnsi="Adelle Sans;sans-serif"/>
                <w:b w:val="false"/>
                <w:color w:val="000000"/>
                <w:sz w:val="18"/>
              </w:rPr>
              <w:t>Purchases of property and equipment</w:t>
            </w:r>
          </w:p>
        </w:tc>
        <w:tc>
          <w:tcPr>
            <w:tcW w:w="883" w:type="dxa"/>
            <w:gridSpan w:val="3"/>
            <w:tcBorders/>
            <w:shd w:fill="F7F7F7"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(4)</w:t>
            </w:r>
          </w:p>
        </w:tc>
        <w:tc>
          <w:tcPr>
            <w:tcW w:w="690"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3"/>
            <w:tcBorders/>
            <w:shd w:fill="F7F7F7"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(6)</w:t>
            </w:r>
          </w:p>
        </w:tc>
        <w:tc>
          <w:tcPr>
            <w:tcW w:w="327"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3"/>
            <w:tcBorders/>
            <w:shd w:fill="F7F7F7"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(9)</w:t>
            </w:r>
          </w:p>
        </w:tc>
        <w:tc>
          <w:tcPr>
            <w:tcW w:w="645"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3"/>
            <w:tcBorders/>
            <w:shd w:fill="F7F7F7"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(10)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6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delle Sans;sans-serif" w:hAnsi="Adelle Sans;sans-serif"/>
                <w:b w:val="false"/>
                <w:color w:val="000000"/>
                <w:sz w:val="18"/>
              </w:rPr>
            </w:pPr>
            <w:r>
              <w:rPr>
                <w:rFonts w:ascii="Adelle Sans;sans-serif" w:hAnsi="Adelle Sans;sans-serif"/>
                <w:b w:val="false"/>
                <w:color w:val="000000"/>
                <w:sz w:val="18"/>
              </w:rPr>
              <w:t>Purchases of marketable securities</w:t>
            </w:r>
          </w:p>
        </w:tc>
        <w:tc>
          <w:tcPr>
            <w:tcW w:w="8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(654)</w:t>
            </w:r>
          </w:p>
        </w:tc>
        <w:tc>
          <w:tcPr>
            <w:tcW w:w="6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(1,464)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(1,497)</w:t>
            </w:r>
          </w:p>
        </w:tc>
        <w:tc>
          <w:tcPr>
            <w:tcW w:w="6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(3,182)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616" w:type="dxa"/>
            <w:gridSpan w:val="3"/>
            <w:tcBorders/>
            <w:shd w:fill="F7F7F7" w:val="clear"/>
            <w:tcMar>
              <w:top w:w="0" w:type="dxa"/>
              <w:left w:w="0" w:type="dxa"/>
              <w:bottom w:w="0" w:type="dxa"/>
              <w:right w:w="0" w:type="dxa"/>
            </w:tcMar>
            <w:vAlign w:val="center"/>
          </w:tcPr>
          <w:p>
            <w:pPr>
              <w:pStyle w:val="TableContents"/>
              <w:bidi w:val="0"/>
              <w:spacing w:lineRule="auto" w:line="240" w:before="0" w:after="283"/>
              <w:jc w:val="left"/>
              <w:rPr>
                <w:rFonts w:ascii="Adelle Sans;sans-serif" w:hAnsi="Adelle Sans;sans-serif"/>
                <w:b w:val="false"/>
                <w:color w:val="000000"/>
                <w:sz w:val="18"/>
              </w:rPr>
            </w:pPr>
            <w:r>
              <w:rPr>
                <w:rFonts w:ascii="Adelle Sans;sans-serif" w:hAnsi="Adelle Sans;sans-serif"/>
                <w:b w:val="false"/>
                <w:color w:val="000000"/>
                <w:sz w:val="18"/>
              </w:rPr>
              <w:t>Maturities of marketable securities</w:t>
            </w:r>
          </w:p>
        </w:tc>
        <w:tc>
          <w:tcPr>
            <w:tcW w:w="883" w:type="dxa"/>
            <w:gridSpan w:val="3"/>
            <w:tcBorders/>
            <w:shd w:fill="F7F7F7"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1,450</w:t>
            </w:r>
          </w:p>
        </w:tc>
        <w:tc>
          <w:tcPr>
            <w:tcW w:w="690"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3"/>
            <w:tcBorders/>
            <w:shd w:fill="F7F7F7"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1,464</w:t>
            </w:r>
          </w:p>
        </w:tc>
        <w:tc>
          <w:tcPr>
            <w:tcW w:w="327"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3"/>
            <w:tcBorders/>
            <w:shd w:fill="F7F7F7"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2,913</w:t>
            </w:r>
          </w:p>
        </w:tc>
        <w:tc>
          <w:tcPr>
            <w:tcW w:w="645"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3"/>
            <w:tcBorders/>
            <w:shd w:fill="F7F7F7"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2,795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61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delle Sans;sans-serif" w:hAnsi="Adelle Sans;sans-serif"/>
                <w:b w:val="false"/>
                <w:color w:val="000000"/>
                <w:sz w:val="18"/>
              </w:rPr>
              <w:t>Purchases and originations of loans and merchant cash advances</w:t>
            </w:r>
            <w:r>
              <w:rPr>
                <w:rFonts w:ascii="Adelle Sans;sans-serif" w:hAnsi="Adelle Sans;sans-serif"/>
                <w:b w:val="false"/>
                <w:color w:val="000000"/>
                <w:sz w:val="12"/>
              </w:rPr>
              <w:t>(1)</w:t>
            </w:r>
          </w:p>
        </w:tc>
        <w:tc>
          <w:tcPr>
            <w:tcW w:w="8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(1,584)</w:t>
            </w:r>
          </w:p>
        </w:tc>
        <w:tc>
          <w:tcPr>
            <w:tcW w:w="6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(944)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(2,933)</w:t>
            </w:r>
          </w:p>
        </w:tc>
        <w:tc>
          <w:tcPr>
            <w:tcW w:w="6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(1,749)</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616" w:type="dxa"/>
            <w:gridSpan w:val="3"/>
            <w:tcBorders/>
            <w:shd w:fill="F7F7F7" w:val="clear"/>
            <w:tcMar>
              <w:top w:w="0" w:type="dxa"/>
              <w:left w:w="0" w:type="dxa"/>
              <w:bottom w:w="0" w:type="dxa"/>
              <w:right w:w="0" w:type="dxa"/>
            </w:tcMar>
            <w:vAlign w:val="center"/>
          </w:tcPr>
          <w:p>
            <w:pPr>
              <w:pStyle w:val="TableContents"/>
              <w:bidi w:val="0"/>
              <w:spacing w:lineRule="auto" w:line="240" w:before="0" w:after="0"/>
              <w:jc w:val="left"/>
              <w:rPr/>
            </w:pPr>
            <w:r>
              <w:rPr>
                <w:rFonts w:ascii="Adelle Sans;sans-serif" w:hAnsi="Adelle Sans;sans-serif"/>
                <w:b w:val="false"/>
                <w:color w:val="000000"/>
                <w:sz w:val="18"/>
              </w:rPr>
              <w:t>Repayments and sales of loans and merchant cash advances</w:t>
            </w:r>
            <w:r>
              <w:rPr>
                <w:rFonts w:ascii="Adelle Sans;sans-serif" w:hAnsi="Adelle Sans;sans-serif"/>
                <w:b w:val="false"/>
                <w:color w:val="000000"/>
                <w:sz w:val="12"/>
              </w:rPr>
              <w:t>(1)</w:t>
            </w:r>
          </w:p>
        </w:tc>
        <w:tc>
          <w:tcPr>
            <w:tcW w:w="883" w:type="dxa"/>
            <w:gridSpan w:val="3"/>
            <w:tcBorders/>
            <w:shd w:fill="F7F7F7"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1,417</w:t>
            </w:r>
          </w:p>
        </w:tc>
        <w:tc>
          <w:tcPr>
            <w:tcW w:w="690"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3"/>
            <w:tcBorders/>
            <w:shd w:fill="F7F7F7"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767</w:t>
            </w:r>
          </w:p>
        </w:tc>
        <w:tc>
          <w:tcPr>
            <w:tcW w:w="327"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3"/>
            <w:tcBorders/>
            <w:shd w:fill="F7F7F7"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2,460</w:t>
            </w:r>
          </w:p>
        </w:tc>
        <w:tc>
          <w:tcPr>
            <w:tcW w:w="645"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3"/>
            <w:tcBorders/>
            <w:shd w:fill="F7F7F7"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1,404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6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delle Sans;sans-serif" w:hAnsi="Adelle Sans;sans-serif"/>
                <w:b w:val="false"/>
                <w:color w:val="000000"/>
                <w:sz w:val="18"/>
              </w:rPr>
            </w:pPr>
            <w:r>
              <w:rPr>
                <w:rFonts w:ascii="Adelle Sans;sans-serif" w:hAnsi="Adelle Sans;sans-serif"/>
                <w:b w:val="false"/>
                <w:color w:val="000000"/>
                <w:sz w:val="18"/>
              </w:rPr>
              <w:t>Purchases of equity and other investments</w:t>
            </w:r>
          </w:p>
        </w:tc>
        <w:tc>
          <w:tcPr>
            <w:tcW w:w="8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(55)</w:t>
            </w:r>
          </w:p>
        </w:tc>
        <w:tc>
          <w:tcPr>
            <w:tcW w:w="6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(71)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(56)</w:t>
            </w:r>
          </w:p>
        </w:tc>
        <w:tc>
          <w:tcPr>
            <w:tcW w:w="6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(75)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616" w:type="dxa"/>
            <w:gridSpan w:val="3"/>
            <w:tcBorders/>
            <w:shd w:fill="F7F7F7" w:val="clear"/>
            <w:tcMar>
              <w:top w:w="0" w:type="dxa"/>
              <w:left w:w="0" w:type="dxa"/>
              <w:bottom w:w="0" w:type="dxa"/>
              <w:right w:w="0" w:type="dxa"/>
            </w:tcMar>
            <w:vAlign w:val="center"/>
          </w:tcPr>
          <w:p>
            <w:pPr>
              <w:pStyle w:val="TableContents"/>
              <w:bidi w:val="0"/>
              <w:spacing w:lineRule="auto" w:line="240" w:before="0" w:after="283"/>
              <w:jc w:val="left"/>
              <w:rPr>
                <w:rFonts w:ascii="Adelle Sans;sans-serif" w:hAnsi="Adelle Sans;sans-serif"/>
                <w:b w:val="false"/>
                <w:color w:val="000000"/>
                <w:sz w:val="18"/>
              </w:rPr>
            </w:pPr>
            <w:r>
              <w:rPr>
                <w:rFonts w:ascii="Adelle Sans;sans-serif" w:hAnsi="Adelle Sans;sans-serif"/>
                <w:b w:val="false"/>
                <w:color w:val="000000"/>
                <w:sz w:val="18"/>
              </w:rPr>
              <w:t>Acquisition of businesses, net of cash acquired</w:t>
            </w:r>
          </w:p>
        </w:tc>
        <w:tc>
          <w:tcPr>
            <w:tcW w:w="883" w:type="dxa"/>
            <w:gridSpan w:val="3"/>
            <w:tcBorders/>
            <w:shd w:fill="F7F7F7"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690"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3"/>
            <w:tcBorders/>
            <w:shd w:fill="F7F7F7"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3"/>
            <w:tcBorders/>
            <w:shd w:fill="F7F7F7"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645"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3"/>
            <w:tcBorders/>
            <w:shd w:fill="F7F7F7"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(56)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616" w:type="dxa"/>
            <w:gridSpan w:val="3"/>
            <w:tcBorders/>
            <w:vAlign w:val="center"/>
          </w:tcPr>
          <w:p>
            <w:pPr>
              <w:pStyle w:val="TableContents"/>
              <w:bidi w:val="0"/>
              <w:spacing w:before="0" w:after="283"/>
              <w:jc w:val="left"/>
              <w:rPr>
                <w:sz w:val="4"/>
                <w:szCs w:val="4"/>
              </w:rPr>
            </w:pPr>
            <w:r>
              <w:rPr>
                <w:sz w:val="4"/>
                <w:szCs w:val="4"/>
              </w:rPr>
            </w:r>
          </w:p>
        </w:tc>
        <w:tc>
          <w:tcPr>
            <w:tcW w:w="883" w:type="dxa"/>
            <w:gridSpan w:val="3"/>
            <w:tcBorders/>
            <w:vAlign w:val="center"/>
          </w:tcPr>
          <w:p>
            <w:pPr>
              <w:pStyle w:val="TableContents"/>
              <w:bidi w:val="0"/>
              <w:spacing w:before="0" w:after="283"/>
              <w:jc w:val="left"/>
              <w:rPr>
                <w:sz w:val="4"/>
                <w:szCs w:val="4"/>
              </w:rPr>
            </w:pPr>
            <w:r>
              <w:rPr>
                <w:sz w:val="4"/>
                <w:szCs w:val="4"/>
              </w:rPr>
            </w:r>
          </w:p>
        </w:tc>
        <w:tc>
          <w:tcPr>
            <w:tcW w:w="690" w:type="dxa"/>
            <w:gridSpan w:val="3"/>
            <w:tcBorders/>
            <w:vAlign w:val="center"/>
          </w:tcPr>
          <w:p>
            <w:pPr>
              <w:pStyle w:val="TableContents"/>
              <w:bidi w:val="0"/>
              <w:spacing w:before="0" w:after="283"/>
              <w:jc w:val="left"/>
              <w:rPr>
                <w:sz w:val="4"/>
                <w:szCs w:val="4"/>
              </w:rPr>
            </w:pPr>
            <w:r>
              <w:rPr>
                <w:sz w:val="4"/>
                <w:szCs w:val="4"/>
              </w:rPr>
            </w:r>
          </w:p>
        </w:tc>
        <w:tc>
          <w:tcPr>
            <w:tcW w:w="8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7" w:type="dxa"/>
            <w:gridSpan w:val="3"/>
            <w:tcBorders/>
            <w:vAlign w:val="center"/>
          </w:tcPr>
          <w:p>
            <w:pPr>
              <w:pStyle w:val="TableContents"/>
              <w:bidi w:val="0"/>
              <w:spacing w:before="0" w:after="283"/>
              <w:jc w:val="left"/>
              <w:rPr>
                <w:sz w:val="4"/>
                <w:szCs w:val="4"/>
              </w:rPr>
            </w:pPr>
            <w:r>
              <w:rPr>
                <w:sz w:val="4"/>
                <w:szCs w:val="4"/>
              </w:rPr>
            </w:r>
          </w:p>
        </w:tc>
        <w:tc>
          <w:tcPr>
            <w:tcW w:w="645" w:type="dxa"/>
            <w:gridSpan w:val="3"/>
            <w:tcBorders/>
            <w:vAlign w:val="center"/>
          </w:tcPr>
          <w:p>
            <w:pPr>
              <w:pStyle w:val="TableContents"/>
              <w:bidi w:val="0"/>
              <w:spacing w:before="0" w:after="283"/>
              <w:jc w:val="left"/>
              <w:rPr>
                <w:sz w:val="4"/>
                <w:szCs w:val="4"/>
              </w:rPr>
            </w:pPr>
            <w:r>
              <w:rPr>
                <w:sz w:val="4"/>
                <w:szCs w:val="4"/>
              </w:rPr>
            </w:r>
          </w:p>
        </w:tc>
        <w:tc>
          <w:tcPr>
            <w:tcW w:w="83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6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delle Sans;sans-serif" w:hAnsi="Adelle Sans;sans-serif"/>
                <w:b w:val="false"/>
                <w:color w:val="000000"/>
                <w:sz w:val="18"/>
              </w:rPr>
            </w:pPr>
            <w:r>
              <w:rPr>
                <w:rFonts w:ascii="Adelle Sans;sans-serif" w:hAnsi="Adelle Sans;sans-serif"/>
                <w:b w:val="false"/>
                <w:color w:val="000000"/>
                <w:sz w:val="18"/>
              </w:rPr>
              <w:t>Other</w:t>
            </w:r>
          </w:p>
        </w:tc>
        <w:tc>
          <w:tcPr>
            <w:tcW w:w="8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1</w:t>
            </w:r>
          </w:p>
        </w:tc>
        <w:tc>
          <w:tcPr>
            <w:tcW w:w="6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3</w:t>
            </w:r>
          </w:p>
        </w:tc>
        <w:tc>
          <w:tcPr>
            <w:tcW w:w="6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616" w:type="dxa"/>
            <w:gridSpan w:val="3"/>
            <w:tcBorders/>
            <w:vAlign w:val="center"/>
          </w:tcPr>
          <w:p>
            <w:pPr>
              <w:pStyle w:val="TableContents"/>
              <w:bidi w:val="0"/>
              <w:spacing w:before="0" w:after="283"/>
              <w:jc w:val="left"/>
              <w:rPr>
                <w:sz w:val="4"/>
                <w:szCs w:val="4"/>
              </w:rPr>
            </w:pPr>
            <w:r>
              <w:rPr>
                <w:sz w:val="4"/>
                <w:szCs w:val="4"/>
              </w:rPr>
            </w:r>
          </w:p>
        </w:tc>
        <w:tc>
          <w:tcPr>
            <w:tcW w:w="883" w:type="dxa"/>
            <w:gridSpan w:val="3"/>
            <w:tcBorders/>
            <w:vAlign w:val="center"/>
          </w:tcPr>
          <w:p>
            <w:pPr>
              <w:pStyle w:val="TableContents"/>
              <w:bidi w:val="0"/>
              <w:spacing w:before="0" w:after="283"/>
              <w:jc w:val="left"/>
              <w:rPr>
                <w:sz w:val="4"/>
                <w:szCs w:val="4"/>
              </w:rPr>
            </w:pPr>
            <w:r>
              <w:rPr>
                <w:sz w:val="4"/>
                <w:szCs w:val="4"/>
              </w:rPr>
            </w:r>
          </w:p>
        </w:tc>
        <w:tc>
          <w:tcPr>
            <w:tcW w:w="690" w:type="dxa"/>
            <w:gridSpan w:val="3"/>
            <w:tcBorders/>
            <w:vAlign w:val="center"/>
          </w:tcPr>
          <w:p>
            <w:pPr>
              <w:pStyle w:val="TableContents"/>
              <w:bidi w:val="0"/>
              <w:spacing w:before="0" w:after="283"/>
              <w:jc w:val="left"/>
              <w:rPr>
                <w:sz w:val="4"/>
                <w:szCs w:val="4"/>
              </w:rPr>
            </w:pPr>
            <w:r>
              <w:rPr>
                <w:sz w:val="4"/>
                <w:szCs w:val="4"/>
              </w:rPr>
            </w:r>
          </w:p>
        </w:tc>
        <w:tc>
          <w:tcPr>
            <w:tcW w:w="8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7" w:type="dxa"/>
            <w:gridSpan w:val="3"/>
            <w:tcBorders/>
            <w:vAlign w:val="center"/>
          </w:tcPr>
          <w:p>
            <w:pPr>
              <w:pStyle w:val="TableContents"/>
              <w:bidi w:val="0"/>
              <w:spacing w:before="0" w:after="283"/>
              <w:jc w:val="left"/>
              <w:rPr>
                <w:sz w:val="4"/>
                <w:szCs w:val="4"/>
              </w:rPr>
            </w:pPr>
            <w:r>
              <w:rPr>
                <w:sz w:val="4"/>
                <w:szCs w:val="4"/>
              </w:rPr>
            </w:r>
          </w:p>
        </w:tc>
        <w:tc>
          <w:tcPr>
            <w:tcW w:w="645" w:type="dxa"/>
            <w:gridSpan w:val="3"/>
            <w:tcBorders/>
            <w:vAlign w:val="center"/>
          </w:tcPr>
          <w:p>
            <w:pPr>
              <w:pStyle w:val="TableContents"/>
              <w:bidi w:val="0"/>
              <w:spacing w:before="0" w:after="283"/>
              <w:jc w:val="left"/>
              <w:rPr>
                <w:sz w:val="4"/>
                <w:szCs w:val="4"/>
              </w:rPr>
            </w:pPr>
            <w:r>
              <w:rPr>
                <w:sz w:val="4"/>
                <w:szCs w:val="4"/>
              </w:rPr>
            </w:r>
          </w:p>
        </w:tc>
        <w:tc>
          <w:tcPr>
            <w:tcW w:w="83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616" w:type="dxa"/>
            <w:gridSpan w:val="3"/>
            <w:tcBorders/>
            <w:shd w:fill="F7F7F7" w:val="clear"/>
            <w:tcMar>
              <w:top w:w="0" w:type="dxa"/>
              <w:left w:w="0" w:type="dxa"/>
              <w:bottom w:w="0" w:type="dxa"/>
              <w:right w:w="0" w:type="dxa"/>
            </w:tcMar>
            <w:vAlign w:val="center"/>
          </w:tcPr>
          <w:p>
            <w:pPr>
              <w:pStyle w:val="TableContents"/>
              <w:bidi w:val="0"/>
              <w:spacing w:lineRule="auto" w:line="240" w:before="0" w:after="283"/>
              <w:jc w:val="left"/>
              <w:rPr>
                <w:rFonts w:ascii="Adelle Sans;sans-serif" w:hAnsi="Adelle Sans;sans-serif"/>
                <w:b/>
                <w:color w:val="000000"/>
                <w:sz w:val="18"/>
              </w:rPr>
            </w:pPr>
            <w:r>
              <w:rPr>
                <w:rFonts w:ascii="Adelle Sans;sans-serif" w:hAnsi="Adelle Sans;sans-serif"/>
                <w:b/>
                <w:color w:val="000000"/>
                <w:sz w:val="18"/>
              </w:rPr>
              <w:t>Net cash provided by (used in) investing activities</w:t>
            </w:r>
          </w:p>
        </w:tc>
        <w:tc>
          <w:tcPr>
            <w:tcW w:w="883" w:type="dxa"/>
            <w:gridSpan w:val="3"/>
            <w:tcBorders>
              <w:top w:val="single" w:sz="4" w:space="0" w:color="000000"/>
            </w:tcBorders>
            <w:shd w:fill="F7F7F7" w:val="clear"/>
            <w:tcMar>
              <w:top w:w="52"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571</w:t>
            </w:r>
          </w:p>
        </w:tc>
        <w:tc>
          <w:tcPr>
            <w:tcW w:w="690" w:type="dxa"/>
            <w:gridSpan w:val="3"/>
            <w:tcBorders>
              <w:top w:val="single" w:sz="4" w:space="0" w:color="000000"/>
            </w:tcBorders>
            <w:shd w:fill="F7F7F7"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3"/>
            <w:tcBorders>
              <w:top w:val="single" w:sz="4" w:space="0" w:color="000000"/>
            </w:tcBorders>
            <w:shd w:fill="F7F7F7" w:val="clear"/>
            <w:tcMar>
              <w:top w:w="52"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(252)</w:t>
            </w:r>
          </w:p>
        </w:tc>
        <w:tc>
          <w:tcPr>
            <w:tcW w:w="327"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3"/>
            <w:tcBorders>
              <w:top w:val="single" w:sz="4" w:space="0" w:color="000000"/>
            </w:tcBorders>
            <w:shd w:fill="F7F7F7" w:val="clear"/>
            <w:tcMar>
              <w:top w:w="52"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881</w:t>
            </w:r>
          </w:p>
        </w:tc>
        <w:tc>
          <w:tcPr>
            <w:tcW w:w="645" w:type="dxa"/>
            <w:gridSpan w:val="3"/>
            <w:tcBorders>
              <w:top w:val="single" w:sz="4" w:space="0" w:color="000000"/>
            </w:tcBorders>
            <w:shd w:fill="F7F7F7"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3"/>
            <w:tcBorders>
              <w:top w:val="single" w:sz="4" w:space="0" w:color="000000"/>
            </w:tcBorders>
            <w:shd w:fill="F7F7F7" w:val="clear"/>
            <w:tcMar>
              <w:top w:w="52"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(871)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61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delle Sans;sans-serif" w:hAnsi="Adelle Sans;sans-serif"/>
                <w:b/>
                <w:color w:val="000000"/>
                <w:sz w:val="18"/>
              </w:rPr>
            </w:pPr>
            <w:r>
              <w:rPr>
                <w:rFonts w:ascii="Adelle Sans;sans-serif" w:hAnsi="Adelle Sans;sans-serif"/>
                <w:b/>
                <w:color w:val="000000"/>
                <w:sz w:val="18"/>
              </w:rPr>
              <w:t>Cash flows from financing activities</w:t>
            </w:r>
          </w:p>
        </w:tc>
        <w:tc>
          <w:tcPr>
            <w:tcW w:w="88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616" w:type="dxa"/>
            <w:gridSpan w:val="3"/>
            <w:tcBorders/>
            <w:vAlign w:val="center"/>
          </w:tcPr>
          <w:p>
            <w:pPr>
              <w:pStyle w:val="TableContents"/>
              <w:bidi w:val="0"/>
              <w:spacing w:before="0" w:after="283"/>
              <w:jc w:val="left"/>
              <w:rPr>
                <w:sz w:val="4"/>
                <w:szCs w:val="4"/>
              </w:rPr>
            </w:pPr>
            <w:r>
              <w:rPr>
                <w:sz w:val="4"/>
                <w:szCs w:val="4"/>
              </w:rPr>
            </w:r>
          </w:p>
        </w:tc>
        <w:tc>
          <w:tcPr>
            <w:tcW w:w="883" w:type="dxa"/>
            <w:gridSpan w:val="3"/>
            <w:tcBorders/>
            <w:vAlign w:val="center"/>
          </w:tcPr>
          <w:p>
            <w:pPr>
              <w:pStyle w:val="TableContents"/>
              <w:bidi w:val="0"/>
              <w:spacing w:before="0" w:after="283"/>
              <w:jc w:val="left"/>
              <w:rPr>
                <w:sz w:val="4"/>
                <w:szCs w:val="4"/>
              </w:rPr>
            </w:pPr>
            <w:r>
              <w:rPr>
                <w:sz w:val="4"/>
                <w:szCs w:val="4"/>
              </w:rPr>
            </w:r>
          </w:p>
        </w:tc>
        <w:tc>
          <w:tcPr>
            <w:tcW w:w="690" w:type="dxa"/>
            <w:gridSpan w:val="3"/>
            <w:tcBorders/>
            <w:vAlign w:val="center"/>
          </w:tcPr>
          <w:p>
            <w:pPr>
              <w:pStyle w:val="TableContents"/>
              <w:bidi w:val="0"/>
              <w:spacing w:before="0" w:after="283"/>
              <w:jc w:val="left"/>
              <w:rPr>
                <w:sz w:val="4"/>
                <w:szCs w:val="4"/>
              </w:rPr>
            </w:pPr>
            <w:r>
              <w:rPr>
                <w:sz w:val="4"/>
                <w:szCs w:val="4"/>
              </w:rPr>
            </w:r>
          </w:p>
        </w:tc>
        <w:tc>
          <w:tcPr>
            <w:tcW w:w="8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7" w:type="dxa"/>
            <w:gridSpan w:val="3"/>
            <w:tcBorders/>
            <w:vAlign w:val="center"/>
          </w:tcPr>
          <w:p>
            <w:pPr>
              <w:pStyle w:val="TableContents"/>
              <w:bidi w:val="0"/>
              <w:spacing w:before="0" w:after="283"/>
              <w:jc w:val="left"/>
              <w:rPr>
                <w:sz w:val="4"/>
                <w:szCs w:val="4"/>
              </w:rPr>
            </w:pPr>
            <w:r>
              <w:rPr>
                <w:sz w:val="4"/>
                <w:szCs w:val="4"/>
              </w:rPr>
            </w:r>
          </w:p>
        </w:tc>
        <w:tc>
          <w:tcPr>
            <w:tcW w:w="645" w:type="dxa"/>
            <w:gridSpan w:val="3"/>
            <w:tcBorders/>
            <w:vAlign w:val="center"/>
          </w:tcPr>
          <w:p>
            <w:pPr>
              <w:pStyle w:val="TableContents"/>
              <w:bidi w:val="0"/>
              <w:spacing w:before="0" w:after="283"/>
              <w:jc w:val="left"/>
              <w:rPr>
                <w:sz w:val="4"/>
                <w:szCs w:val="4"/>
              </w:rPr>
            </w:pPr>
            <w:r>
              <w:rPr>
                <w:sz w:val="4"/>
                <w:szCs w:val="4"/>
              </w:rPr>
            </w:r>
          </w:p>
        </w:tc>
        <w:tc>
          <w:tcPr>
            <w:tcW w:w="83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616" w:type="dxa"/>
            <w:gridSpan w:val="3"/>
            <w:tcBorders/>
            <w:shd w:fill="F7F7F7" w:val="clear"/>
            <w:tcMar>
              <w:top w:w="0" w:type="dxa"/>
              <w:left w:w="0" w:type="dxa"/>
              <w:bottom w:w="0" w:type="dxa"/>
              <w:right w:w="0" w:type="dxa"/>
            </w:tcMar>
            <w:vAlign w:val="center"/>
          </w:tcPr>
          <w:p>
            <w:pPr>
              <w:pStyle w:val="TableContents"/>
              <w:bidi w:val="0"/>
              <w:spacing w:lineRule="auto" w:line="240" w:before="0" w:after="283"/>
              <w:jc w:val="left"/>
              <w:rPr>
                <w:rFonts w:ascii="Adelle Sans;sans-serif" w:hAnsi="Adelle Sans;sans-serif"/>
                <w:b w:val="false"/>
                <w:color w:val="000000"/>
                <w:sz w:val="18"/>
              </w:rPr>
            </w:pPr>
            <w:r>
              <w:rPr>
                <w:rFonts w:ascii="Adelle Sans;sans-serif" w:hAnsi="Adelle Sans;sans-serif"/>
                <w:b w:val="false"/>
                <w:color w:val="000000"/>
                <w:sz w:val="18"/>
              </w:rPr>
              <w:t>Proceeds from the exercise of stock options</w:t>
            </w:r>
          </w:p>
        </w:tc>
        <w:tc>
          <w:tcPr>
            <w:tcW w:w="883" w:type="dxa"/>
            <w:gridSpan w:val="3"/>
            <w:tcBorders/>
            <w:shd w:fill="F7F7F7"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3</w:t>
            </w:r>
          </w:p>
        </w:tc>
        <w:tc>
          <w:tcPr>
            <w:tcW w:w="690"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3"/>
            <w:tcBorders/>
            <w:shd w:fill="F7F7F7"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44</w:t>
            </w:r>
          </w:p>
        </w:tc>
        <w:tc>
          <w:tcPr>
            <w:tcW w:w="327"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3"/>
            <w:tcBorders/>
            <w:shd w:fill="F7F7F7"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9</w:t>
            </w:r>
          </w:p>
        </w:tc>
        <w:tc>
          <w:tcPr>
            <w:tcW w:w="645"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3"/>
            <w:tcBorders/>
            <w:shd w:fill="F7F7F7"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103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6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delle Sans;sans-serif" w:hAnsi="Adelle Sans;sans-serif"/>
                <w:b w:val="false"/>
                <w:color w:val="000000"/>
                <w:sz w:val="18"/>
              </w:rPr>
            </w:pPr>
            <w:r>
              <w:rPr>
                <w:rFonts w:ascii="Adelle Sans;sans-serif" w:hAnsi="Adelle Sans;sans-serif"/>
                <w:b w:val="false"/>
                <w:color w:val="000000"/>
                <w:sz w:val="18"/>
              </w:rPr>
              <w:t>Repurchases of common stock</w:t>
            </w:r>
          </w:p>
        </w:tc>
        <w:tc>
          <w:tcPr>
            <w:tcW w:w="8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(1,420)</w:t>
            </w:r>
          </w:p>
        </w:tc>
        <w:tc>
          <w:tcPr>
            <w:tcW w:w="6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(1,911)</w:t>
            </w:r>
          </w:p>
        </w:tc>
        <w:tc>
          <w:tcPr>
            <w:tcW w:w="6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616" w:type="dxa"/>
            <w:gridSpan w:val="3"/>
            <w:tcBorders/>
            <w:vAlign w:val="center"/>
          </w:tcPr>
          <w:p>
            <w:pPr>
              <w:pStyle w:val="TableContents"/>
              <w:bidi w:val="0"/>
              <w:spacing w:before="0" w:after="283"/>
              <w:jc w:val="left"/>
              <w:rPr>
                <w:sz w:val="4"/>
                <w:szCs w:val="4"/>
              </w:rPr>
            </w:pPr>
            <w:r>
              <w:rPr>
                <w:sz w:val="4"/>
                <w:szCs w:val="4"/>
              </w:rPr>
            </w:r>
          </w:p>
        </w:tc>
        <w:tc>
          <w:tcPr>
            <w:tcW w:w="883" w:type="dxa"/>
            <w:gridSpan w:val="3"/>
            <w:tcBorders/>
            <w:vAlign w:val="center"/>
          </w:tcPr>
          <w:p>
            <w:pPr>
              <w:pStyle w:val="TableContents"/>
              <w:bidi w:val="0"/>
              <w:spacing w:before="0" w:after="283"/>
              <w:jc w:val="left"/>
              <w:rPr>
                <w:sz w:val="4"/>
                <w:szCs w:val="4"/>
              </w:rPr>
            </w:pPr>
            <w:r>
              <w:rPr>
                <w:sz w:val="4"/>
                <w:szCs w:val="4"/>
              </w:rPr>
            </w:r>
          </w:p>
        </w:tc>
        <w:tc>
          <w:tcPr>
            <w:tcW w:w="690" w:type="dxa"/>
            <w:gridSpan w:val="3"/>
            <w:tcBorders/>
            <w:vAlign w:val="center"/>
          </w:tcPr>
          <w:p>
            <w:pPr>
              <w:pStyle w:val="TableContents"/>
              <w:bidi w:val="0"/>
              <w:spacing w:before="0" w:after="283"/>
              <w:jc w:val="left"/>
              <w:rPr>
                <w:sz w:val="4"/>
                <w:szCs w:val="4"/>
              </w:rPr>
            </w:pPr>
            <w:r>
              <w:rPr>
                <w:sz w:val="4"/>
                <w:szCs w:val="4"/>
              </w:rPr>
            </w:r>
          </w:p>
        </w:tc>
        <w:tc>
          <w:tcPr>
            <w:tcW w:w="8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7" w:type="dxa"/>
            <w:gridSpan w:val="3"/>
            <w:tcBorders/>
            <w:vAlign w:val="center"/>
          </w:tcPr>
          <w:p>
            <w:pPr>
              <w:pStyle w:val="TableContents"/>
              <w:bidi w:val="0"/>
              <w:spacing w:before="0" w:after="283"/>
              <w:jc w:val="left"/>
              <w:rPr>
                <w:sz w:val="4"/>
                <w:szCs w:val="4"/>
              </w:rPr>
            </w:pPr>
            <w:r>
              <w:rPr>
                <w:sz w:val="4"/>
                <w:szCs w:val="4"/>
              </w:rPr>
            </w:r>
          </w:p>
        </w:tc>
        <w:tc>
          <w:tcPr>
            <w:tcW w:w="645" w:type="dxa"/>
            <w:gridSpan w:val="3"/>
            <w:tcBorders/>
            <w:vAlign w:val="center"/>
          </w:tcPr>
          <w:p>
            <w:pPr>
              <w:pStyle w:val="TableContents"/>
              <w:bidi w:val="0"/>
              <w:spacing w:before="0" w:after="283"/>
              <w:jc w:val="left"/>
              <w:rPr>
                <w:sz w:val="4"/>
                <w:szCs w:val="4"/>
              </w:rPr>
            </w:pPr>
            <w:r>
              <w:rPr>
                <w:sz w:val="4"/>
                <w:szCs w:val="4"/>
              </w:rPr>
            </w:r>
          </w:p>
        </w:tc>
        <w:tc>
          <w:tcPr>
            <w:tcW w:w="83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616" w:type="dxa"/>
            <w:gridSpan w:val="3"/>
            <w:tcBorders/>
            <w:vAlign w:val="center"/>
          </w:tcPr>
          <w:p>
            <w:pPr>
              <w:pStyle w:val="TableContents"/>
              <w:bidi w:val="0"/>
              <w:spacing w:before="0" w:after="283"/>
              <w:jc w:val="left"/>
              <w:rPr>
                <w:sz w:val="4"/>
                <w:szCs w:val="4"/>
              </w:rPr>
            </w:pPr>
            <w:r>
              <w:rPr>
                <w:sz w:val="4"/>
                <w:szCs w:val="4"/>
              </w:rPr>
            </w:r>
          </w:p>
        </w:tc>
        <w:tc>
          <w:tcPr>
            <w:tcW w:w="883" w:type="dxa"/>
            <w:gridSpan w:val="3"/>
            <w:tcBorders/>
            <w:vAlign w:val="center"/>
          </w:tcPr>
          <w:p>
            <w:pPr>
              <w:pStyle w:val="TableContents"/>
              <w:bidi w:val="0"/>
              <w:spacing w:before="0" w:after="283"/>
              <w:jc w:val="left"/>
              <w:rPr>
                <w:sz w:val="4"/>
                <w:szCs w:val="4"/>
              </w:rPr>
            </w:pPr>
            <w:r>
              <w:rPr>
                <w:sz w:val="4"/>
                <w:szCs w:val="4"/>
              </w:rPr>
            </w:r>
          </w:p>
        </w:tc>
        <w:tc>
          <w:tcPr>
            <w:tcW w:w="690" w:type="dxa"/>
            <w:gridSpan w:val="3"/>
            <w:tcBorders/>
            <w:vAlign w:val="center"/>
          </w:tcPr>
          <w:p>
            <w:pPr>
              <w:pStyle w:val="TableContents"/>
              <w:bidi w:val="0"/>
              <w:spacing w:before="0" w:after="283"/>
              <w:jc w:val="left"/>
              <w:rPr>
                <w:sz w:val="4"/>
                <w:szCs w:val="4"/>
              </w:rPr>
            </w:pPr>
            <w:r>
              <w:rPr>
                <w:sz w:val="4"/>
                <w:szCs w:val="4"/>
              </w:rPr>
            </w:r>
          </w:p>
        </w:tc>
        <w:tc>
          <w:tcPr>
            <w:tcW w:w="8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7" w:type="dxa"/>
            <w:gridSpan w:val="3"/>
            <w:tcBorders/>
            <w:vAlign w:val="center"/>
          </w:tcPr>
          <w:p>
            <w:pPr>
              <w:pStyle w:val="TableContents"/>
              <w:bidi w:val="0"/>
              <w:spacing w:before="0" w:after="283"/>
              <w:jc w:val="left"/>
              <w:rPr>
                <w:sz w:val="4"/>
                <w:szCs w:val="4"/>
              </w:rPr>
            </w:pPr>
            <w:r>
              <w:rPr>
                <w:sz w:val="4"/>
                <w:szCs w:val="4"/>
              </w:rPr>
            </w:r>
          </w:p>
        </w:tc>
        <w:tc>
          <w:tcPr>
            <w:tcW w:w="645" w:type="dxa"/>
            <w:gridSpan w:val="3"/>
            <w:tcBorders/>
            <w:vAlign w:val="center"/>
          </w:tcPr>
          <w:p>
            <w:pPr>
              <w:pStyle w:val="TableContents"/>
              <w:bidi w:val="0"/>
              <w:spacing w:before="0" w:after="283"/>
              <w:jc w:val="left"/>
              <w:rPr>
                <w:sz w:val="4"/>
                <w:szCs w:val="4"/>
              </w:rPr>
            </w:pPr>
            <w:r>
              <w:rPr>
                <w:sz w:val="4"/>
                <w:szCs w:val="4"/>
              </w:rPr>
            </w:r>
          </w:p>
        </w:tc>
        <w:tc>
          <w:tcPr>
            <w:tcW w:w="83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616" w:type="dxa"/>
            <w:gridSpan w:val="3"/>
            <w:tcBorders/>
            <w:shd w:fill="F7F7F7" w:val="clear"/>
            <w:tcMar>
              <w:top w:w="0" w:type="dxa"/>
              <w:left w:w="0" w:type="dxa"/>
              <w:bottom w:w="0" w:type="dxa"/>
              <w:right w:w="0" w:type="dxa"/>
            </w:tcMar>
            <w:vAlign w:val="center"/>
          </w:tcPr>
          <w:p>
            <w:pPr>
              <w:pStyle w:val="TableContents"/>
              <w:bidi w:val="0"/>
              <w:spacing w:lineRule="auto" w:line="240" w:before="0" w:after="283"/>
              <w:jc w:val="left"/>
              <w:rPr>
                <w:rFonts w:ascii="Adelle Sans;sans-serif" w:hAnsi="Adelle Sans;sans-serif"/>
                <w:b/>
                <w:color w:val="000000"/>
                <w:sz w:val="18"/>
              </w:rPr>
            </w:pPr>
            <w:r>
              <w:rPr>
                <w:rFonts w:ascii="Adelle Sans;sans-serif" w:hAnsi="Adelle Sans;sans-serif"/>
                <w:b/>
                <w:color w:val="000000"/>
                <w:sz w:val="18"/>
              </w:rPr>
              <w:t>Net cash (used in) provided by financing activities</w:t>
            </w:r>
          </w:p>
        </w:tc>
        <w:tc>
          <w:tcPr>
            <w:tcW w:w="883" w:type="dxa"/>
            <w:gridSpan w:val="3"/>
            <w:tcBorders>
              <w:top w:val="single" w:sz="4" w:space="0" w:color="000000"/>
            </w:tcBorders>
            <w:shd w:fill="F7F7F7" w:val="clear"/>
            <w:tcMar>
              <w:top w:w="52"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(1,417)</w:t>
            </w:r>
          </w:p>
        </w:tc>
        <w:tc>
          <w:tcPr>
            <w:tcW w:w="690" w:type="dxa"/>
            <w:gridSpan w:val="3"/>
            <w:tcBorders>
              <w:top w:val="single" w:sz="4" w:space="0" w:color="000000"/>
            </w:tcBorders>
            <w:shd w:fill="F7F7F7"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3"/>
            <w:tcBorders>
              <w:top w:val="single" w:sz="4" w:space="0" w:color="000000"/>
            </w:tcBorders>
            <w:shd w:fill="F7F7F7" w:val="clear"/>
            <w:tcMar>
              <w:top w:w="52"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44</w:t>
            </w:r>
          </w:p>
        </w:tc>
        <w:tc>
          <w:tcPr>
            <w:tcW w:w="327"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3"/>
            <w:tcBorders>
              <w:top w:val="single" w:sz="4" w:space="0" w:color="000000"/>
            </w:tcBorders>
            <w:shd w:fill="F7F7F7" w:val="clear"/>
            <w:tcMar>
              <w:top w:w="52"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(1,902)</w:t>
            </w:r>
          </w:p>
        </w:tc>
        <w:tc>
          <w:tcPr>
            <w:tcW w:w="645" w:type="dxa"/>
            <w:gridSpan w:val="3"/>
            <w:tcBorders>
              <w:top w:val="single" w:sz="4" w:space="0" w:color="000000"/>
            </w:tcBorders>
            <w:shd w:fill="F7F7F7"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3"/>
            <w:tcBorders>
              <w:top w:val="single" w:sz="4" w:space="0" w:color="000000"/>
            </w:tcBorders>
            <w:shd w:fill="F7F7F7" w:val="clear"/>
            <w:tcMar>
              <w:top w:w="52"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103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61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delle Sans;sans-serif" w:hAnsi="Adelle Sans;sans-serif"/>
                <w:b w:val="false"/>
                <w:color w:val="000000"/>
                <w:sz w:val="18"/>
              </w:rPr>
            </w:pPr>
            <w:r>
              <w:rPr>
                <w:rFonts w:ascii="Adelle Sans;sans-serif" w:hAnsi="Adelle Sans;sans-serif"/>
                <w:b w:val="false"/>
                <w:color w:val="000000"/>
                <w:sz w:val="18"/>
              </w:rPr>
              <w:t>Effect of foreign exchange on cash, cash equivalents and restricted cash</w:t>
            </w:r>
          </w:p>
        </w:tc>
        <w:tc>
          <w:tcPr>
            <w:tcW w:w="883"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(4)</w:t>
            </w:r>
          </w:p>
        </w:tc>
        <w:tc>
          <w:tcPr>
            <w:tcW w:w="69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13</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(7)</w:t>
            </w:r>
          </w:p>
        </w:tc>
        <w:tc>
          <w:tcPr>
            <w:tcW w:w="64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17</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616" w:type="dxa"/>
            <w:gridSpan w:val="3"/>
            <w:tcBorders/>
            <w:shd w:fill="F7F7F7" w:val="clear"/>
            <w:tcMar>
              <w:top w:w="0" w:type="dxa"/>
              <w:left w:w="0" w:type="dxa"/>
              <w:bottom w:w="0" w:type="dxa"/>
              <w:right w:w="0" w:type="dxa"/>
            </w:tcMar>
            <w:vAlign w:val="center"/>
          </w:tcPr>
          <w:p>
            <w:pPr>
              <w:pStyle w:val="TableContents"/>
              <w:bidi w:val="0"/>
              <w:spacing w:lineRule="auto" w:line="240" w:before="0" w:after="283"/>
              <w:jc w:val="left"/>
              <w:rPr>
                <w:rFonts w:ascii="Adelle Sans;sans-serif" w:hAnsi="Adelle Sans;sans-serif"/>
                <w:b/>
                <w:color w:val="000000"/>
                <w:sz w:val="18"/>
              </w:rPr>
            </w:pPr>
            <w:r>
              <w:rPr>
                <w:rFonts w:ascii="Adelle Sans;sans-serif" w:hAnsi="Adelle Sans;sans-serif"/>
                <w:b/>
                <w:color w:val="000000"/>
                <w:sz w:val="18"/>
              </w:rPr>
              <w:t>Net (decrease) increase in cash, cash equivalents and restricted cash</w:t>
            </w:r>
          </w:p>
        </w:tc>
        <w:tc>
          <w:tcPr>
            <w:tcW w:w="883" w:type="dxa"/>
            <w:gridSpan w:val="3"/>
            <w:tcBorders/>
            <w:shd w:fill="F7F7F7"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color w:val="000000"/>
                <w:sz w:val="18"/>
              </w:rPr>
            </w:pPr>
            <w:r>
              <w:rPr>
                <w:rFonts w:ascii="Adelle Sans;sans-serif" w:hAnsi="Adelle Sans;sans-serif"/>
                <w:b/>
                <w:color w:val="000000"/>
                <w:sz w:val="18"/>
              </w:rPr>
              <w:t>(192)</w:t>
            </w:r>
          </w:p>
        </w:tc>
        <w:tc>
          <w:tcPr>
            <w:tcW w:w="690"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3"/>
            <w:tcBorders/>
            <w:shd w:fill="F7F7F7"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color w:val="000000"/>
                <w:sz w:val="18"/>
              </w:rPr>
            </w:pPr>
            <w:r>
              <w:rPr>
                <w:rFonts w:ascii="Adelle Sans;sans-serif" w:hAnsi="Adelle Sans;sans-serif"/>
                <w:b/>
                <w:color w:val="000000"/>
                <w:sz w:val="18"/>
              </w:rPr>
              <w:t>233</w:t>
            </w:r>
          </w:p>
        </w:tc>
        <w:tc>
          <w:tcPr>
            <w:tcW w:w="327"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3"/>
            <w:tcBorders/>
            <w:shd w:fill="F7F7F7"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color w:val="000000"/>
                <w:sz w:val="18"/>
              </w:rPr>
            </w:pPr>
            <w:r>
              <w:rPr>
                <w:rFonts w:ascii="Adelle Sans;sans-serif" w:hAnsi="Adelle Sans;sans-serif"/>
                <w:b/>
                <w:color w:val="000000"/>
                <w:sz w:val="18"/>
              </w:rPr>
              <w:t>111</w:t>
            </w:r>
          </w:p>
        </w:tc>
        <w:tc>
          <w:tcPr>
            <w:tcW w:w="645"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3"/>
            <w:tcBorders/>
            <w:shd w:fill="F7F7F7"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color w:val="000000"/>
                <w:sz w:val="18"/>
              </w:rPr>
            </w:pPr>
            <w:r>
              <w:rPr>
                <w:rFonts w:ascii="Adelle Sans;sans-serif" w:hAnsi="Adelle Sans;sans-serif"/>
                <w:b/>
                <w:color w:val="000000"/>
                <w:sz w:val="18"/>
              </w:rPr>
              <w:t>44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6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delle Sans;sans-serif" w:hAnsi="Adelle Sans;sans-serif"/>
                <w:b w:val="false"/>
                <w:color w:val="000000"/>
                <w:sz w:val="18"/>
              </w:rPr>
            </w:pPr>
            <w:r>
              <w:rPr>
                <w:rFonts w:ascii="Adelle Sans;sans-serif" w:hAnsi="Adelle Sans;sans-serif"/>
                <w:b w:val="false"/>
                <w:color w:val="000000"/>
                <w:sz w:val="18"/>
              </w:rPr>
              <w:t>Cash, cash equivalents and restricted cash – beginning of period</w:t>
            </w:r>
          </w:p>
        </w:tc>
        <w:tc>
          <w:tcPr>
            <w:tcW w:w="8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1,848</w:t>
            </w:r>
          </w:p>
        </w:tc>
        <w:tc>
          <w:tcPr>
            <w:tcW w:w="6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1,309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1,545</w:t>
            </w:r>
          </w:p>
        </w:tc>
        <w:tc>
          <w:tcPr>
            <w:tcW w:w="6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1,498</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616" w:type="dxa"/>
            <w:gridSpan w:val="3"/>
            <w:tcBorders/>
            <w:shd w:fill="F7F7F7" w:val="clear"/>
            <w:tcMar>
              <w:top w:w="0" w:type="dxa"/>
              <w:left w:w="0" w:type="dxa"/>
              <w:bottom w:w="0" w:type="dxa"/>
              <w:right w:w="0" w:type="dxa"/>
            </w:tcMar>
            <w:vAlign w:val="center"/>
          </w:tcPr>
          <w:p>
            <w:pPr>
              <w:pStyle w:val="TableContents"/>
              <w:bidi w:val="0"/>
              <w:spacing w:lineRule="auto" w:line="240" w:before="0" w:after="283"/>
              <w:jc w:val="left"/>
              <w:rPr>
                <w:rFonts w:ascii="Adelle Sans;sans-serif" w:hAnsi="Adelle Sans;sans-serif"/>
                <w:b/>
                <w:color w:val="000000"/>
                <w:sz w:val="18"/>
              </w:rPr>
            </w:pPr>
            <w:r>
              <w:rPr>
                <w:rFonts w:ascii="Adelle Sans;sans-serif" w:hAnsi="Adelle Sans;sans-serif"/>
                <w:b/>
                <w:color w:val="000000"/>
                <w:sz w:val="18"/>
              </w:rPr>
              <w:t>Cash, cash equivalents and restricted cash – end of period</w:t>
            </w:r>
          </w:p>
        </w:tc>
        <w:tc>
          <w:tcPr>
            <w:tcW w:w="883" w:type="dxa"/>
            <w:gridSpan w:val="3"/>
            <w:tcBorders>
              <w:top w:val="single" w:sz="8" w:space="0" w:color="000000"/>
            </w:tcBorders>
            <w:shd w:fill="F7F7F7" w:val="clear"/>
            <w:tcMar>
              <w:top w:w="52"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color w:val="000000"/>
                <w:sz w:val="18"/>
              </w:rPr>
            </w:pPr>
            <w:r>
              <w:rPr>
                <w:rFonts w:ascii="Adelle Sans;sans-serif" w:hAnsi="Adelle Sans;sans-serif"/>
                <w:b/>
                <w:color w:val="000000"/>
                <w:sz w:val="18"/>
              </w:rPr>
              <w:t>1,656</w:t>
            </w:r>
          </w:p>
        </w:tc>
        <w:tc>
          <w:tcPr>
            <w:tcW w:w="690" w:type="dxa"/>
            <w:gridSpan w:val="3"/>
            <w:tcBorders>
              <w:top w:val="single" w:sz="8" w:space="0" w:color="000000"/>
            </w:tcBorders>
            <w:shd w:fill="F7F7F7"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3"/>
            <w:tcBorders>
              <w:top w:val="single" w:sz="8" w:space="0" w:color="000000"/>
            </w:tcBorders>
            <w:shd w:fill="F7F7F7" w:val="clear"/>
            <w:tcMar>
              <w:top w:w="52"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color w:val="000000"/>
                <w:sz w:val="18"/>
              </w:rPr>
            </w:pPr>
            <w:r>
              <w:rPr>
                <w:rFonts w:ascii="Adelle Sans;sans-serif" w:hAnsi="Adelle Sans;sans-serif"/>
                <w:b/>
                <w:color w:val="000000"/>
                <w:sz w:val="18"/>
              </w:rPr>
              <w:t>1,542</w:t>
            </w:r>
          </w:p>
        </w:tc>
        <w:tc>
          <w:tcPr>
            <w:tcW w:w="327"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3"/>
            <w:tcBorders>
              <w:top w:val="single" w:sz="8" w:space="0" w:color="000000"/>
            </w:tcBorders>
            <w:shd w:fill="F7F7F7" w:val="clear"/>
            <w:tcMar>
              <w:top w:w="52"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color w:val="000000"/>
                <w:sz w:val="18"/>
              </w:rPr>
            </w:pPr>
            <w:r>
              <w:rPr>
                <w:rFonts w:ascii="Adelle Sans;sans-serif" w:hAnsi="Adelle Sans;sans-serif"/>
                <w:b/>
                <w:color w:val="000000"/>
                <w:sz w:val="18"/>
              </w:rPr>
              <w:t>1,656</w:t>
            </w:r>
          </w:p>
        </w:tc>
        <w:tc>
          <w:tcPr>
            <w:tcW w:w="645" w:type="dxa"/>
            <w:gridSpan w:val="3"/>
            <w:tcBorders>
              <w:top w:val="single" w:sz="8" w:space="0" w:color="000000"/>
            </w:tcBorders>
            <w:shd w:fill="F7F7F7"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3"/>
            <w:tcBorders>
              <w:top w:val="single" w:sz="8" w:space="0" w:color="000000"/>
            </w:tcBorders>
            <w:shd w:fill="F7F7F7" w:val="clear"/>
            <w:tcMar>
              <w:top w:w="52"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color w:val="000000"/>
                <w:sz w:val="18"/>
              </w:rPr>
            </w:pPr>
            <w:r>
              <w:rPr>
                <w:rFonts w:ascii="Adelle Sans;sans-serif" w:hAnsi="Adelle Sans;sans-serif"/>
                <w:b/>
                <w:color w:val="000000"/>
                <w:sz w:val="18"/>
              </w:rPr>
              <w:t>1,542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61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616" w:type="dxa"/>
            <w:gridSpan w:val="3"/>
            <w:tcBorders/>
            <w:shd w:fill="F7F7F7" w:val="clear"/>
            <w:tcMar>
              <w:top w:w="0" w:type="dxa"/>
              <w:left w:w="0" w:type="dxa"/>
              <w:bottom w:w="0" w:type="dxa"/>
              <w:right w:w="0" w:type="dxa"/>
            </w:tcMar>
            <w:vAlign w:val="center"/>
          </w:tcPr>
          <w:p>
            <w:pPr>
              <w:pStyle w:val="TableContents"/>
              <w:bidi w:val="0"/>
              <w:spacing w:lineRule="auto" w:line="240" w:before="0" w:after="283"/>
              <w:jc w:val="left"/>
              <w:rPr>
                <w:rFonts w:ascii="Adelle Sans;sans-serif" w:hAnsi="Adelle Sans;sans-serif"/>
                <w:b/>
                <w:color w:val="000000"/>
                <w:sz w:val="18"/>
              </w:rPr>
            </w:pPr>
            <w:r>
              <w:rPr>
                <w:rFonts w:ascii="Adelle Sans;sans-serif" w:hAnsi="Adelle Sans;sans-serif"/>
                <w:b/>
                <w:color w:val="000000"/>
                <w:sz w:val="18"/>
              </w:rPr>
              <w:t>Supplemental cash flow information:</w:t>
            </w:r>
          </w:p>
        </w:tc>
        <w:tc>
          <w:tcPr>
            <w:tcW w:w="883"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616" w:type="dxa"/>
            <w:gridSpan w:val="3"/>
            <w:tcBorders/>
            <w:vAlign w:val="center"/>
          </w:tcPr>
          <w:p>
            <w:pPr>
              <w:pStyle w:val="TableContents"/>
              <w:bidi w:val="0"/>
              <w:spacing w:before="0" w:after="283"/>
              <w:jc w:val="left"/>
              <w:rPr>
                <w:sz w:val="4"/>
                <w:szCs w:val="4"/>
              </w:rPr>
            </w:pPr>
            <w:r>
              <w:rPr>
                <w:sz w:val="4"/>
                <w:szCs w:val="4"/>
              </w:rPr>
            </w:r>
          </w:p>
        </w:tc>
        <w:tc>
          <w:tcPr>
            <w:tcW w:w="883" w:type="dxa"/>
            <w:gridSpan w:val="3"/>
            <w:tcBorders/>
            <w:vAlign w:val="center"/>
          </w:tcPr>
          <w:p>
            <w:pPr>
              <w:pStyle w:val="TableContents"/>
              <w:bidi w:val="0"/>
              <w:spacing w:before="0" w:after="283"/>
              <w:jc w:val="left"/>
              <w:rPr>
                <w:sz w:val="4"/>
                <w:szCs w:val="4"/>
              </w:rPr>
            </w:pPr>
            <w:r>
              <w:rPr>
                <w:sz w:val="4"/>
                <w:szCs w:val="4"/>
              </w:rPr>
            </w:r>
          </w:p>
        </w:tc>
        <w:tc>
          <w:tcPr>
            <w:tcW w:w="690" w:type="dxa"/>
            <w:gridSpan w:val="3"/>
            <w:tcBorders/>
            <w:vAlign w:val="center"/>
          </w:tcPr>
          <w:p>
            <w:pPr>
              <w:pStyle w:val="TableContents"/>
              <w:bidi w:val="0"/>
              <w:spacing w:before="0" w:after="283"/>
              <w:jc w:val="left"/>
              <w:rPr>
                <w:sz w:val="4"/>
                <w:szCs w:val="4"/>
              </w:rPr>
            </w:pPr>
            <w:r>
              <w:rPr>
                <w:sz w:val="4"/>
                <w:szCs w:val="4"/>
              </w:rPr>
            </w:r>
          </w:p>
        </w:tc>
        <w:tc>
          <w:tcPr>
            <w:tcW w:w="8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7" w:type="dxa"/>
            <w:gridSpan w:val="3"/>
            <w:tcBorders/>
            <w:vAlign w:val="center"/>
          </w:tcPr>
          <w:p>
            <w:pPr>
              <w:pStyle w:val="TableContents"/>
              <w:bidi w:val="0"/>
              <w:spacing w:before="0" w:after="283"/>
              <w:jc w:val="left"/>
              <w:rPr>
                <w:sz w:val="4"/>
                <w:szCs w:val="4"/>
              </w:rPr>
            </w:pPr>
            <w:r>
              <w:rPr>
                <w:sz w:val="4"/>
                <w:szCs w:val="4"/>
              </w:rPr>
            </w:r>
          </w:p>
        </w:tc>
        <w:tc>
          <w:tcPr>
            <w:tcW w:w="645" w:type="dxa"/>
            <w:gridSpan w:val="3"/>
            <w:tcBorders/>
            <w:vAlign w:val="center"/>
          </w:tcPr>
          <w:p>
            <w:pPr>
              <w:pStyle w:val="TableContents"/>
              <w:bidi w:val="0"/>
              <w:spacing w:before="0" w:after="283"/>
              <w:jc w:val="left"/>
              <w:rPr>
                <w:sz w:val="4"/>
                <w:szCs w:val="4"/>
              </w:rPr>
            </w:pPr>
            <w:r>
              <w:rPr>
                <w:sz w:val="4"/>
                <w:szCs w:val="4"/>
              </w:rPr>
            </w:r>
          </w:p>
        </w:tc>
        <w:tc>
          <w:tcPr>
            <w:tcW w:w="83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616" w:type="dxa"/>
            <w:gridSpan w:val="3"/>
            <w:tcBorders/>
            <w:vAlign w:val="center"/>
          </w:tcPr>
          <w:p>
            <w:pPr>
              <w:pStyle w:val="TableContents"/>
              <w:bidi w:val="0"/>
              <w:spacing w:before="0" w:after="283"/>
              <w:jc w:val="left"/>
              <w:rPr>
                <w:sz w:val="4"/>
                <w:szCs w:val="4"/>
              </w:rPr>
            </w:pPr>
            <w:r>
              <w:rPr>
                <w:sz w:val="4"/>
                <w:szCs w:val="4"/>
              </w:rPr>
            </w:r>
          </w:p>
        </w:tc>
        <w:tc>
          <w:tcPr>
            <w:tcW w:w="883" w:type="dxa"/>
            <w:gridSpan w:val="3"/>
            <w:tcBorders/>
            <w:vAlign w:val="center"/>
          </w:tcPr>
          <w:p>
            <w:pPr>
              <w:pStyle w:val="TableContents"/>
              <w:bidi w:val="0"/>
              <w:spacing w:before="0" w:after="283"/>
              <w:jc w:val="left"/>
              <w:rPr>
                <w:sz w:val="4"/>
                <w:szCs w:val="4"/>
              </w:rPr>
            </w:pPr>
            <w:r>
              <w:rPr>
                <w:sz w:val="4"/>
                <w:szCs w:val="4"/>
              </w:rPr>
            </w:r>
          </w:p>
        </w:tc>
        <w:tc>
          <w:tcPr>
            <w:tcW w:w="690" w:type="dxa"/>
            <w:gridSpan w:val="3"/>
            <w:tcBorders/>
            <w:vAlign w:val="center"/>
          </w:tcPr>
          <w:p>
            <w:pPr>
              <w:pStyle w:val="TableContents"/>
              <w:bidi w:val="0"/>
              <w:spacing w:before="0" w:after="283"/>
              <w:jc w:val="left"/>
              <w:rPr>
                <w:sz w:val="4"/>
                <w:szCs w:val="4"/>
              </w:rPr>
            </w:pPr>
            <w:r>
              <w:rPr>
                <w:sz w:val="4"/>
                <w:szCs w:val="4"/>
              </w:rPr>
            </w:r>
          </w:p>
        </w:tc>
        <w:tc>
          <w:tcPr>
            <w:tcW w:w="8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7" w:type="dxa"/>
            <w:gridSpan w:val="3"/>
            <w:tcBorders/>
            <w:vAlign w:val="center"/>
          </w:tcPr>
          <w:p>
            <w:pPr>
              <w:pStyle w:val="TableContents"/>
              <w:bidi w:val="0"/>
              <w:spacing w:before="0" w:after="283"/>
              <w:jc w:val="left"/>
              <w:rPr>
                <w:sz w:val="4"/>
                <w:szCs w:val="4"/>
              </w:rPr>
            </w:pPr>
            <w:r>
              <w:rPr>
                <w:sz w:val="4"/>
                <w:szCs w:val="4"/>
              </w:rPr>
            </w:r>
          </w:p>
        </w:tc>
        <w:tc>
          <w:tcPr>
            <w:tcW w:w="645" w:type="dxa"/>
            <w:gridSpan w:val="3"/>
            <w:tcBorders/>
            <w:vAlign w:val="center"/>
          </w:tcPr>
          <w:p>
            <w:pPr>
              <w:pStyle w:val="TableContents"/>
              <w:bidi w:val="0"/>
              <w:spacing w:before="0" w:after="283"/>
              <w:jc w:val="left"/>
              <w:rPr>
                <w:sz w:val="4"/>
                <w:szCs w:val="4"/>
              </w:rPr>
            </w:pPr>
            <w:r>
              <w:rPr>
                <w:sz w:val="4"/>
                <w:szCs w:val="4"/>
              </w:rPr>
            </w:r>
          </w:p>
        </w:tc>
        <w:tc>
          <w:tcPr>
            <w:tcW w:w="83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616" w:type="dxa"/>
            <w:gridSpan w:val="3"/>
            <w:tcBorders/>
            <w:vAlign w:val="center"/>
          </w:tcPr>
          <w:p>
            <w:pPr>
              <w:pStyle w:val="TableContents"/>
              <w:bidi w:val="0"/>
              <w:spacing w:before="0" w:after="283"/>
              <w:jc w:val="left"/>
              <w:rPr>
                <w:sz w:val="4"/>
                <w:szCs w:val="4"/>
              </w:rPr>
            </w:pPr>
            <w:r>
              <w:rPr>
                <w:sz w:val="4"/>
                <w:szCs w:val="4"/>
              </w:rPr>
            </w:r>
          </w:p>
        </w:tc>
        <w:tc>
          <w:tcPr>
            <w:tcW w:w="883" w:type="dxa"/>
            <w:gridSpan w:val="3"/>
            <w:tcBorders/>
            <w:vAlign w:val="center"/>
          </w:tcPr>
          <w:p>
            <w:pPr>
              <w:pStyle w:val="TableContents"/>
              <w:bidi w:val="0"/>
              <w:spacing w:before="0" w:after="283"/>
              <w:jc w:val="left"/>
              <w:rPr>
                <w:sz w:val="4"/>
                <w:szCs w:val="4"/>
              </w:rPr>
            </w:pPr>
            <w:r>
              <w:rPr>
                <w:sz w:val="4"/>
                <w:szCs w:val="4"/>
              </w:rPr>
            </w:r>
          </w:p>
        </w:tc>
        <w:tc>
          <w:tcPr>
            <w:tcW w:w="690" w:type="dxa"/>
            <w:gridSpan w:val="3"/>
            <w:tcBorders/>
            <w:vAlign w:val="center"/>
          </w:tcPr>
          <w:p>
            <w:pPr>
              <w:pStyle w:val="TableContents"/>
              <w:bidi w:val="0"/>
              <w:spacing w:before="0" w:after="283"/>
              <w:jc w:val="left"/>
              <w:rPr>
                <w:sz w:val="4"/>
                <w:szCs w:val="4"/>
              </w:rPr>
            </w:pPr>
            <w:r>
              <w:rPr>
                <w:sz w:val="4"/>
                <w:szCs w:val="4"/>
              </w:rPr>
            </w:r>
          </w:p>
        </w:tc>
        <w:tc>
          <w:tcPr>
            <w:tcW w:w="8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7" w:type="dxa"/>
            <w:gridSpan w:val="3"/>
            <w:tcBorders/>
            <w:vAlign w:val="center"/>
          </w:tcPr>
          <w:p>
            <w:pPr>
              <w:pStyle w:val="TableContents"/>
              <w:bidi w:val="0"/>
              <w:spacing w:before="0" w:after="283"/>
              <w:jc w:val="left"/>
              <w:rPr>
                <w:sz w:val="4"/>
                <w:szCs w:val="4"/>
              </w:rPr>
            </w:pPr>
            <w:r>
              <w:rPr>
                <w:sz w:val="4"/>
                <w:szCs w:val="4"/>
              </w:rPr>
            </w:r>
          </w:p>
        </w:tc>
        <w:tc>
          <w:tcPr>
            <w:tcW w:w="645" w:type="dxa"/>
            <w:gridSpan w:val="3"/>
            <w:tcBorders/>
            <w:vAlign w:val="center"/>
          </w:tcPr>
          <w:p>
            <w:pPr>
              <w:pStyle w:val="TableContents"/>
              <w:bidi w:val="0"/>
              <w:spacing w:before="0" w:after="283"/>
              <w:jc w:val="left"/>
              <w:rPr>
                <w:sz w:val="4"/>
                <w:szCs w:val="4"/>
              </w:rPr>
            </w:pPr>
            <w:r>
              <w:rPr>
                <w:sz w:val="4"/>
                <w:szCs w:val="4"/>
              </w:rPr>
            </w:r>
          </w:p>
        </w:tc>
        <w:tc>
          <w:tcPr>
            <w:tcW w:w="83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6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delle Sans;sans-serif" w:hAnsi="Adelle Sans;sans-serif"/>
                <w:b w:val="false"/>
                <w:color w:val="000000"/>
                <w:sz w:val="18"/>
              </w:rPr>
            </w:pPr>
            <w:r>
              <w:rPr>
                <w:rFonts w:ascii="Adelle Sans;sans-serif" w:hAnsi="Adelle Sans;sans-serif"/>
                <w:b w:val="false"/>
                <w:color w:val="000000"/>
                <w:sz w:val="18"/>
              </w:rPr>
              <w:t>Cash paid for income taxes, net</w:t>
            </w:r>
          </w:p>
        </w:tc>
        <w:tc>
          <w:tcPr>
            <w:tcW w:w="8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148</w:t>
            </w:r>
          </w:p>
        </w:tc>
        <w:tc>
          <w:tcPr>
            <w:tcW w:w="6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61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241</w:t>
            </w:r>
          </w:p>
        </w:tc>
        <w:tc>
          <w:tcPr>
            <w:tcW w:w="6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88</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616" w:type="dxa"/>
            <w:gridSpan w:val="3"/>
            <w:tcBorders/>
            <w:vAlign w:val="center"/>
          </w:tcPr>
          <w:p>
            <w:pPr>
              <w:pStyle w:val="TableContents"/>
              <w:bidi w:val="0"/>
              <w:spacing w:before="0" w:after="283"/>
              <w:jc w:val="left"/>
              <w:rPr>
                <w:sz w:val="4"/>
                <w:szCs w:val="4"/>
              </w:rPr>
            </w:pPr>
            <w:r>
              <w:rPr>
                <w:sz w:val="4"/>
                <w:szCs w:val="4"/>
              </w:rPr>
            </w:r>
          </w:p>
        </w:tc>
        <w:tc>
          <w:tcPr>
            <w:tcW w:w="883" w:type="dxa"/>
            <w:gridSpan w:val="3"/>
            <w:tcBorders/>
            <w:vAlign w:val="center"/>
          </w:tcPr>
          <w:p>
            <w:pPr>
              <w:pStyle w:val="TableContents"/>
              <w:bidi w:val="0"/>
              <w:spacing w:before="0" w:after="283"/>
              <w:jc w:val="left"/>
              <w:rPr>
                <w:sz w:val="4"/>
                <w:szCs w:val="4"/>
              </w:rPr>
            </w:pPr>
            <w:r>
              <w:rPr>
                <w:sz w:val="4"/>
                <w:szCs w:val="4"/>
              </w:rPr>
            </w:r>
          </w:p>
        </w:tc>
        <w:tc>
          <w:tcPr>
            <w:tcW w:w="690" w:type="dxa"/>
            <w:gridSpan w:val="3"/>
            <w:tcBorders/>
            <w:vAlign w:val="center"/>
          </w:tcPr>
          <w:p>
            <w:pPr>
              <w:pStyle w:val="TableContents"/>
              <w:bidi w:val="0"/>
              <w:spacing w:before="0" w:after="283"/>
              <w:jc w:val="left"/>
              <w:rPr>
                <w:sz w:val="4"/>
                <w:szCs w:val="4"/>
              </w:rPr>
            </w:pPr>
            <w:r>
              <w:rPr>
                <w:sz w:val="4"/>
                <w:szCs w:val="4"/>
              </w:rPr>
            </w:r>
          </w:p>
        </w:tc>
        <w:tc>
          <w:tcPr>
            <w:tcW w:w="8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7" w:type="dxa"/>
            <w:gridSpan w:val="3"/>
            <w:tcBorders/>
            <w:vAlign w:val="center"/>
          </w:tcPr>
          <w:p>
            <w:pPr>
              <w:pStyle w:val="TableContents"/>
              <w:bidi w:val="0"/>
              <w:spacing w:before="0" w:after="283"/>
              <w:jc w:val="left"/>
              <w:rPr>
                <w:sz w:val="4"/>
                <w:szCs w:val="4"/>
              </w:rPr>
            </w:pPr>
            <w:r>
              <w:rPr>
                <w:sz w:val="4"/>
                <w:szCs w:val="4"/>
              </w:rPr>
            </w:r>
          </w:p>
        </w:tc>
        <w:tc>
          <w:tcPr>
            <w:tcW w:w="645" w:type="dxa"/>
            <w:gridSpan w:val="3"/>
            <w:tcBorders/>
            <w:vAlign w:val="center"/>
          </w:tcPr>
          <w:p>
            <w:pPr>
              <w:pStyle w:val="TableContents"/>
              <w:bidi w:val="0"/>
              <w:spacing w:before="0" w:after="283"/>
              <w:jc w:val="left"/>
              <w:rPr>
                <w:sz w:val="4"/>
                <w:szCs w:val="4"/>
              </w:rPr>
            </w:pPr>
            <w:r>
              <w:rPr>
                <w:sz w:val="4"/>
                <w:szCs w:val="4"/>
              </w:rPr>
            </w:r>
          </w:p>
        </w:tc>
        <w:tc>
          <w:tcPr>
            <w:tcW w:w="83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jc w:val="both"/>
        <w:rPr/>
      </w:pPr>
      <w:bookmarkStart w:id="12" w:name="i4a0c6a7cc8664c20ae000622fcbcb896"/>
      <w:bookmarkEnd w:id="12"/>
      <w:r>
        <w:rPr>
          <w:rFonts w:ascii="Adelle Sans Light;sans-serif" w:hAnsi="Adelle Sans Light;sans-serif"/>
          <w:b w:val="false"/>
          <w:color w:val="000000"/>
          <w:sz w:val="10"/>
        </w:rPr>
        <w:t xml:space="preserve">(1) </w:t>
      </w:r>
      <w:r>
        <w:rPr>
          <w:rFonts w:ascii="Adelle Sans Light;sans-serif" w:hAnsi="Adelle Sans Light;sans-serif"/>
          <w:b w:val="false"/>
          <w:color w:val="000000"/>
          <w:sz w:val="16"/>
        </w:rPr>
        <w:t>Starting in April 2026, the cash flows associated with merchant cash advances are presented within investing cash flows on a basis consistent with loans, given the similar nature of the underlying lending activities.</w:t>
      </w:r>
    </w:p>
    <w:p>
      <w:pPr>
        <w:pStyle w:val="TextBody"/>
        <w:bidi w:val="0"/>
        <w:spacing w:lineRule="auto" w:line="288" w:before="0" w:after="200"/>
        <w:jc w:val="both"/>
        <w:rPr>
          <w:rFonts w:ascii="Adelle Sans Light;sans-serif" w:hAnsi="Adelle Sans Light;sans-serif"/>
          <w:b w:val="false"/>
          <w:color w:val="000000"/>
          <w:sz w:val="18"/>
        </w:rPr>
      </w:pPr>
      <w:r>
        <w:rPr>
          <w:rFonts w:ascii="Adelle Sans Light;sans-serif" w:hAnsi="Adelle Sans Light;sans-serif"/>
          <w:b w:val="false"/>
          <w:color w:val="000000"/>
          <w:sz w:val="18"/>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7955"/>
                <wp:effectExtent l="0" t="0" r="0" b="0"/>
                <wp:wrapNone/>
                <wp:docPr id="10" name="Frame9"/>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200"/>
                              <w:jc w:val="center"/>
                              <w:rPr>
                                <w:rFonts w:ascii="Adelle Sans Light;sans-serif" w:hAnsi="Adelle Sans Light;sans-serif"/>
                                <w:b w:val="false"/>
                                <w:color w:val="000000"/>
                                <w:sz w:val="20"/>
                              </w:rPr>
                            </w:pPr>
                            <w:r>
                              <w:rPr>
                                <w:rFonts w:ascii="Adelle Sans Light;sans-serif" w:hAnsi="Adelle Sans Light;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Adelle Sans Light;sans-serif" w:hAnsi="Adelle Sans Light;sans-serif"/>
                          <w:b w:val="false"/>
                          <w:color w:val="000000"/>
                          <w:sz w:val="20"/>
                        </w:rPr>
                      </w:pPr>
                      <w:r>
                        <w:rPr>
                          <w:rFonts w:ascii="Adelle Sans Light;sans-serif" w:hAnsi="Adelle Sans Light;sans-serif"/>
                          <w:b w:val="false"/>
                          <w:color w:val="000000"/>
                          <w:sz w:val="20"/>
                        </w:rPr>
                        <w:t>9</w:t>
                      </w:r>
                    </w:p>
                  </w:txbxContent>
                </v:textbox>
                <w10:wrap type="none"/>
              </v:rect>
            </w:pict>
          </mc:Fallback>
        </mc:AlternateContent>
      </w:r>
    </w:p>
    <w:p>
      <w:pPr>
        <w:pStyle w:val="TextBody"/>
        <w:bidi w:val="0"/>
        <w:spacing w:lineRule="auto" w:line="288" w:before="0" w:after="200"/>
        <w:jc w:val="both"/>
        <w:rPr/>
      </w:pPr>
      <w:hyperlink w:anchor="iccccf23fa31e44f0aa82c99ca0859db8_7">
        <w:r>
          <w:rPr>
            <w:rStyle w:val="InternetLink"/>
            <w:rFonts w:ascii="Adelle Sans Light;sans-serif" w:hAnsi="Adelle Sans Light;sans-serif"/>
            <w:b w:val="false"/>
            <w:color w:val="0000FF"/>
            <w:sz w:val="20"/>
            <w:u w:val="single"/>
          </w:rPr>
          <w:t>Table of Contents</w:t>
        </w:r>
      </w:hyperlink>
    </w:p>
    <w:p>
      <w:pPr>
        <w:pStyle w:val="TextBody"/>
        <w:bidi w:val="0"/>
        <w:spacing w:lineRule="auto" w:line="288" w:before="0" w:after="20"/>
        <w:jc w:val="left"/>
        <w:rPr>
          <w:rFonts w:ascii="Adelle Sans;sans-serif" w:hAnsi="Adelle Sans;sans-serif"/>
          <w:b/>
          <w:color w:val="000000"/>
          <w:sz w:val="20"/>
        </w:rPr>
      </w:pPr>
      <w:bookmarkStart w:id="13" w:name="i9230894641644083a983e5014de6c53d"/>
      <w:bookmarkEnd w:id="13"/>
      <w:r>
        <w:rPr>
          <w:rFonts w:ascii="Adelle Sans;sans-serif" w:hAnsi="Adelle Sans;sans-serif"/>
          <w:b/>
          <w:color w:val="000000"/>
          <w:sz w:val="20"/>
        </w:rPr>
        <w:t>Notes to the Condensed Consolidated Financial Statements</w:t>
      </w:r>
    </w:p>
    <w:p>
      <w:pPr>
        <w:pStyle w:val="TextBody"/>
        <w:bidi w:val="0"/>
        <w:spacing w:lineRule="auto" w:line="288" w:before="0" w:after="200"/>
        <w:jc w:val="left"/>
        <w:rPr>
          <w:rFonts w:ascii="Adelle Sans;sans-serif" w:hAnsi="Adelle Sans;sans-serif"/>
          <w:b/>
          <w:color w:val="000000"/>
          <w:sz w:val="20"/>
        </w:rPr>
      </w:pPr>
      <w:bookmarkStart w:id="14" w:name="i749fbf545e2d4a1eb42f41415182ce6c"/>
      <w:bookmarkEnd w:id="14"/>
      <w:r>
        <w:rPr>
          <w:rFonts w:ascii="Adelle Sans;sans-serif" w:hAnsi="Adelle Sans;sans-serif"/>
          <w:b/>
          <w:color w:val="000000"/>
          <w:sz w:val="20"/>
        </w:rPr>
        <w:t>(unaudited)</w:t>
      </w:r>
    </w:p>
    <w:p>
      <w:pPr>
        <w:pStyle w:val="TextBody"/>
        <w:bidi w:val="0"/>
        <w:spacing w:lineRule="auto" w:line="288" w:before="0" w:after="200"/>
        <w:ind w:left="0" w:right="0" w:hanging="360"/>
        <w:jc w:val="left"/>
        <w:rPr>
          <w:rFonts w:ascii="Adelle Sans;sans-serif" w:hAnsi="Adelle Sans;sans-serif"/>
          <w:b/>
          <w:color w:val="000000"/>
          <w:sz w:val="20"/>
        </w:rPr>
      </w:pPr>
      <w:bookmarkStart w:id="15" w:name="iaba9b07a0c2f4cb4be9c97030e1d6816"/>
      <w:bookmarkEnd w:id="15"/>
      <w:r>
        <w:rPr>
          <w:rFonts w:ascii="Adelle Sans;sans-serif" w:hAnsi="Adelle Sans;sans-serif"/>
          <w:b/>
          <w:color w:val="000000"/>
          <w:sz w:val="20"/>
        </w:rPr>
        <w:t>1.Nature of Business</w:t>
      </w:r>
    </w:p>
    <w:p>
      <w:pPr>
        <w:pStyle w:val="TextBody"/>
        <w:bidi w:val="0"/>
        <w:spacing w:lineRule="auto" w:line="288" w:before="200" w:after="200"/>
        <w:jc w:val="both"/>
        <w:rPr>
          <w:rFonts w:ascii="Adelle Sans Light;sans-serif" w:hAnsi="Adelle Sans Light;sans-serif"/>
          <w:b w:val="false"/>
          <w:color w:val="000000"/>
          <w:sz w:val="20"/>
        </w:rPr>
      </w:pPr>
      <w:r>
        <w:rPr>
          <w:rFonts w:ascii="Adelle Sans Light;sans-serif" w:hAnsi="Adelle Sans Light;sans-serif"/>
          <w:b w:val="false"/>
          <w:color w:val="000000"/>
          <w:sz w:val="20"/>
        </w:rPr>
        <w:t xml:space="preserve">Shopify Inc. ("Shopify" or the "Company") was incorporated on September 28, 2004. Shopify provides essential internet infrastructure for commerce. Shopify's all-in-one platform makes it easier to start, run and grow a business, powering sales online, in store, and everywhere in between. Shopify's mission is to make commerce better for everyone with a platform and services that are engineered for speed, customization, reliability and security, while delivering a better shopping experience for consumers everywhere. The Company's platform enables merchants to manage, market and sell their products across various sales channels, including online storefronts, physical retail spaces, AI platforms, social media and more. Shopify provides merchants with an integrated back-end system to streamline operations, from managing inventory and transaction management to building relationships with buyers. With a robust and continuously updated infrastructure, Shopify's goal is to provide merchants with cutting-edge technology to thrive in a competitive market.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ind w:left="0" w:right="0" w:hanging="360"/>
        <w:jc w:val="left"/>
        <w:rPr>
          <w:rFonts w:ascii="Adelle Sans;sans-serif" w:hAnsi="Adelle Sans;sans-serif"/>
          <w:b/>
          <w:color w:val="000000"/>
          <w:sz w:val="20"/>
        </w:rPr>
      </w:pPr>
      <w:bookmarkStart w:id="16" w:name="ic681e0e1e3c54e648e0098840188599f"/>
      <w:bookmarkEnd w:id="16"/>
      <w:r>
        <w:rPr>
          <w:rFonts w:ascii="Adelle Sans;sans-serif" w:hAnsi="Adelle Sans;sans-serif"/>
          <w:b/>
          <w:color w:val="000000"/>
          <w:sz w:val="20"/>
        </w:rPr>
        <w:t xml:space="preserve">2.Basis of Presentation and Consolidation </w:t>
      </w:r>
    </w:p>
    <w:p>
      <w:pPr>
        <w:pStyle w:val="TextBody"/>
        <w:bidi w:val="0"/>
        <w:spacing w:lineRule="auto" w:line="288" w:before="0" w:after="200"/>
        <w:jc w:val="both"/>
        <w:rPr>
          <w:rFonts w:ascii="Adelle Sans Light;sans-serif" w:hAnsi="Adelle Sans Light;sans-serif"/>
          <w:b w:val="false"/>
          <w:color w:val="000000"/>
          <w:sz w:val="20"/>
        </w:rPr>
      </w:pPr>
      <w:r>
        <w:rPr>
          <w:rFonts w:ascii="Adelle Sans Light;sans-serif" w:hAnsi="Adelle Sans Light;sans-serif"/>
          <w:b w:val="false"/>
          <w:color w:val="000000"/>
          <w:sz w:val="20"/>
        </w:rPr>
        <w:t xml:space="preserve">These unaudited condensed consolidated financial statements include the accounts of the Company and its directly and indirectly held wholly owned subsidiaries. All intercompany accounts and transactions have been eliminated upon consolidation. </w:t>
      </w:r>
    </w:p>
    <w:p>
      <w:pPr>
        <w:pStyle w:val="TextBody"/>
        <w:bidi w:val="0"/>
        <w:spacing w:lineRule="auto" w:line="288" w:before="0" w:after="200"/>
        <w:jc w:val="both"/>
        <w:rPr>
          <w:rFonts w:ascii="Adelle Sans Light;sans-serif" w:hAnsi="Adelle Sans Light;sans-serif"/>
          <w:b w:val="false"/>
          <w:color w:val="000000"/>
          <w:sz w:val="20"/>
        </w:rPr>
      </w:pPr>
      <w:r>
        <w:rPr>
          <w:rFonts w:ascii="Adelle Sans Light;sans-serif" w:hAnsi="Adelle Sans Light;sans-serif"/>
          <w:b w:val="false"/>
          <w:color w:val="000000"/>
          <w:sz w:val="20"/>
        </w:rPr>
        <w:t>These unaudited condensed consolidated financial statements of the Company have been presented in U.S. dollars ("USD") and have been prepared in accordance with accounting principles generally accepted in the United States of America ("U.S. GAAP"), including the applicable rules and regulations of the Securities and Exchange Commission ("SEC") regarding financial reporting. Certain information and note disclosures normally included in annual financial statements prepared in accordance with U.S. GAAP have been condensed or omitted pursuant to such rules and regulations.</w:t>
      </w:r>
    </w:p>
    <w:p>
      <w:pPr>
        <w:pStyle w:val="TextBody"/>
        <w:bidi w:val="0"/>
        <w:spacing w:lineRule="auto" w:line="288" w:before="0" w:after="200"/>
        <w:jc w:val="both"/>
        <w:rPr>
          <w:rFonts w:ascii="Adelle Sans Light;sans-serif" w:hAnsi="Adelle Sans Light;sans-serif"/>
          <w:b w:val="false"/>
          <w:color w:val="000000"/>
          <w:sz w:val="20"/>
        </w:rPr>
      </w:pPr>
      <w:r>
        <w:rPr>
          <w:rFonts w:ascii="Adelle Sans Light;sans-serif" w:hAnsi="Adelle Sans Light;sans-serif"/>
          <w:b w:val="false"/>
          <w:color w:val="000000"/>
          <w:sz w:val="20"/>
        </w:rPr>
        <w:t>In the opinion of the Company, the accompanying unaudited condensed consolidated financial statements contain all adjustments, consisting of only normal recurring adjustments, necessary for the fair statement of its financial position, results of operations and comprehensive income, changes in shareholders' equity and cash flows for the interim periods. These unaudited quarterly condensed consolidated financial statements should be read in conjunction with the Company's audited consolidated financial statements and related notes included in Item 15 in the Company's 2025 Form 10-K. The consolidated balance sheet at December 31, 2025 is derived from the audited annual financial statements, but does not contain all of the footnote disclosures from the annual financial statements.</w:t>
      </w:r>
    </w:p>
    <w:p>
      <w:pPr>
        <w:pStyle w:val="TextBody"/>
        <w:bidi w:val="0"/>
        <w:spacing w:lineRule="auto" w:line="288" w:before="0" w:after="200"/>
        <w:jc w:val="both"/>
        <w:rPr>
          <w:rFonts w:ascii="Adelle Sans Light;sans-serif" w:hAnsi="Adelle Sans Light;sans-serif"/>
          <w:b w:val="false"/>
          <w:color w:val="000000"/>
          <w:sz w:val="20"/>
        </w:rPr>
      </w:pPr>
      <w:r>
        <w:rPr>
          <w:rFonts w:ascii="Adelle Sans Light;sans-serif" w:hAnsi="Adelle Sans Light;sans-serif"/>
          <w:b w:val="false"/>
          <w:color w:val="000000"/>
          <w:sz w:val="20"/>
        </w:rPr>
        <w:t>The quarterly results for the three and six months ended June 30, 2026 are not necessarily indicative of the results expected for the full fiscal year.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ind w:left="0" w:right="0" w:hanging="360"/>
        <w:jc w:val="left"/>
        <w:rPr>
          <w:rFonts w:ascii="Adelle Sans;sans-serif" w:hAnsi="Adelle Sans;sans-serif"/>
          <w:b/>
          <w:color w:val="000000"/>
          <w:sz w:val="20"/>
        </w:rPr>
      </w:pPr>
      <w:bookmarkStart w:id="17" w:name="i4ca41ec616134b1cb62aea8827cc98bb"/>
      <w:bookmarkEnd w:id="17"/>
      <w:r>
        <w:rPr>
          <w:rFonts w:ascii="Adelle Sans;sans-serif" w:hAnsi="Adelle Sans;sans-serif"/>
          <w:b/>
          <w:color w:val="000000"/>
          <w:sz w:val="20"/>
        </w:rPr>
        <w:t xml:space="preserve">3.Significant Accounting Policies </w:t>
      </w:r>
    </w:p>
    <w:p>
      <w:pPr>
        <w:pStyle w:val="TextBody"/>
        <w:bidi w:val="0"/>
        <w:spacing w:lineRule="auto" w:line="288" w:before="0" w:after="200"/>
        <w:jc w:val="both"/>
        <w:rPr>
          <w:rFonts w:ascii="Adelle Sans Light;sans-serif" w:hAnsi="Adelle Sans Light;sans-serif"/>
          <w:b w:val="false"/>
          <w:color w:val="000000"/>
          <w:sz w:val="20"/>
        </w:rPr>
      </w:pPr>
      <w:r>
        <w:rPr>
          <w:rFonts w:ascii="Adelle Sans Light;sans-serif" w:hAnsi="Adelle Sans Light;sans-serif"/>
          <w:b w:val="false"/>
          <w:color w:val="000000"/>
          <w:sz w:val="20"/>
        </w:rPr>
        <w:t>There have been no material changes to the Company’s significant accounting policies and no material updates in the Company's assessment of the recent accounting pronouncements not yet adopted during the three and six months ended June 30, 2026, as compared to the significant accounting policies described in the Company’s annual consolidated financial statements for the year ended December 31, 2025.</w:t>
      </w:r>
    </w:p>
    <w:p>
      <w:pPr>
        <w:pStyle w:val="TextBody"/>
        <w:bidi w:val="0"/>
        <w:spacing w:lineRule="auto" w:line="288" w:before="0" w:after="200"/>
        <w:jc w:val="left"/>
        <w:rPr>
          <w:rFonts w:ascii="Adelle Sans;sans-serif" w:hAnsi="Adelle Sans;sans-serif"/>
          <w:b/>
          <w:i/>
          <w:color w:val="000000"/>
          <w:sz w:val="20"/>
        </w:rPr>
      </w:pPr>
      <w:bookmarkStart w:id="18" w:name="i0bb923e1fe264dad8d9d7329616d61bb"/>
      <w:bookmarkEnd w:id="18"/>
      <w:r>
        <w:rPr>
          <w:rFonts w:ascii="Adelle Sans;sans-serif" w:hAnsi="Adelle Sans;sans-serif"/>
          <w:b/>
          <w:i/>
          <w:color w:val="000000"/>
          <w:sz w:val="20"/>
        </w:rPr>
        <w:t xml:space="preserve">Use of Estimates </w:t>
      </w:r>
    </w:p>
    <w:p>
      <w:pPr>
        <w:pStyle w:val="TextBody"/>
        <w:bidi w:val="0"/>
        <w:spacing w:lineRule="auto" w:line="288" w:before="0" w:after="200"/>
        <w:jc w:val="both"/>
        <w:rPr>
          <w:rFonts w:ascii="Adelle Sans Light;sans-serif" w:hAnsi="Adelle Sans Light;sans-serif"/>
          <w:b w:val="false"/>
          <w:color w:val="000000"/>
          <w:sz w:val="20"/>
        </w:rPr>
      </w:pPr>
      <w:r>
        <w:rPr>
          <w:rFonts w:ascii="Adelle Sans Light;sans-serif" w:hAnsi="Adelle Sans Light;sans-serif"/>
          <w:b w:val="false"/>
          <w:color w:val="000000"/>
          <w:sz w:val="20"/>
        </w:rPr>
        <w:t xml:space="preserve">The preparation of condensed consolidated financial statements, in accordance with U.S. GAAP, requires management to make estimates, judgments and assumptions that affect the reported amounts of assets and liabilities at the date of the condensed consolidated financial statements and the reported amounts of revenues and expenses during the reporting period. Actual results may differ from the estimates made by management. Significant estimates, judgments and assumptions in these condensed consolidated financial statements include: key judgments related to revenue recognition in determining whether the Company is the principal or an agent to the arrangements with merchants; estimates and judgments involved in applying the measurement alternative associated with equity and other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7955"/>
                <wp:effectExtent l="0" t="0" r="0" b="0"/>
                <wp:wrapNone/>
                <wp:docPr id="11" name="Frame10"/>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200"/>
                              <w:jc w:val="center"/>
                              <w:rPr>
                                <w:rFonts w:ascii="Adelle Sans Light;sans-serif" w:hAnsi="Adelle Sans Light;sans-serif"/>
                                <w:b w:val="false"/>
                                <w:color w:val="000000"/>
                                <w:sz w:val="20"/>
                              </w:rPr>
                            </w:pPr>
                            <w:r>
                              <w:rPr>
                                <w:rFonts w:ascii="Adelle Sans Light;sans-serif" w:hAnsi="Adelle Sans Light;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Adelle Sans Light;sans-serif" w:hAnsi="Adelle Sans Light;sans-serif"/>
                          <w:b w:val="false"/>
                          <w:color w:val="000000"/>
                          <w:sz w:val="20"/>
                        </w:rPr>
                      </w:pPr>
                      <w:r>
                        <w:rPr>
                          <w:rFonts w:ascii="Adelle Sans Light;sans-serif" w:hAnsi="Adelle Sans Light;sans-serif"/>
                          <w:b w:val="false"/>
                          <w:color w:val="000000"/>
                          <w:sz w:val="20"/>
                        </w:rPr>
                        <w:t>10</w:t>
                      </w:r>
                    </w:p>
                  </w:txbxContent>
                </v:textbox>
                <w10:wrap type="none"/>
              </v:rect>
            </w:pict>
          </mc:Fallback>
        </mc:AlternateContent>
      </w:r>
    </w:p>
    <w:p>
      <w:pPr>
        <w:pStyle w:val="TextBody"/>
        <w:bidi w:val="0"/>
        <w:spacing w:lineRule="auto" w:line="288" w:before="0" w:after="200"/>
        <w:jc w:val="both"/>
        <w:rPr/>
      </w:pPr>
      <w:hyperlink w:anchor="iccccf23fa31e44f0aa82c99ca0859db8_7">
        <w:r>
          <w:rPr>
            <w:rStyle w:val="InternetLink"/>
            <w:rFonts w:ascii="Adelle Sans Light;sans-serif" w:hAnsi="Adelle Sans Light;sans-serif"/>
            <w:b w:val="false"/>
            <w:color w:val="0000FF"/>
            <w:sz w:val="20"/>
            <w:u w:val="single"/>
            <w:shd w:fill="FFFFFF" w:val="clear"/>
          </w:rPr>
          <w:t>Table of Contents</w:t>
        </w:r>
      </w:hyperlink>
    </w:p>
    <w:p>
      <w:pPr>
        <w:pStyle w:val="TextBody"/>
        <w:bidi w:val="0"/>
        <w:spacing w:lineRule="auto" w:line="288" w:before="0" w:after="200"/>
        <w:jc w:val="both"/>
        <w:rPr>
          <w:rFonts w:ascii="Adelle Sans Light;sans-serif" w:hAnsi="Adelle Sans Light;sans-serif"/>
          <w:b w:val="false"/>
          <w:color w:val="000000"/>
          <w:sz w:val="20"/>
          <w:shd w:fill="FFFFFF" w:val="clear"/>
        </w:rPr>
      </w:pPr>
      <w:r>
        <w:rPr>
          <w:rFonts w:ascii="Adelle Sans Light;sans-serif" w:hAnsi="Adelle Sans Light;sans-serif"/>
          <w:b w:val="false"/>
          <w:color w:val="000000"/>
          <w:sz w:val="20"/>
          <w:shd w:fill="FFFFFF" w:val="clear"/>
        </w:rPr>
        <w:t xml:space="preserve">investments in private companies, including revenue growth rates and revenue multiples based on market comparables; estimates involved in our equity method investment; probabilities of achieving performance milestones associated with non-cash revenue consideration from strategic partnerships; the probability and amount of loss contingencies; and judgments involved in uncertain tax positions. </w:t>
      </w:r>
    </w:p>
    <w:p>
      <w:pPr>
        <w:pStyle w:val="TextBody"/>
        <w:bidi w:val="0"/>
        <w:spacing w:lineRule="auto" w:line="288" w:before="0" w:after="200"/>
        <w:jc w:val="left"/>
        <w:rPr>
          <w:rFonts w:ascii="Adelle Sans;sans-serif" w:hAnsi="Adelle Sans;sans-serif"/>
          <w:b/>
          <w:i/>
          <w:color w:val="000000"/>
          <w:sz w:val="20"/>
          <w:shd w:fill="FFFFFF" w:val="clear"/>
        </w:rPr>
      </w:pPr>
      <w:bookmarkStart w:id="19" w:name="id3fedcc53d2346ef8867b9cfebcbfd1c"/>
      <w:bookmarkEnd w:id="19"/>
      <w:r>
        <w:rPr>
          <w:rFonts w:ascii="Adelle Sans;sans-serif" w:hAnsi="Adelle Sans;sans-serif"/>
          <w:b/>
          <w:i/>
          <w:color w:val="000000"/>
          <w:sz w:val="20"/>
          <w:shd w:fill="FFFFFF" w:val="clear"/>
        </w:rPr>
        <w:t xml:space="preserve">Concentration of Credit Risk </w:t>
      </w:r>
    </w:p>
    <w:p>
      <w:pPr>
        <w:pStyle w:val="TextBody"/>
        <w:bidi w:val="0"/>
        <w:spacing w:lineRule="auto" w:line="288" w:before="0" w:after="200"/>
        <w:jc w:val="both"/>
        <w:rPr>
          <w:rFonts w:ascii="Adelle Sans Light;sans-serif" w:hAnsi="Adelle Sans Light;sans-serif"/>
          <w:b w:val="false"/>
          <w:color w:val="000000"/>
          <w:sz w:val="20"/>
          <w:shd w:fill="FFFFFF" w:val="clear"/>
        </w:rPr>
      </w:pPr>
      <w:r>
        <w:rPr>
          <w:rFonts w:ascii="Adelle Sans Light;sans-serif" w:hAnsi="Adelle Sans Light;sans-serif"/>
          <w:b w:val="false"/>
          <w:color w:val="000000"/>
          <w:sz w:val="20"/>
          <w:shd w:fill="FFFFFF" w:val="clear"/>
        </w:rPr>
        <w:t xml:space="preserve">The Company’s cash and cash equivalents, marketable securities, trade and other receivables, loans, merchant cash advances and foreign exchange derivative instruments subject the Company to concentrations of credit risk. Management mitigates this risk associated with cash and cash equivalents by making deposits and entering into foreign exchange derivative products only with large banks and financial institutions that are considered to be highly creditworthy. We limit the amount of credit exposure with any one financial institution and conduct timely evaluations of the credit worthiness of these financial institutions. Management mitigates the risks associated with marketable securities by adhering to its investment policy, which stipulates minimum rating requirements, maximum investment exposures and maximum maturities. Due to the Company’s diversified merchant base, there is no particular concentration of credit risk related to the Company’s trade and other receivables, loans receivable and merchant cash advances. Trade and other receivables, loans receivable and merchant cash advances are monitored on an ongoing basis to ensure timely collection of amounts. There are no receivables from individual merchants accounting for 10% or more of revenues or receivables. </w:t>
      </w:r>
    </w:p>
    <w:p>
      <w:pPr>
        <w:pStyle w:val="TextBody"/>
        <w:bidi w:val="0"/>
        <w:spacing w:lineRule="auto" w:line="288" w:before="0" w:after="200"/>
        <w:jc w:val="left"/>
        <w:rPr>
          <w:rFonts w:ascii="Adelle Sans;sans-serif" w:hAnsi="Adelle Sans;sans-serif"/>
          <w:b/>
          <w:i/>
          <w:color w:val="000000"/>
          <w:sz w:val="20"/>
          <w:shd w:fill="FFFFFF" w:val="clear"/>
        </w:rPr>
      </w:pPr>
      <w:bookmarkStart w:id="20" w:name="ia42fa716d3964a67bbf807306e1c7d8b"/>
      <w:bookmarkEnd w:id="20"/>
      <w:r>
        <w:rPr>
          <w:rFonts w:ascii="Adelle Sans;sans-serif" w:hAnsi="Adelle Sans;sans-serif"/>
          <w:b/>
          <w:i/>
          <w:color w:val="000000"/>
          <w:sz w:val="20"/>
          <w:shd w:fill="FFFFFF" w:val="clear"/>
        </w:rPr>
        <w:t>Equity and Other Investments Risk</w:t>
      </w:r>
    </w:p>
    <w:p>
      <w:pPr>
        <w:pStyle w:val="TextBody"/>
        <w:bidi w:val="0"/>
        <w:spacing w:lineRule="auto" w:line="288" w:before="0" w:after="200"/>
        <w:jc w:val="both"/>
        <w:rPr>
          <w:rFonts w:ascii="Adelle Sans Light;sans-serif" w:hAnsi="Adelle Sans Light;sans-serif"/>
          <w:b w:val="false"/>
          <w:color w:val="000000"/>
          <w:sz w:val="20"/>
          <w:shd w:fill="FFFFFF" w:val="clear"/>
        </w:rPr>
      </w:pPr>
      <w:r>
        <w:rPr>
          <w:rFonts w:ascii="Adelle Sans Light;sans-serif" w:hAnsi="Adelle Sans Light;sans-serif"/>
          <w:b w:val="false"/>
          <w:color w:val="000000"/>
          <w:sz w:val="20"/>
          <w:shd w:fill="FFFFFF" w:val="clear"/>
        </w:rPr>
        <w:t>The Company holds equity and other investments that are subject to a wide variety of market-related risks that could substantially reduce or increase the fair value of our holdings. The Company's equity and other investments in public companies are recorded at fair value, which is subject to market price volatility. The Company also holds an investment option to purchase Series B common shares in Klaviyo, Inc. which is accounted for as a derivative instrument and valued using the Black-Scholes model, and is subject to market price volatility as well as a discount for lack of marketability. The Company's equity investments in private companies are recorded using the measurement alternative and are assessed each reporting period for observable price changes and impairments, which may involve estimates and judgments given the lack of readily available market data. Certain equity investments in private companies are in the early stages of development and are inherently risky due to their lack of operational history. Furthermore, for the equity method investment, Shopify's share of income and loss from these investments may cause volatility to Shopify's earnings. The Company's debt investments in convertible notes of private companies are recorded at fair value, which are impacted by the underlying entities' valuations and interest rates.</w:t>
      </w:r>
    </w:p>
    <w:p>
      <w:pPr>
        <w:pStyle w:val="TextBody"/>
        <w:bidi w:val="0"/>
        <w:spacing w:lineRule="auto" w:line="288" w:before="0" w:after="200"/>
        <w:jc w:val="both"/>
        <w:rPr>
          <w:rFonts w:ascii="Adelle Sans Light;sans-serif" w:hAnsi="Adelle Sans Light;sans-serif"/>
          <w:b w:val="false"/>
          <w:color w:val="000000"/>
          <w:sz w:val="20"/>
          <w:shd w:fill="FFFFFF" w:val="clear"/>
        </w:rPr>
      </w:pPr>
      <w:r>
        <w:rPr>
          <w:rFonts w:ascii="Adelle Sans Light;sans-serif" w:hAnsi="Adelle Sans Light;sans-serif"/>
          <w:b w:val="false"/>
          <w:color w:val="000000"/>
          <w:sz w:val="20"/>
          <w:shd w:fill="FFFFFF" w:val="clear"/>
        </w:rPr>
        <w:t>The Company has a high concentration of risk associated with a small number of equity and other investments that are impacted by fluctuations in their fair values or by observable changes or impairments.</w:t>
      </w:r>
    </w:p>
    <w:p>
      <w:pPr>
        <w:pStyle w:val="TextBody"/>
        <w:bidi w:val="0"/>
        <w:spacing w:lineRule="auto" w:line="288" w:before="0" w:after="200"/>
        <w:jc w:val="left"/>
        <w:rPr>
          <w:rFonts w:ascii="Adelle Sans;sans-serif" w:hAnsi="Adelle Sans;sans-serif"/>
          <w:b/>
          <w:i/>
          <w:color w:val="000000"/>
          <w:sz w:val="20"/>
          <w:shd w:fill="FFFFFF" w:val="clear"/>
        </w:rPr>
      </w:pPr>
      <w:bookmarkStart w:id="21" w:name="i5467e5d0186049559fa528beb1397b70"/>
      <w:bookmarkEnd w:id="21"/>
      <w:r>
        <w:rPr>
          <w:rFonts w:ascii="Adelle Sans;sans-serif" w:hAnsi="Adelle Sans;sans-serif"/>
          <w:b/>
          <w:i/>
          <w:color w:val="000000"/>
          <w:sz w:val="20"/>
          <w:shd w:fill="FFFFFF" w:val="clear"/>
        </w:rPr>
        <w:t xml:space="preserve">Foreign Exchange Risk </w:t>
      </w:r>
    </w:p>
    <w:p>
      <w:pPr>
        <w:pStyle w:val="TextBody"/>
        <w:bidi w:val="0"/>
        <w:spacing w:lineRule="auto" w:line="288" w:before="0" w:after="200"/>
        <w:jc w:val="both"/>
        <w:rPr>
          <w:rFonts w:ascii="Adelle Sans Light;sans-serif" w:hAnsi="Adelle Sans Light;sans-serif"/>
          <w:b w:val="false"/>
          <w:color w:val="000000"/>
          <w:sz w:val="20"/>
          <w:shd w:fill="FFFFFF" w:val="clear"/>
        </w:rPr>
      </w:pPr>
      <w:r>
        <w:rPr>
          <w:rFonts w:ascii="Adelle Sans Light;sans-serif" w:hAnsi="Adelle Sans Light;sans-serif"/>
          <w:b w:val="false"/>
          <w:color w:val="000000"/>
          <w:sz w:val="20"/>
          <w:shd w:fill="FFFFFF" w:val="clear"/>
        </w:rPr>
        <w:t>The Company's results of operations and foreign currency assets and liabilities are exposed to foreign currency fluctuations.</w:t>
      </w:r>
    </w:p>
    <w:p>
      <w:pPr>
        <w:pStyle w:val="TextBody"/>
        <w:bidi w:val="0"/>
        <w:spacing w:lineRule="auto" w:line="288" w:before="0" w:after="200"/>
        <w:jc w:val="both"/>
        <w:rPr>
          <w:rFonts w:ascii="Adelle Sans Light;sans-serif" w:hAnsi="Adelle Sans Light;sans-serif"/>
          <w:b w:val="false"/>
          <w:color w:val="000000"/>
          <w:sz w:val="20"/>
          <w:shd w:fill="FFFFFF" w:val="clear"/>
        </w:rPr>
      </w:pPr>
      <w:r>
        <w:rPr>
          <w:rFonts w:ascii="Adelle Sans Light;sans-serif" w:hAnsi="Adelle Sans Light;sans-serif"/>
          <w:b w:val="false"/>
          <w:color w:val="000000"/>
          <w:sz w:val="20"/>
          <w:shd w:fill="FFFFFF" w:val="clear"/>
        </w:rPr>
        <w:t>While the majority of the Company's revenues, cost of revenues and operating expenses are denominated in USD, a significant portion are denominated in foreign currencies. Due to offering Shopify Payments, Shopify Capital, subscriptions and other billings to select countries in local currency, a significant proportion of revenue transactions are denominated in Euros ("EUR"), British pound sterling ("GBP") and Canadian dollars ("CAD"). Furthermore, a significant proportion of operating expenses are also incurred in the aforementioned foreign currencies.</w:t>
      </w:r>
    </w:p>
    <w:p>
      <w:pPr>
        <w:pStyle w:val="TextBody"/>
        <w:bidi w:val="0"/>
        <w:spacing w:lineRule="auto" w:line="288" w:before="0" w:after="200"/>
        <w:jc w:val="both"/>
        <w:rPr>
          <w:rFonts w:ascii="Adelle Sans Light;sans-serif" w:hAnsi="Adelle Sans Light;sans-serif"/>
          <w:b w:val="false"/>
          <w:color w:val="000000"/>
          <w:sz w:val="20"/>
          <w:shd w:fill="FFFFFF" w:val="clear"/>
        </w:rPr>
      </w:pPr>
      <w:r>
        <w:rPr>
          <w:rFonts w:ascii="Adelle Sans Light;sans-serif" w:hAnsi="Adelle Sans Light;sans-serif"/>
          <w:b w:val="false"/>
          <w:color w:val="000000"/>
          <w:sz w:val="20"/>
          <w:shd w:fill="FFFFFF" w:val="clear"/>
        </w:rPr>
        <w:t>Although foreign currency fluctuations associated with revenues and costs may partially offset one another in earnings, the Company uses foreign exchange derivative products to mitigate a portion of the remaining exposure of foreign currency fluctuations as discussed in Note 4. By their nature, derivative financial instruments involve risk, including the credit risk of non-performance by counterparties.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7955"/>
                <wp:effectExtent l="0" t="0" r="0" b="0"/>
                <wp:wrapNone/>
                <wp:docPr id="12" name="Frame11"/>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200"/>
                              <w:jc w:val="center"/>
                              <w:rPr>
                                <w:rFonts w:ascii="Adelle Sans Light;sans-serif" w:hAnsi="Adelle Sans Light;sans-serif"/>
                                <w:b w:val="false"/>
                                <w:color w:val="000000"/>
                                <w:sz w:val="20"/>
                              </w:rPr>
                            </w:pPr>
                            <w:r>
                              <w:rPr>
                                <w:rFonts w:ascii="Adelle Sans Light;sans-serif" w:hAnsi="Adelle Sans Light;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Adelle Sans Light;sans-serif" w:hAnsi="Adelle Sans Light;sans-serif"/>
                          <w:b w:val="false"/>
                          <w:color w:val="000000"/>
                          <w:sz w:val="20"/>
                        </w:rPr>
                      </w:pPr>
                      <w:r>
                        <w:rPr>
                          <w:rFonts w:ascii="Adelle Sans Light;sans-serif" w:hAnsi="Adelle Sans Light;sans-serif"/>
                          <w:b w:val="false"/>
                          <w:color w:val="000000"/>
                          <w:sz w:val="20"/>
                        </w:rPr>
                        <w:t>11</w:t>
                      </w:r>
                    </w:p>
                  </w:txbxContent>
                </v:textbox>
                <w10:wrap type="none"/>
              </v:rect>
            </w:pict>
          </mc:Fallback>
        </mc:AlternateContent>
      </w:r>
    </w:p>
    <w:p>
      <w:pPr>
        <w:pStyle w:val="TextBody"/>
        <w:bidi w:val="0"/>
        <w:spacing w:lineRule="auto" w:line="288" w:before="0" w:after="200"/>
        <w:jc w:val="both"/>
        <w:rPr/>
      </w:pPr>
      <w:hyperlink w:anchor="iccccf23fa31e44f0aa82c99ca0859db8_7">
        <w:r>
          <w:rPr>
            <w:rStyle w:val="InternetLink"/>
            <w:rFonts w:ascii="Adelle Sans Light;sans-serif" w:hAnsi="Adelle Sans Light;sans-serif"/>
            <w:b w:val="false"/>
            <w:color w:val="0000FF"/>
            <w:sz w:val="20"/>
            <w:u w:val="single"/>
          </w:rPr>
          <w:t>Table of Contents</w:t>
        </w:r>
      </w:hyperlink>
    </w:p>
    <w:p>
      <w:pPr>
        <w:pStyle w:val="TextBody"/>
        <w:bidi w:val="0"/>
        <w:spacing w:lineRule="auto" w:line="288" w:before="0" w:after="200"/>
        <w:ind w:left="0" w:right="0" w:hanging="360"/>
        <w:jc w:val="left"/>
        <w:rPr>
          <w:rFonts w:ascii="Adelle Sans;sans-serif" w:hAnsi="Adelle Sans;sans-serif"/>
          <w:b/>
          <w:color w:val="000000"/>
          <w:sz w:val="20"/>
        </w:rPr>
      </w:pPr>
      <w:bookmarkStart w:id="22" w:name="i8189c9cc52a447aeb438c87dc6021b47"/>
      <w:bookmarkEnd w:id="22"/>
      <w:r>
        <w:rPr>
          <w:rFonts w:ascii="Adelle Sans;sans-serif" w:hAnsi="Adelle Sans;sans-serif"/>
          <w:b/>
          <w:color w:val="000000"/>
          <w:sz w:val="20"/>
        </w:rPr>
        <w:t>4.Financial Instruments</w:t>
      </w:r>
    </w:p>
    <w:p>
      <w:pPr>
        <w:pStyle w:val="TextBody"/>
        <w:bidi w:val="0"/>
        <w:spacing w:lineRule="auto" w:line="288" w:before="0" w:after="200"/>
        <w:jc w:val="both"/>
        <w:rPr>
          <w:rFonts w:ascii="Adelle Sans Light;sans-serif" w:hAnsi="Adelle Sans Light;sans-serif"/>
          <w:b w:val="false"/>
          <w:color w:val="000000"/>
          <w:sz w:val="20"/>
        </w:rPr>
      </w:pPr>
      <w:r>
        <w:rPr>
          <w:rFonts w:ascii="Adelle Sans Light;sans-serif" w:hAnsi="Adelle Sans Light;sans-serif"/>
          <w:b w:val="false"/>
          <w:color w:val="000000"/>
          <w:sz w:val="20"/>
        </w:rPr>
        <w:t>The Company measures financial instruments based on quoted prices in active markets (Level 1), inputs from similar instruments such as quoted prices or other observable market data (Level 2) or where little or no market activity exists, using unobservable inputs that require judgment or estimation (Level 3).</w:t>
      </w:r>
    </w:p>
    <w:p>
      <w:pPr>
        <w:pStyle w:val="TextBody"/>
        <w:bidi w:val="0"/>
        <w:spacing w:lineRule="auto" w:line="288" w:before="0" w:after="200"/>
        <w:jc w:val="left"/>
        <w:rPr>
          <w:rFonts w:ascii="Adelle Sans;sans-serif" w:hAnsi="Adelle Sans;sans-serif"/>
          <w:b/>
          <w:i/>
          <w:color w:val="000000"/>
          <w:sz w:val="20"/>
        </w:rPr>
      </w:pPr>
      <w:bookmarkStart w:id="23" w:name="i52d8402728434a5eabfdc1fcc75a0f24"/>
      <w:bookmarkEnd w:id="23"/>
      <w:r>
        <w:rPr>
          <w:rFonts w:ascii="Adelle Sans;sans-serif" w:hAnsi="Adelle Sans;sans-serif"/>
          <w:b/>
          <w:i/>
          <w:color w:val="000000"/>
          <w:sz w:val="20"/>
        </w:rPr>
        <w:t xml:space="preserve">Debt Securities </w:t>
      </w:r>
    </w:p>
    <w:p>
      <w:pPr>
        <w:pStyle w:val="TextBody"/>
        <w:bidi w:val="0"/>
        <w:spacing w:lineRule="auto" w:line="288" w:before="0" w:after="200"/>
        <w:jc w:val="both"/>
        <w:rPr>
          <w:rFonts w:ascii="Adelle Sans Light;sans-serif" w:hAnsi="Adelle Sans Light;sans-serif"/>
          <w:b w:val="false"/>
          <w:color w:val="000000"/>
          <w:sz w:val="20"/>
        </w:rPr>
      </w:pPr>
      <w:r>
        <w:rPr>
          <w:rFonts w:ascii="Adelle Sans Light;sans-serif" w:hAnsi="Adelle Sans Light;sans-serif"/>
          <w:b w:val="false"/>
          <w:color w:val="000000"/>
          <w:sz w:val="20"/>
        </w:rPr>
        <w:t>The Company holds certain debt securities that are classified as held-to-maturity at the time of purchase as the Company has both the positive intent and ability to hold to maturity. The fair value of corporate bonds are based upon Level 2 inputs, which include period-end mid-market quotations for each underlying contract as calculated by the financial institution with which the Company has transacted. The quotations are based on bid/ask quotations and represent the discounted future settlement amounts based on current market rates.</w:t>
      </w:r>
    </w:p>
    <w:p>
      <w:pPr>
        <w:pStyle w:val="TextBody"/>
        <w:bidi w:val="0"/>
        <w:spacing w:lineRule="auto" w:line="288" w:before="0" w:after="200"/>
        <w:jc w:val="both"/>
        <w:rPr>
          <w:rFonts w:ascii="Adelle Sans Light;sans-serif" w:hAnsi="Adelle Sans Light;sans-serif"/>
          <w:b w:val="false"/>
          <w:color w:val="000000"/>
          <w:sz w:val="20"/>
        </w:rPr>
      </w:pPr>
      <w:r>
        <w:rPr>
          <w:rFonts w:ascii="Adelle Sans Light;sans-serif" w:hAnsi="Adelle Sans Light;sans-serif"/>
          <w:b w:val="false"/>
          <w:color w:val="000000"/>
          <w:sz w:val="20"/>
        </w:rPr>
        <w:t>The Company also holds debt securities in the form of convertible notes in private companies classified as available-for-sale for which the Company has elected to apply the fair value option. The investments are carried at fair value at each balance sheet date and any movements in the fair values are classified as "Other income (expense), net" in the condensed consolidated statements of operations and comprehensive income.</w:t>
      </w:r>
    </w:p>
    <w:p>
      <w:pPr>
        <w:pStyle w:val="TextBody"/>
        <w:bidi w:val="0"/>
        <w:spacing w:lineRule="auto" w:line="288" w:before="0" w:after="200"/>
        <w:jc w:val="both"/>
        <w:rPr>
          <w:rFonts w:ascii="Adelle Sans Light;sans-serif" w:hAnsi="Adelle Sans Light;sans-serif"/>
          <w:b w:val="false"/>
          <w:color w:val="000000"/>
          <w:sz w:val="20"/>
        </w:rPr>
      </w:pPr>
      <w:r>
        <w:rPr>
          <w:rFonts w:ascii="Adelle Sans Light;sans-serif" w:hAnsi="Adelle Sans Light;sans-serif"/>
          <w:b w:val="false"/>
          <w:color w:val="000000"/>
          <w:sz w:val="20"/>
        </w:rPr>
        <w:t>The following tables summarize debt securities by balance sheet classification and level within the fair value hierarchy:</w:t>
      </w:r>
    </w:p>
    <w:tbl>
      <w:tblPr>
        <w:tblW w:w="10205" w:type="dxa"/>
        <w:jc w:val="left"/>
        <w:tblInd w:w="0" w:type="dxa"/>
        <w:tblLayout w:type="fixed"/>
        <w:tblCellMar>
          <w:top w:w="28" w:type="dxa"/>
          <w:left w:w="28" w:type="dxa"/>
          <w:bottom w:w="28" w:type="dxa"/>
          <w:right w:w="28" w:type="dxa"/>
        </w:tblCellMar>
      </w:tblPr>
      <w:tblGrid>
        <w:gridCol w:w="747"/>
        <w:gridCol w:w="426"/>
        <w:gridCol w:w="345"/>
        <w:gridCol w:w="459"/>
        <w:gridCol w:w="459"/>
        <w:gridCol w:w="460"/>
        <w:gridCol w:w="110"/>
        <w:gridCol w:w="110"/>
        <w:gridCol w:w="110"/>
        <w:gridCol w:w="110"/>
        <w:gridCol w:w="110"/>
        <w:gridCol w:w="110"/>
        <w:gridCol w:w="110"/>
        <w:gridCol w:w="467"/>
        <w:gridCol w:w="467"/>
        <w:gridCol w:w="468"/>
        <w:gridCol w:w="109"/>
        <w:gridCol w:w="109"/>
        <w:gridCol w:w="109"/>
        <w:gridCol w:w="509"/>
        <w:gridCol w:w="509"/>
        <w:gridCol w:w="510"/>
        <w:gridCol w:w="109"/>
        <w:gridCol w:w="109"/>
        <w:gridCol w:w="109"/>
        <w:gridCol w:w="539"/>
        <w:gridCol w:w="539"/>
        <w:gridCol w:w="540"/>
        <w:gridCol w:w="109"/>
        <w:gridCol w:w="109"/>
        <w:gridCol w:w="109"/>
        <w:gridCol w:w="244"/>
        <w:gridCol w:w="244"/>
        <w:gridCol w:w="245"/>
        <w:gridCol w:w="109"/>
        <w:gridCol w:w="168"/>
      </w:tblGrid>
      <w:tr>
        <w:trPr/>
        <w:tc>
          <w:tcPr>
            <w:tcW w:w="747"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1518" w:type="dxa"/>
            <w:gridSpan w:val="3"/>
            <w:tcBorders/>
            <w:vAlign w:val="center"/>
          </w:tcPr>
          <w:p>
            <w:pPr>
              <w:pStyle w:val="TableContents"/>
              <w:bidi w:val="0"/>
              <w:spacing w:before="0" w:after="283"/>
              <w:jc w:val="left"/>
              <w:rPr>
                <w:sz w:val="4"/>
                <w:szCs w:val="4"/>
              </w:rPr>
            </w:pPr>
            <w:r>
              <w:rPr>
                <w:sz w:val="4"/>
                <w:szCs w:val="4"/>
              </w:rPr>
            </w:r>
          </w:p>
        </w:tc>
        <w:tc>
          <w:tcPr>
            <w:tcW w:w="1378"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4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8" w:type="dxa"/>
            <w:gridSpan w:val="3"/>
            <w:tcBorders/>
            <w:vAlign w:val="center"/>
          </w:tcPr>
          <w:p>
            <w:pPr>
              <w:pStyle w:val="TableContents"/>
              <w:bidi w:val="0"/>
              <w:spacing w:before="0" w:after="283"/>
              <w:jc w:val="left"/>
              <w:rPr>
                <w:sz w:val="4"/>
                <w:szCs w:val="4"/>
              </w:rPr>
            </w:pPr>
            <w:r>
              <w:rPr>
                <w:sz w:val="4"/>
                <w:szCs w:val="4"/>
              </w:rPr>
            </w:r>
          </w:p>
        </w:tc>
        <w:tc>
          <w:tcPr>
            <w:tcW w:w="3282" w:type="dxa"/>
            <w:gridSpan w:val="14"/>
            <w:tcBorders/>
          </w:tcPr>
          <w:p>
            <w:pPr>
              <w:pStyle w:val="TableContents"/>
              <w:bidi w:val="0"/>
              <w:spacing w:before="0" w:after="283"/>
              <w:jc w:val="left"/>
              <w:rPr>
                <w:sz w:val="4"/>
                <w:szCs w:val="4"/>
              </w:rPr>
            </w:pPr>
            <w:r>
              <w:rPr>
                <w:sz w:val="4"/>
                <w:szCs w:val="4"/>
              </w:rPr>
            </w:r>
          </w:p>
        </w:tc>
      </w:tr>
      <w:tr>
        <w:trPr/>
        <w:tc>
          <w:tcPr>
            <w:tcW w:w="15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5" w:type="dxa"/>
            <w:gridSpan w:val="19"/>
            <w:tcBorders/>
            <w:tcMar>
              <w:top w:w="0" w:type="dxa"/>
              <w:left w:w="0" w:type="dxa"/>
              <w:bottom w:w="0" w:type="dxa"/>
              <w:right w:w="0" w:type="dxa"/>
            </w:tcMar>
            <w:vAlign w:val="center"/>
          </w:tcPr>
          <w:p>
            <w:pPr>
              <w:pStyle w:val="TableContents"/>
              <w:bidi w:val="0"/>
              <w:spacing w:lineRule="auto" w:line="240" w:before="0" w:after="283"/>
              <w:jc w:val="center"/>
              <w:rPr>
                <w:rFonts w:ascii="Adelle Sans;sans-serif" w:hAnsi="Adelle Sans;sans-serif"/>
                <w:b/>
                <w:color w:val="000000"/>
                <w:sz w:val="18"/>
              </w:rPr>
            </w:pPr>
            <w:r>
              <w:rPr>
                <w:rFonts w:ascii="Adelle Sans;sans-serif" w:hAnsi="Adelle Sans;sans-serif"/>
                <w:b/>
                <w:color w:val="000000"/>
                <w:sz w:val="18"/>
              </w:rPr>
              <w:t>June 30, 2026</w:t>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8" w:type="dxa"/>
            <w:gridSpan w:val="3"/>
            <w:tcBorders/>
            <w:vAlign w:val="center"/>
          </w:tcPr>
          <w:p>
            <w:pPr>
              <w:pStyle w:val="TableContents"/>
              <w:bidi w:val="0"/>
              <w:spacing w:before="0" w:after="283"/>
              <w:jc w:val="left"/>
              <w:rPr>
                <w:sz w:val="4"/>
                <w:szCs w:val="4"/>
              </w:rPr>
            </w:pPr>
            <w:r>
              <w:rPr>
                <w:sz w:val="4"/>
                <w:szCs w:val="4"/>
              </w:rPr>
            </w:r>
          </w:p>
        </w:tc>
        <w:tc>
          <w:tcPr>
            <w:tcW w:w="1337" w:type="dxa"/>
            <w:gridSpan w:val="8"/>
            <w:tcBorders/>
          </w:tcPr>
          <w:p>
            <w:pPr>
              <w:pStyle w:val="TableContents"/>
              <w:bidi w:val="0"/>
              <w:spacing w:before="0" w:after="283"/>
              <w:jc w:val="left"/>
              <w:rPr>
                <w:sz w:val="4"/>
                <w:szCs w:val="4"/>
              </w:rPr>
            </w:pPr>
            <w:r>
              <w:rPr>
                <w:sz w:val="4"/>
                <w:szCs w:val="4"/>
              </w:rPr>
            </w:r>
          </w:p>
        </w:tc>
      </w:tr>
      <w:tr>
        <w:trPr/>
        <w:tc>
          <w:tcPr>
            <w:tcW w:w="15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0" w:type="dxa"/>
            <w:gridSpan w:val="1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delle Sans;sans-serif" w:hAnsi="Adelle Sans;sans-serif"/>
                <w:b/>
                <w:color w:val="000000"/>
                <w:sz w:val="18"/>
              </w:rPr>
            </w:pPr>
            <w:r>
              <w:rPr>
                <w:rFonts w:ascii="Adelle Sans;sans-serif" w:hAnsi="Adelle Sans;sans-serif"/>
                <w:b/>
                <w:color w:val="000000"/>
                <w:sz w:val="18"/>
              </w:rPr>
              <w:t>Carrying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8" w:type="dxa"/>
            <w:gridSpan w:val="3"/>
            <w:tcBorders/>
            <w:vAlign w:val="center"/>
          </w:tcPr>
          <w:p>
            <w:pPr>
              <w:pStyle w:val="TableContents"/>
              <w:bidi w:val="0"/>
              <w:spacing w:before="0" w:after="283"/>
              <w:jc w:val="left"/>
              <w:rPr>
                <w:sz w:val="4"/>
                <w:szCs w:val="4"/>
              </w:rPr>
            </w:pPr>
            <w:r>
              <w:rPr>
                <w:sz w:val="4"/>
                <w:szCs w:val="4"/>
              </w:rPr>
            </w:r>
          </w:p>
        </w:tc>
        <w:tc>
          <w:tcPr>
            <w:tcW w:w="1337" w:type="dxa"/>
            <w:gridSpan w:val="8"/>
            <w:tcBorders/>
          </w:tcPr>
          <w:p>
            <w:pPr>
              <w:pStyle w:val="TableContents"/>
              <w:bidi w:val="0"/>
              <w:spacing w:before="0" w:after="283"/>
              <w:jc w:val="left"/>
              <w:rPr>
                <w:sz w:val="4"/>
                <w:szCs w:val="4"/>
              </w:rPr>
            </w:pPr>
            <w:r>
              <w:rPr>
                <w:sz w:val="4"/>
                <w:szCs w:val="4"/>
              </w:rPr>
            </w:r>
          </w:p>
        </w:tc>
      </w:tr>
      <w:tr>
        <w:trPr/>
        <w:tc>
          <w:tcPr>
            <w:tcW w:w="15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delle Sans;sans-serif" w:hAnsi="Adelle Sans;sans-serif"/>
                <w:b/>
                <w:color w:val="000000"/>
                <w:sz w:val="18"/>
              </w:rPr>
            </w:pPr>
            <w:r>
              <w:rPr>
                <w:rFonts w:ascii="Adelle Sans;sans-serif" w:hAnsi="Adelle Sans;sans-serif"/>
                <w:b/>
                <w:color w:val="000000"/>
                <w:sz w:val="18"/>
              </w:rPr>
              <w:t>Cash Equivalents</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40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delle Sans;sans-serif" w:hAnsi="Adelle Sans;sans-serif"/>
                <w:b/>
                <w:color w:val="000000"/>
                <w:sz w:val="18"/>
              </w:rPr>
            </w:pPr>
            <w:r>
              <w:rPr>
                <w:rFonts w:ascii="Adelle Sans;sans-serif" w:hAnsi="Adelle Sans;sans-serif"/>
                <w:b/>
                <w:color w:val="000000"/>
                <w:sz w:val="18"/>
              </w:rPr>
              <w:t>Marketable Securities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delle Sans;sans-serif" w:hAnsi="Adelle Sans;sans-serif"/>
                <w:b/>
                <w:color w:val="000000"/>
                <w:sz w:val="18"/>
              </w:rPr>
            </w:pPr>
            <w:r>
              <w:rPr>
                <w:rFonts w:ascii="Adelle Sans;sans-serif" w:hAnsi="Adelle Sans;sans-serif"/>
                <w:b/>
                <w:color w:val="000000"/>
                <w:sz w:val="18"/>
              </w:rPr>
              <w:t>Long-term Investments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delle Sans;sans-serif" w:hAnsi="Adelle Sans;sans-serif"/>
                <w:b/>
                <w:color w:val="000000"/>
                <w:sz w:val="18"/>
              </w:rPr>
            </w:pPr>
            <w:r>
              <w:rPr>
                <w:rFonts w:ascii="Adelle Sans;sans-serif" w:hAnsi="Adelle Sans;sans-serif"/>
                <w:b/>
                <w:color w:val="000000"/>
                <w:sz w:val="18"/>
              </w:rPr>
              <w:t>Equity and Other Investments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delle Sans;sans-serif" w:hAnsi="Adelle Sans;sans-serif"/>
                <w:b/>
                <w:color w:val="000000"/>
                <w:sz w:val="18"/>
              </w:rPr>
            </w:pPr>
            <w:r>
              <w:rPr>
                <w:rFonts w:ascii="Adelle Sans;sans-serif" w:hAnsi="Adelle Sans;sans-serif"/>
                <w:b/>
                <w:color w:val="000000"/>
                <w:sz w:val="18"/>
              </w:rPr>
              <w:t>Fair Value</w:t>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1518" w:type="dxa"/>
            <w:gridSpan w:val="3"/>
            <w:tcBorders/>
            <w:vAlign w:val="center"/>
          </w:tcPr>
          <w:p>
            <w:pPr>
              <w:pStyle w:val="TableContents"/>
              <w:bidi w:val="0"/>
              <w:spacing w:before="0" w:after="283"/>
              <w:jc w:val="left"/>
              <w:rPr>
                <w:sz w:val="4"/>
                <w:szCs w:val="4"/>
              </w:rPr>
            </w:pPr>
            <w:r>
              <w:rPr>
                <w:sz w:val="4"/>
                <w:szCs w:val="4"/>
              </w:rPr>
            </w:r>
          </w:p>
        </w:tc>
        <w:tc>
          <w:tcPr>
            <w:tcW w:w="1378"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4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151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5" w:type="dxa"/>
            <w:gridSpan w:val="19"/>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ind w:left="0" w:right="0" w:hanging="180"/>
              <w:jc w:val="center"/>
              <w:rPr>
                <w:rFonts w:ascii="Adelle Sans;sans-serif" w:hAnsi="Adelle Sans;sans-serif"/>
                <w:b w:val="false"/>
                <w:color w:val="000000"/>
                <w:sz w:val="18"/>
              </w:rPr>
            </w:pPr>
            <w:r>
              <w:rPr>
                <w:rFonts w:ascii="Adelle Sans;sans-serif" w:hAnsi="Adelle Sans;sans-serif"/>
                <w:b w:val="false"/>
                <w:color w:val="000000"/>
                <w:sz w:val="18"/>
              </w:rPr>
              <w:t>(in US $ millions)</w:t>
            </w:r>
          </w:p>
        </w:tc>
        <w:tc>
          <w:tcPr>
            <w:tcW w:w="3282" w:type="dxa"/>
            <w:gridSpan w:val="14"/>
            <w:tcBorders/>
          </w:tcPr>
          <w:p>
            <w:pPr>
              <w:pStyle w:val="TableContents"/>
              <w:bidi w:val="0"/>
              <w:spacing w:before="0" w:after="283"/>
              <w:jc w:val="left"/>
              <w:rPr>
                <w:sz w:val="4"/>
                <w:szCs w:val="4"/>
              </w:rPr>
            </w:pPr>
            <w:r>
              <w:rPr>
                <w:sz w:val="4"/>
                <w:szCs w:val="4"/>
              </w:rPr>
            </w:r>
          </w:p>
        </w:tc>
      </w:tr>
      <w:tr>
        <w:trPr/>
        <w:tc>
          <w:tcPr>
            <w:tcW w:w="1518" w:type="dxa"/>
            <w:gridSpan w:val="3"/>
            <w:tcBorders/>
            <w:shd w:fill="F7F7F7" w:val="clear"/>
            <w:tcMar>
              <w:top w:w="0" w:type="dxa"/>
              <w:left w:w="0" w:type="dxa"/>
              <w:bottom w:w="0" w:type="dxa"/>
              <w:right w:w="0" w:type="dxa"/>
            </w:tcMar>
            <w:vAlign w:val="center"/>
          </w:tcPr>
          <w:p>
            <w:pPr>
              <w:pStyle w:val="TableContents"/>
              <w:bidi w:val="0"/>
              <w:spacing w:lineRule="auto" w:line="240" w:before="0" w:after="283"/>
              <w:jc w:val="left"/>
              <w:rPr>
                <w:rFonts w:ascii="Adelle Sans;sans-serif" w:hAnsi="Adelle Sans;sans-serif"/>
                <w:b/>
                <w:color w:val="000000"/>
                <w:sz w:val="18"/>
              </w:rPr>
            </w:pPr>
            <w:r>
              <w:rPr>
                <w:rFonts w:ascii="Adelle Sans;sans-serif" w:hAnsi="Adelle Sans;sans-serif"/>
                <w:b/>
                <w:color w:val="000000"/>
                <w:sz w:val="18"/>
              </w:rPr>
              <w:t xml:space="preserve">Level 1: </w:t>
            </w:r>
          </w:p>
        </w:tc>
        <w:tc>
          <w:tcPr>
            <w:tcW w:w="1378"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402"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8"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8"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15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delle Sans;sans-serif" w:hAnsi="Adelle Sans;sans-serif"/>
                <w:b w:val="false"/>
                <w:color w:val="000000"/>
                <w:sz w:val="18"/>
              </w:rPr>
            </w:pPr>
            <w:r>
              <w:rPr>
                <w:rFonts w:ascii="Adelle Sans;sans-serif" w:hAnsi="Adelle Sans;sans-serif"/>
                <w:b w:val="false"/>
                <w:color w:val="000000"/>
                <w:sz w:val="18"/>
              </w:rPr>
              <w:t>U.S. term deposits</w:t>
            </w:r>
          </w:p>
        </w:tc>
        <w:tc>
          <w:tcPr>
            <w:tcW w:w="13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4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375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384</w:t>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1518" w:type="dxa"/>
            <w:gridSpan w:val="3"/>
            <w:tcBorders/>
            <w:shd w:fill="F7F7F7" w:val="clear"/>
            <w:tcMar>
              <w:top w:w="0" w:type="dxa"/>
              <w:left w:w="0" w:type="dxa"/>
              <w:bottom w:w="0" w:type="dxa"/>
              <w:right w:w="0" w:type="dxa"/>
            </w:tcMar>
            <w:vAlign w:val="center"/>
          </w:tcPr>
          <w:p>
            <w:pPr>
              <w:pStyle w:val="TableContents"/>
              <w:bidi w:val="0"/>
              <w:spacing w:lineRule="auto" w:line="240" w:before="0" w:after="283"/>
              <w:jc w:val="left"/>
              <w:rPr>
                <w:rFonts w:ascii="Adelle Sans;sans-serif" w:hAnsi="Adelle Sans;sans-serif"/>
                <w:b w:val="false"/>
                <w:color w:val="000000"/>
                <w:sz w:val="18"/>
              </w:rPr>
            </w:pPr>
            <w:r>
              <w:rPr>
                <w:rFonts w:ascii="Adelle Sans;sans-serif" w:hAnsi="Adelle Sans;sans-serif"/>
                <w:b w:val="false"/>
                <w:color w:val="000000"/>
                <w:sz w:val="18"/>
              </w:rPr>
              <w:t>U.S. federal bonds and agency securities</w:t>
            </w:r>
          </w:p>
        </w:tc>
        <w:tc>
          <w:tcPr>
            <w:tcW w:w="1378" w:type="dxa"/>
            <w:gridSpan w:val="3"/>
            <w:tcBorders/>
            <w:shd w:fill="F7F7F7"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30"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402" w:type="dxa"/>
            <w:gridSpan w:val="3"/>
            <w:tcBorders/>
            <w:shd w:fill="F7F7F7"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1,520</w:t>
            </w:r>
          </w:p>
        </w:tc>
        <w:tc>
          <w:tcPr>
            <w:tcW w:w="327"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8" w:type="dxa"/>
            <w:gridSpan w:val="3"/>
            <w:tcBorders/>
            <w:shd w:fill="F7F7F7"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407</w:t>
            </w:r>
          </w:p>
        </w:tc>
        <w:tc>
          <w:tcPr>
            <w:tcW w:w="327"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8" w:type="dxa"/>
            <w:gridSpan w:val="3"/>
            <w:tcBorders/>
            <w:shd w:fill="F7F7F7"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3"/>
            <w:tcBorders/>
            <w:shd w:fill="F7F7F7"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1,924</w:t>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1518" w:type="dxa"/>
            <w:gridSpan w:val="3"/>
            <w:tcBorders/>
            <w:vAlign w:val="center"/>
          </w:tcPr>
          <w:p>
            <w:pPr>
              <w:pStyle w:val="TableContents"/>
              <w:bidi w:val="0"/>
              <w:spacing w:before="0" w:after="283"/>
              <w:jc w:val="left"/>
              <w:rPr>
                <w:sz w:val="4"/>
                <w:szCs w:val="4"/>
              </w:rPr>
            </w:pPr>
            <w:r>
              <w:rPr>
                <w:sz w:val="4"/>
                <w:szCs w:val="4"/>
              </w:rPr>
            </w:r>
          </w:p>
        </w:tc>
        <w:tc>
          <w:tcPr>
            <w:tcW w:w="1378"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4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15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delle Sans;sans-serif" w:hAnsi="Adelle Sans;sans-serif"/>
                <w:b w:val="false"/>
                <w:color w:val="000000"/>
                <w:sz w:val="18"/>
              </w:rPr>
            </w:pPr>
            <w:r>
              <w:rPr>
                <w:rFonts w:ascii="Adelle Sans;sans-serif" w:hAnsi="Adelle Sans;sans-serif"/>
                <w:b w:val="false"/>
                <w:color w:val="000000"/>
                <w:sz w:val="18"/>
              </w:rPr>
              <w:t>Corporate bonds and commercial paper</w:t>
            </w:r>
          </w:p>
        </w:tc>
        <w:tc>
          <w:tcPr>
            <w:tcW w:w="13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25</w:t>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4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25</w:t>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1518" w:type="dxa"/>
            <w:gridSpan w:val="3"/>
            <w:tcBorders/>
            <w:vAlign w:val="center"/>
          </w:tcPr>
          <w:p>
            <w:pPr>
              <w:pStyle w:val="TableContents"/>
              <w:bidi w:val="0"/>
              <w:spacing w:before="0" w:after="283"/>
              <w:jc w:val="left"/>
              <w:rPr>
                <w:sz w:val="4"/>
                <w:szCs w:val="4"/>
              </w:rPr>
            </w:pPr>
            <w:r>
              <w:rPr>
                <w:sz w:val="4"/>
                <w:szCs w:val="4"/>
              </w:rPr>
            </w:r>
          </w:p>
        </w:tc>
        <w:tc>
          <w:tcPr>
            <w:tcW w:w="1378"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4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1518"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8" w:type="dxa"/>
            <w:gridSpan w:val="3"/>
            <w:tcBorders>
              <w:top w:val="single" w:sz="4" w:space="0" w:color="000000"/>
            </w:tcBorders>
            <w:shd w:fill="F7F7F7" w:val="clear"/>
            <w:tcMar>
              <w:top w:w="52"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25</w:t>
            </w:r>
          </w:p>
        </w:tc>
        <w:tc>
          <w:tcPr>
            <w:tcW w:w="330" w:type="dxa"/>
            <w:gridSpan w:val="3"/>
            <w:tcBorders>
              <w:top w:val="single" w:sz="4" w:space="0" w:color="000000"/>
            </w:tcBorders>
            <w:shd w:fill="F7F7F7"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402" w:type="dxa"/>
            <w:gridSpan w:val="3"/>
            <w:tcBorders>
              <w:top w:val="single" w:sz="4" w:space="0" w:color="000000"/>
            </w:tcBorders>
            <w:shd w:fill="F7F7F7" w:val="clear"/>
            <w:tcMar>
              <w:top w:w="52"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1,895</w:t>
            </w:r>
          </w:p>
        </w:tc>
        <w:tc>
          <w:tcPr>
            <w:tcW w:w="327" w:type="dxa"/>
            <w:gridSpan w:val="3"/>
            <w:tcBorders>
              <w:top w:val="single" w:sz="4" w:space="0" w:color="000000"/>
            </w:tcBorders>
            <w:shd w:fill="F7F7F7"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8" w:type="dxa"/>
            <w:gridSpan w:val="3"/>
            <w:tcBorders>
              <w:top w:val="single" w:sz="4" w:space="0" w:color="000000"/>
            </w:tcBorders>
            <w:shd w:fill="F7F7F7" w:val="clear"/>
            <w:tcMar>
              <w:top w:w="52"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407</w:t>
            </w:r>
          </w:p>
        </w:tc>
        <w:tc>
          <w:tcPr>
            <w:tcW w:w="327" w:type="dxa"/>
            <w:gridSpan w:val="3"/>
            <w:tcBorders>
              <w:top w:val="single" w:sz="4" w:space="0" w:color="000000"/>
            </w:tcBorders>
            <w:shd w:fill="F7F7F7"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8" w:type="dxa"/>
            <w:gridSpan w:val="3"/>
            <w:tcBorders>
              <w:top w:val="single" w:sz="4" w:space="0" w:color="000000"/>
            </w:tcBorders>
            <w:shd w:fill="F7F7F7"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top w:val="single" w:sz="4" w:space="0" w:color="000000"/>
            </w:tcBorders>
            <w:shd w:fill="F7F7F7"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3"/>
            <w:tcBorders>
              <w:top w:val="single" w:sz="4" w:space="0" w:color="000000"/>
            </w:tcBorders>
            <w:shd w:fill="F7F7F7" w:val="clear"/>
            <w:tcMar>
              <w:top w:w="52"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2,333</w:t>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151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40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ind w:left="0" w:right="0" w:hanging="180"/>
              <w:jc w:val="left"/>
              <w:rPr>
                <w:sz w:val="4"/>
                <w:szCs w:val="4"/>
              </w:rPr>
            </w:pPr>
            <w:r>
              <w:rPr>
                <w:sz w:val="4"/>
                <w:szCs w:val="4"/>
              </w:rPr>
            </w:r>
          </w:p>
        </w:tc>
      </w:tr>
      <w:tr>
        <w:trPr/>
        <w:tc>
          <w:tcPr>
            <w:tcW w:w="1518" w:type="dxa"/>
            <w:gridSpan w:val="3"/>
            <w:tcBorders/>
            <w:shd w:fill="F7F7F7" w:val="clear"/>
            <w:tcMar>
              <w:top w:w="0" w:type="dxa"/>
              <w:left w:w="0" w:type="dxa"/>
              <w:bottom w:w="0" w:type="dxa"/>
              <w:right w:w="0" w:type="dxa"/>
            </w:tcMar>
            <w:vAlign w:val="center"/>
          </w:tcPr>
          <w:p>
            <w:pPr>
              <w:pStyle w:val="TableContents"/>
              <w:bidi w:val="0"/>
              <w:spacing w:lineRule="auto" w:line="240" w:before="0" w:after="283"/>
              <w:jc w:val="left"/>
              <w:rPr>
                <w:rFonts w:ascii="Adelle Sans;sans-serif" w:hAnsi="Adelle Sans;sans-serif"/>
                <w:b/>
                <w:color w:val="000000"/>
                <w:sz w:val="18"/>
              </w:rPr>
            </w:pPr>
            <w:r>
              <w:rPr>
                <w:rFonts w:ascii="Adelle Sans;sans-serif" w:hAnsi="Adelle Sans;sans-serif"/>
                <w:b/>
                <w:color w:val="000000"/>
                <w:sz w:val="18"/>
              </w:rPr>
              <w:t>Level 2:</w:t>
            </w:r>
          </w:p>
        </w:tc>
        <w:tc>
          <w:tcPr>
            <w:tcW w:w="1378"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402"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8"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8"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15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delle Sans;sans-serif" w:hAnsi="Adelle Sans;sans-serif"/>
                <w:b w:val="false"/>
                <w:color w:val="000000"/>
                <w:sz w:val="18"/>
              </w:rPr>
            </w:pPr>
            <w:r>
              <w:rPr>
                <w:rFonts w:ascii="Adelle Sans;sans-serif" w:hAnsi="Adelle Sans;sans-serif"/>
                <w:b w:val="false"/>
                <w:color w:val="000000"/>
                <w:sz w:val="18"/>
              </w:rPr>
              <w:t>Corporate bonds and commercial paper</w:t>
            </w:r>
          </w:p>
        </w:tc>
        <w:tc>
          <w:tcPr>
            <w:tcW w:w="13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4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1,396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118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1,513</w:t>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1518" w:type="dxa"/>
            <w:gridSpan w:val="3"/>
            <w:tcBorders/>
            <w:vAlign w:val="center"/>
          </w:tcPr>
          <w:p>
            <w:pPr>
              <w:pStyle w:val="TableContents"/>
              <w:bidi w:val="0"/>
              <w:spacing w:before="0" w:after="283"/>
              <w:jc w:val="left"/>
              <w:rPr>
                <w:sz w:val="4"/>
                <w:szCs w:val="4"/>
              </w:rPr>
            </w:pPr>
            <w:r>
              <w:rPr>
                <w:sz w:val="4"/>
                <w:szCs w:val="4"/>
              </w:rPr>
            </w:r>
          </w:p>
        </w:tc>
        <w:tc>
          <w:tcPr>
            <w:tcW w:w="1378"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4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1518" w:type="dxa"/>
            <w:gridSpan w:val="3"/>
            <w:tcBorders/>
            <w:vAlign w:val="center"/>
          </w:tcPr>
          <w:p>
            <w:pPr>
              <w:pStyle w:val="TableContents"/>
              <w:bidi w:val="0"/>
              <w:spacing w:before="0" w:after="283"/>
              <w:jc w:val="left"/>
              <w:rPr>
                <w:sz w:val="4"/>
                <w:szCs w:val="4"/>
              </w:rPr>
            </w:pPr>
            <w:r>
              <w:rPr>
                <w:sz w:val="4"/>
                <w:szCs w:val="4"/>
              </w:rPr>
            </w:r>
          </w:p>
        </w:tc>
        <w:tc>
          <w:tcPr>
            <w:tcW w:w="1378"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4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1518" w:type="dxa"/>
            <w:gridSpan w:val="3"/>
            <w:tcBorders>
              <w:top w:val="single" w:sz="8" w:space="0" w:color="000000"/>
            </w:tcBorders>
            <w:shd w:fill="F7F7F7"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8" w:type="dxa"/>
            <w:gridSpan w:val="3"/>
            <w:tcBorders>
              <w:top w:val="single" w:sz="8" w:space="0" w:color="000000"/>
            </w:tcBorders>
            <w:shd w:fill="F7F7F7"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op w:val="single" w:sz="8" w:space="0" w:color="000000"/>
            </w:tcBorders>
            <w:shd w:fill="F7F7F7"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402" w:type="dxa"/>
            <w:gridSpan w:val="3"/>
            <w:tcBorders>
              <w:top w:val="single" w:sz="8" w:space="0" w:color="000000"/>
            </w:tcBorders>
            <w:shd w:fill="F7F7F7"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7F7F7"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8" w:type="dxa"/>
            <w:gridSpan w:val="3"/>
            <w:tcBorders>
              <w:top w:val="single" w:sz="8" w:space="0" w:color="000000"/>
            </w:tcBorders>
            <w:shd w:fill="F7F7F7"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7F7F7"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8" w:type="dxa"/>
            <w:gridSpan w:val="3"/>
            <w:tcBorders>
              <w:top w:val="single" w:sz="8" w:space="0" w:color="000000"/>
            </w:tcBorders>
            <w:shd w:fill="F7F7F7"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7F7F7"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3"/>
            <w:tcBorders>
              <w:top w:val="single" w:sz="8" w:space="0" w:color="000000"/>
            </w:tcBorders>
            <w:shd w:fill="F7F7F7"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ind w:left="0" w:right="0" w:hanging="180"/>
              <w:jc w:val="left"/>
              <w:rPr>
                <w:sz w:val="4"/>
                <w:szCs w:val="4"/>
              </w:rPr>
            </w:pPr>
            <w:r>
              <w:rPr>
                <w:sz w:val="4"/>
                <w:szCs w:val="4"/>
              </w:rPr>
            </w:r>
          </w:p>
        </w:tc>
      </w:tr>
      <w:tr>
        <w:trPr/>
        <w:tc>
          <w:tcPr>
            <w:tcW w:w="15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delle Sans;sans-serif" w:hAnsi="Adelle Sans;sans-serif"/>
                <w:b/>
                <w:color w:val="000000"/>
                <w:sz w:val="18"/>
              </w:rPr>
            </w:pPr>
            <w:r>
              <w:rPr>
                <w:rFonts w:ascii="Adelle Sans;sans-serif" w:hAnsi="Adelle Sans;sans-serif"/>
                <w:b/>
                <w:color w:val="000000"/>
                <w:sz w:val="18"/>
              </w:rPr>
              <w:t>Level 3:</w:t>
            </w:r>
          </w:p>
        </w:tc>
        <w:tc>
          <w:tcPr>
            <w:tcW w:w="1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1518" w:type="dxa"/>
            <w:gridSpan w:val="3"/>
            <w:tcBorders/>
            <w:shd w:fill="F7F7F7" w:val="clear"/>
            <w:tcMar>
              <w:top w:w="0" w:type="dxa"/>
              <w:left w:w="0" w:type="dxa"/>
              <w:bottom w:w="0" w:type="dxa"/>
              <w:right w:w="0" w:type="dxa"/>
            </w:tcMar>
            <w:vAlign w:val="center"/>
          </w:tcPr>
          <w:p>
            <w:pPr>
              <w:pStyle w:val="TableContents"/>
              <w:bidi w:val="0"/>
              <w:spacing w:lineRule="auto" w:line="240" w:before="0" w:after="283"/>
              <w:jc w:val="left"/>
              <w:rPr>
                <w:rFonts w:ascii="Adelle Sans;sans-serif" w:hAnsi="Adelle Sans;sans-serif"/>
                <w:b w:val="false"/>
                <w:color w:val="000000"/>
                <w:sz w:val="18"/>
              </w:rPr>
            </w:pPr>
            <w:r>
              <w:rPr>
                <w:rFonts w:ascii="Adelle Sans;sans-serif" w:hAnsi="Adelle Sans;sans-serif"/>
                <w:b w:val="false"/>
                <w:color w:val="000000"/>
                <w:sz w:val="18"/>
              </w:rPr>
              <w:t>Convertible notes in private companies</w:t>
            </w:r>
          </w:p>
        </w:tc>
        <w:tc>
          <w:tcPr>
            <w:tcW w:w="1378" w:type="dxa"/>
            <w:gridSpan w:val="3"/>
            <w:tcBorders/>
            <w:shd w:fill="F7F7F7"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30"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402" w:type="dxa"/>
            <w:gridSpan w:val="3"/>
            <w:tcBorders/>
            <w:shd w:fill="F7F7F7"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8" w:type="dxa"/>
            <w:gridSpan w:val="3"/>
            <w:tcBorders/>
            <w:shd w:fill="F7F7F7"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8" w:type="dxa"/>
            <w:gridSpan w:val="3"/>
            <w:tcBorders/>
            <w:shd w:fill="F7F7F7"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587</w:t>
            </w:r>
          </w:p>
        </w:tc>
        <w:tc>
          <w:tcPr>
            <w:tcW w:w="327"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3"/>
            <w:tcBorders/>
            <w:shd w:fill="F7F7F7"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587</w:t>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15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8"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25</w:t>
            </w:r>
          </w:p>
        </w:tc>
        <w:tc>
          <w:tcPr>
            <w:tcW w:w="33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402"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3,291</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8"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525</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8"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587</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4,433</w:t>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jc w:val="both"/>
        <w:rPr>
          <w:rFonts w:ascii="Adelle Sans Light;sans-serif" w:hAnsi="Adelle Sans Light;sans-serif"/>
          <w:b w:val="false"/>
          <w:color w:val="000000"/>
          <w:sz w:val="20"/>
        </w:rPr>
      </w:pPr>
      <w:r>
        <w:rPr>
          <w:rFonts w:ascii="Adelle Sans Light;sans-serif" w:hAnsi="Adelle Sans Light;sans-serif"/>
          <w:b w:val="false"/>
          <w:color w:val="000000"/>
          <w:sz w:val="20"/>
        </w:rPr>
        <w:t>The fair values of marketable securities above include accrued interest of $34 million, which is excluded from the carrying amounts. The accrued interest is included in "Trade and other receivables, net" in the condensed consolidated balance sheets. Additional accrued interest of $130 million recognized on the convertible notes in private companies is included in the carrying amount and fair value above.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7955"/>
                <wp:effectExtent l="0" t="0" r="0" b="0"/>
                <wp:wrapNone/>
                <wp:docPr id="13" name="Frame12"/>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200"/>
                              <w:jc w:val="center"/>
                              <w:rPr>
                                <w:rFonts w:ascii="Adelle Sans Light;sans-serif" w:hAnsi="Adelle Sans Light;sans-serif"/>
                                <w:b w:val="false"/>
                                <w:color w:val="000000"/>
                                <w:sz w:val="20"/>
                              </w:rPr>
                            </w:pPr>
                            <w:r>
                              <w:rPr>
                                <w:rFonts w:ascii="Adelle Sans Light;sans-serif" w:hAnsi="Adelle Sans Light;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Adelle Sans Light;sans-serif" w:hAnsi="Adelle Sans Light;sans-serif"/>
                          <w:b w:val="false"/>
                          <w:color w:val="000000"/>
                          <w:sz w:val="20"/>
                        </w:rPr>
                      </w:pPr>
                      <w:r>
                        <w:rPr>
                          <w:rFonts w:ascii="Adelle Sans Light;sans-serif" w:hAnsi="Adelle Sans Light;sans-serif"/>
                          <w:b w:val="false"/>
                          <w:color w:val="000000"/>
                          <w:sz w:val="20"/>
                        </w:rPr>
                        <w:t>12</w:t>
                      </w:r>
                    </w:p>
                  </w:txbxContent>
                </v:textbox>
                <w10:wrap type="none"/>
              </v:rect>
            </w:pict>
          </mc:Fallback>
        </mc:AlternateContent>
      </w:r>
    </w:p>
    <w:p>
      <w:pPr>
        <w:pStyle w:val="TextBody"/>
        <w:bidi w:val="0"/>
        <w:spacing w:lineRule="auto" w:line="288" w:before="0" w:after="200"/>
        <w:jc w:val="both"/>
        <w:rPr/>
      </w:pPr>
      <w:hyperlink w:anchor="iccccf23fa31e44f0aa82c99ca0859db8_7">
        <w:r>
          <w:rPr>
            <w:rStyle w:val="InternetLink"/>
            <w:rFonts w:ascii="Adelle Sans Light;sans-serif" w:hAnsi="Adelle Sans Light;sans-serif"/>
            <w:b w:val="false"/>
            <w:color w:val="0000FF"/>
            <w:sz w:val="20"/>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729"/>
        <w:gridCol w:w="412"/>
        <w:gridCol w:w="377"/>
        <w:gridCol w:w="459"/>
        <w:gridCol w:w="459"/>
        <w:gridCol w:w="460"/>
        <w:gridCol w:w="110"/>
        <w:gridCol w:w="110"/>
        <w:gridCol w:w="110"/>
        <w:gridCol w:w="110"/>
        <w:gridCol w:w="110"/>
        <w:gridCol w:w="110"/>
        <w:gridCol w:w="110"/>
        <w:gridCol w:w="467"/>
        <w:gridCol w:w="467"/>
        <w:gridCol w:w="468"/>
        <w:gridCol w:w="109"/>
        <w:gridCol w:w="109"/>
        <w:gridCol w:w="109"/>
        <w:gridCol w:w="509"/>
        <w:gridCol w:w="509"/>
        <w:gridCol w:w="510"/>
        <w:gridCol w:w="109"/>
        <w:gridCol w:w="109"/>
        <w:gridCol w:w="109"/>
        <w:gridCol w:w="539"/>
        <w:gridCol w:w="539"/>
        <w:gridCol w:w="540"/>
        <w:gridCol w:w="109"/>
        <w:gridCol w:w="109"/>
        <w:gridCol w:w="109"/>
        <w:gridCol w:w="244"/>
        <w:gridCol w:w="244"/>
        <w:gridCol w:w="245"/>
        <w:gridCol w:w="109"/>
        <w:gridCol w:w="168"/>
      </w:tblGrid>
      <w:tr>
        <w:trPr/>
        <w:tc>
          <w:tcPr>
            <w:tcW w:w="729"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1518" w:type="dxa"/>
            <w:gridSpan w:val="3"/>
            <w:tcBorders/>
            <w:vAlign w:val="center"/>
          </w:tcPr>
          <w:p>
            <w:pPr>
              <w:pStyle w:val="TableContents"/>
              <w:bidi w:val="0"/>
              <w:spacing w:before="0" w:after="283"/>
              <w:jc w:val="left"/>
              <w:rPr>
                <w:sz w:val="4"/>
                <w:szCs w:val="4"/>
              </w:rPr>
            </w:pPr>
            <w:r>
              <w:rPr>
                <w:sz w:val="4"/>
                <w:szCs w:val="4"/>
              </w:rPr>
            </w:r>
          </w:p>
        </w:tc>
        <w:tc>
          <w:tcPr>
            <w:tcW w:w="1378"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4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8" w:type="dxa"/>
            <w:gridSpan w:val="3"/>
            <w:tcBorders/>
            <w:vAlign w:val="center"/>
          </w:tcPr>
          <w:p>
            <w:pPr>
              <w:pStyle w:val="TableContents"/>
              <w:bidi w:val="0"/>
              <w:spacing w:before="0" w:after="283"/>
              <w:jc w:val="left"/>
              <w:rPr>
                <w:sz w:val="4"/>
                <w:szCs w:val="4"/>
              </w:rPr>
            </w:pPr>
            <w:r>
              <w:rPr>
                <w:sz w:val="4"/>
                <w:szCs w:val="4"/>
              </w:rPr>
            </w:r>
          </w:p>
        </w:tc>
        <w:tc>
          <w:tcPr>
            <w:tcW w:w="3282" w:type="dxa"/>
            <w:gridSpan w:val="14"/>
            <w:tcBorders/>
          </w:tcPr>
          <w:p>
            <w:pPr>
              <w:pStyle w:val="TableContents"/>
              <w:bidi w:val="0"/>
              <w:spacing w:before="0" w:after="283"/>
              <w:jc w:val="left"/>
              <w:rPr>
                <w:sz w:val="4"/>
                <w:szCs w:val="4"/>
              </w:rPr>
            </w:pPr>
            <w:r>
              <w:rPr>
                <w:sz w:val="4"/>
                <w:szCs w:val="4"/>
              </w:rPr>
            </w:r>
          </w:p>
        </w:tc>
      </w:tr>
      <w:tr>
        <w:trPr/>
        <w:tc>
          <w:tcPr>
            <w:tcW w:w="15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5" w:type="dxa"/>
            <w:gridSpan w:val="19"/>
            <w:tcBorders/>
            <w:tcMar>
              <w:top w:w="0" w:type="dxa"/>
              <w:left w:w="0" w:type="dxa"/>
              <w:bottom w:w="0" w:type="dxa"/>
              <w:right w:w="0" w:type="dxa"/>
            </w:tcMar>
            <w:vAlign w:val="center"/>
          </w:tcPr>
          <w:p>
            <w:pPr>
              <w:pStyle w:val="TableContents"/>
              <w:bidi w:val="0"/>
              <w:spacing w:lineRule="auto" w:line="240" w:before="0" w:after="283"/>
              <w:jc w:val="center"/>
              <w:rPr>
                <w:rFonts w:ascii="Adelle Sans;sans-serif" w:hAnsi="Adelle Sans;sans-serif"/>
                <w:b/>
                <w:color w:val="000000"/>
                <w:sz w:val="18"/>
              </w:rPr>
            </w:pPr>
            <w:r>
              <w:rPr>
                <w:rFonts w:ascii="Adelle Sans;sans-serif" w:hAnsi="Adelle Sans;sans-serif"/>
                <w:b/>
                <w:color w:val="000000"/>
                <w:sz w:val="18"/>
              </w:rPr>
              <w:t>December 31, 2025</w:t>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8" w:type="dxa"/>
            <w:gridSpan w:val="3"/>
            <w:tcBorders/>
            <w:vAlign w:val="center"/>
          </w:tcPr>
          <w:p>
            <w:pPr>
              <w:pStyle w:val="TableContents"/>
              <w:bidi w:val="0"/>
              <w:spacing w:before="0" w:after="283"/>
              <w:jc w:val="left"/>
              <w:rPr>
                <w:sz w:val="4"/>
                <w:szCs w:val="4"/>
              </w:rPr>
            </w:pPr>
            <w:r>
              <w:rPr>
                <w:sz w:val="4"/>
                <w:szCs w:val="4"/>
              </w:rPr>
            </w:r>
          </w:p>
        </w:tc>
        <w:tc>
          <w:tcPr>
            <w:tcW w:w="1337" w:type="dxa"/>
            <w:gridSpan w:val="8"/>
            <w:tcBorders/>
          </w:tcPr>
          <w:p>
            <w:pPr>
              <w:pStyle w:val="TableContents"/>
              <w:bidi w:val="0"/>
              <w:spacing w:before="0" w:after="283"/>
              <w:jc w:val="left"/>
              <w:rPr>
                <w:sz w:val="4"/>
                <w:szCs w:val="4"/>
              </w:rPr>
            </w:pPr>
            <w:r>
              <w:rPr>
                <w:sz w:val="4"/>
                <w:szCs w:val="4"/>
              </w:rPr>
            </w:r>
          </w:p>
        </w:tc>
      </w:tr>
      <w:tr>
        <w:trPr/>
        <w:tc>
          <w:tcPr>
            <w:tcW w:w="15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0" w:type="dxa"/>
            <w:gridSpan w:val="1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delle Sans;sans-serif" w:hAnsi="Adelle Sans;sans-serif"/>
                <w:b/>
                <w:color w:val="000000"/>
                <w:sz w:val="18"/>
              </w:rPr>
            </w:pPr>
            <w:r>
              <w:rPr>
                <w:rFonts w:ascii="Adelle Sans;sans-serif" w:hAnsi="Adelle Sans;sans-serif"/>
                <w:b/>
                <w:color w:val="000000"/>
                <w:sz w:val="18"/>
              </w:rPr>
              <w:t>Carrying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8" w:type="dxa"/>
            <w:gridSpan w:val="3"/>
            <w:tcBorders/>
            <w:vAlign w:val="center"/>
          </w:tcPr>
          <w:p>
            <w:pPr>
              <w:pStyle w:val="TableContents"/>
              <w:bidi w:val="0"/>
              <w:spacing w:before="0" w:after="283"/>
              <w:jc w:val="left"/>
              <w:rPr>
                <w:sz w:val="4"/>
                <w:szCs w:val="4"/>
              </w:rPr>
            </w:pPr>
            <w:r>
              <w:rPr>
                <w:sz w:val="4"/>
                <w:szCs w:val="4"/>
              </w:rPr>
            </w:r>
          </w:p>
        </w:tc>
        <w:tc>
          <w:tcPr>
            <w:tcW w:w="1337" w:type="dxa"/>
            <w:gridSpan w:val="8"/>
            <w:tcBorders/>
          </w:tcPr>
          <w:p>
            <w:pPr>
              <w:pStyle w:val="TableContents"/>
              <w:bidi w:val="0"/>
              <w:spacing w:before="0" w:after="283"/>
              <w:jc w:val="left"/>
              <w:rPr>
                <w:sz w:val="4"/>
                <w:szCs w:val="4"/>
              </w:rPr>
            </w:pPr>
            <w:r>
              <w:rPr>
                <w:sz w:val="4"/>
                <w:szCs w:val="4"/>
              </w:rPr>
            </w:r>
          </w:p>
        </w:tc>
      </w:tr>
      <w:tr>
        <w:trPr/>
        <w:tc>
          <w:tcPr>
            <w:tcW w:w="15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delle Sans;sans-serif" w:hAnsi="Adelle Sans;sans-serif"/>
                <w:b/>
                <w:color w:val="000000"/>
                <w:sz w:val="18"/>
              </w:rPr>
            </w:pPr>
            <w:r>
              <w:rPr>
                <w:rFonts w:ascii="Adelle Sans;sans-serif" w:hAnsi="Adelle Sans;sans-serif"/>
                <w:b/>
                <w:color w:val="000000"/>
                <w:sz w:val="18"/>
              </w:rPr>
              <w:t>Cash Equivalents</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40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delle Sans;sans-serif" w:hAnsi="Adelle Sans;sans-serif"/>
                <w:b/>
                <w:color w:val="000000"/>
                <w:sz w:val="18"/>
              </w:rPr>
            </w:pPr>
            <w:r>
              <w:rPr>
                <w:rFonts w:ascii="Adelle Sans;sans-serif" w:hAnsi="Adelle Sans;sans-serif"/>
                <w:b/>
                <w:color w:val="000000"/>
                <w:sz w:val="18"/>
              </w:rPr>
              <w:t>Marketable Securities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delle Sans;sans-serif" w:hAnsi="Adelle Sans;sans-serif"/>
                <w:b/>
                <w:color w:val="000000"/>
                <w:sz w:val="18"/>
              </w:rPr>
            </w:pPr>
            <w:r>
              <w:rPr>
                <w:rFonts w:ascii="Adelle Sans;sans-serif" w:hAnsi="Adelle Sans;sans-serif"/>
                <w:b/>
                <w:color w:val="000000"/>
                <w:sz w:val="18"/>
              </w:rPr>
              <w:t>Long-term Investments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delle Sans;sans-serif" w:hAnsi="Adelle Sans;sans-serif"/>
                <w:b/>
                <w:color w:val="000000"/>
                <w:sz w:val="18"/>
              </w:rPr>
            </w:pPr>
            <w:r>
              <w:rPr>
                <w:rFonts w:ascii="Adelle Sans;sans-serif" w:hAnsi="Adelle Sans;sans-serif"/>
                <w:b/>
                <w:color w:val="000000"/>
                <w:sz w:val="18"/>
              </w:rPr>
              <w:t>Equity and Other Investments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delle Sans;sans-serif" w:hAnsi="Adelle Sans;sans-serif"/>
                <w:b/>
                <w:color w:val="000000"/>
                <w:sz w:val="18"/>
              </w:rPr>
            </w:pPr>
            <w:r>
              <w:rPr>
                <w:rFonts w:ascii="Adelle Sans;sans-serif" w:hAnsi="Adelle Sans;sans-serif"/>
                <w:b/>
                <w:color w:val="000000"/>
                <w:sz w:val="18"/>
              </w:rPr>
              <w:t>Fair Value</w:t>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1518" w:type="dxa"/>
            <w:gridSpan w:val="3"/>
            <w:tcBorders/>
            <w:vAlign w:val="center"/>
          </w:tcPr>
          <w:p>
            <w:pPr>
              <w:pStyle w:val="TableContents"/>
              <w:bidi w:val="0"/>
              <w:spacing w:before="0" w:after="283"/>
              <w:jc w:val="left"/>
              <w:rPr>
                <w:sz w:val="4"/>
                <w:szCs w:val="4"/>
              </w:rPr>
            </w:pPr>
            <w:r>
              <w:rPr>
                <w:sz w:val="4"/>
                <w:szCs w:val="4"/>
              </w:rPr>
            </w:r>
          </w:p>
        </w:tc>
        <w:tc>
          <w:tcPr>
            <w:tcW w:w="1378"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4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151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5" w:type="dxa"/>
            <w:gridSpan w:val="19"/>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ind w:left="0" w:right="0" w:hanging="180"/>
              <w:jc w:val="center"/>
              <w:rPr>
                <w:rFonts w:ascii="Adelle Sans;sans-serif" w:hAnsi="Adelle Sans;sans-serif"/>
                <w:b w:val="false"/>
                <w:color w:val="000000"/>
                <w:sz w:val="18"/>
              </w:rPr>
            </w:pPr>
            <w:r>
              <w:rPr>
                <w:rFonts w:ascii="Adelle Sans;sans-serif" w:hAnsi="Adelle Sans;sans-serif"/>
                <w:b w:val="false"/>
                <w:color w:val="000000"/>
                <w:sz w:val="18"/>
              </w:rPr>
              <w:t>(in US $ millions)</w:t>
            </w:r>
          </w:p>
        </w:tc>
        <w:tc>
          <w:tcPr>
            <w:tcW w:w="3282" w:type="dxa"/>
            <w:gridSpan w:val="14"/>
            <w:tcBorders/>
          </w:tcPr>
          <w:p>
            <w:pPr>
              <w:pStyle w:val="TableContents"/>
              <w:bidi w:val="0"/>
              <w:spacing w:before="0" w:after="283"/>
              <w:jc w:val="left"/>
              <w:rPr>
                <w:sz w:val="4"/>
                <w:szCs w:val="4"/>
              </w:rPr>
            </w:pPr>
            <w:r>
              <w:rPr>
                <w:sz w:val="4"/>
                <w:szCs w:val="4"/>
              </w:rPr>
            </w:r>
          </w:p>
        </w:tc>
      </w:tr>
      <w:tr>
        <w:trPr/>
        <w:tc>
          <w:tcPr>
            <w:tcW w:w="1518" w:type="dxa"/>
            <w:gridSpan w:val="3"/>
            <w:tcBorders/>
            <w:shd w:fill="F7F7F7" w:val="clear"/>
            <w:tcMar>
              <w:top w:w="0" w:type="dxa"/>
              <w:left w:w="0" w:type="dxa"/>
              <w:bottom w:w="0" w:type="dxa"/>
              <w:right w:w="0" w:type="dxa"/>
            </w:tcMar>
            <w:vAlign w:val="center"/>
          </w:tcPr>
          <w:p>
            <w:pPr>
              <w:pStyle w:val="TableContents"/>
              <w:bidi w:val="0"/>
              <w:spacing w:lineRule="auto" w:line="240" w:before="0" w:after="283"/>
              <w:jc w:val="left"/>
              <w:rPr>
                <w:rFonts w:ascii="Adelle Sans;sans-serif" w:hAnsi="Adelle Sans;sans-serif"/>
                <w:b/>
                <w:color w:val="000000"/>
                <w:sz w:val="18"/>
              </w:rPr>
            </w:pPr>
            <w:r>
              <w:rPr>
                <w:rFonts w:ascii="Adelle Sans;sans-serif" w:hAnsi="Adelle Sans;sans-serif"/>
                <w:b/>
                <w:color w:val="000000"/>
                <w:sz w:val="18"/>
              </w:rPr>
              <w:t>Level 1:</w:t>
            </w:r>
          </w:p>
        </w:tc>
        <w:tc>
          <w:tcPr>
            <w:tcW w:w="1378"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402"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8"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8"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15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delle Sans;sans-serif" w:hAnsi="Adelle Sans;sans-serif"/>
                <w:b w:val="false"/>
                <w:color w:val="000000"/>
                <w:sz w:val="18"/>
              </w:rPr>
            </w:pPr>
            <w:r>
              <w:rPr>
                <w:rFonts w:ascii="Adelle Sans;sans-serif" w:hAnsi="Adelle Sans;sans-serif"/>
                <w:b w:val="false"/>
                <w:color w:val="000000"/>
                <w:sz w:val="18"/>
              </w:rPr>
              <w:t>U.S. term deposits</w:t>
            </w:r>
          </w:p>
        </w:tc>
        <w:tc>
          <w:tcPr>
            <w:tcW w:w="13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4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520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531</w:t>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1518" w:type="dxa"/>
            <w:gridSpan w:val="3"/>
            <w:tcBorders/>
            <w:shd w:fill="F7F7F7" w:val="clear"/>
            <w:tcMar>
              <w:top w:w="0" w:type="dxa"/>
              <w:left w:w="0" w:type="dxa"/>
              <w:bottom w:w="0" w:type="dxa"/>
              <w:right w:w="0" w:type="dxa"/>
            </w:tcMar>
            <w:vAlign w:val="center"/>
          </w:tcPr>
          <w:p>
            <w:pPr>
              <w:pStyle w:val="TableContents"/>
              <w:bidi w:val="0"/>
              <w:spacing w:lineRule="auto" w:line="240" w:before="0" w:after="283"/>
              <w:jc w:val="left"/>
              <w:rPr>
                <w:rFonts w:ascii="Adelle Sans;sans-serif" w:hAnsi="Adelle Sans;sans-serif"/>
                <w:b w:val="false"/>
                <w:color w:val="000000"/>
                <w:sz w:val="18"/>
              </w:rPr>
            </w:pPr>
            <w:r>
              <w:rPr>
                <w:rFonts w:ascii="Adelle Sans;sans-serif" w:hAnsi="Adelle Sans;sans-serif"/>
                <w:b w:val="false"/>
                <w:color w:val="000000"/>
                <w:sz w:val="18"/>
              </w:rPr>
              <w:t>U.S. federal bonds and agency securities</w:t>
            </w:r>
          </w:p>
        </w:tc>
        <w:tc>
          <w:tcPr>
            <w:tcW w:w="1378" w:type="dxa"/>
            <w:gridSpan w:val="3"/>
            <w:tcBorders/>
            <w:shd w:fill="F7F7F7"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1</w:t>
            </w:r>
          </w:p>
        </w:tc>
        <w:tc>
          <w:tcPr>
            <w:tcW w:w="330"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402" w:type="dxa"/>
            <w:gridSpan w:val="3"/>
            <w:tcBorders/>
            <w:shd w:fill="F7F7F7"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1,923</w:t>
            </w:r>
          </w:p>
        </w:tc>
        <w:tc>
          <w:tcPr>
            <w:tcW w:w="327"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8" w:type="dxa"/>
            <w:gridSpan w:val="3"/>
            <w:tcBorders/>
            <w:shd w:fill="F7F7F7"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527</w:t>
            </w:r>
          </w:p>
        </w:tc>
        <w:tc>
          <w:tcPr>
            <w:tcW w:w="327"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8" w:type="dxa"/>
            <w:gridSpan w:val="3"/>
            <w:tcBorders/>
            <w:shd w:fill="F7F7F7"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3"/>
            <w:tcBorders/>
            <w:shd w:fill="F7F7F7"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2,453</w:t>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15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8" w:type="dxa"/>
            <w:gridSpan w:val="3"/>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1</w:t>
            </w:r>
          </w:p>
        </w:tc>
        <w:tc>
          <w:tcPr>
            <w:tcW w:w="330"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402" w:type="dxa"/>
            <w:gridSpan w:val="3"/>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2,443</w:t>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8" w:type="dxa"/>
            <w:gridSpan w:val="3"/>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527</w:t>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8" w:type="dxa"/>
            <w:gridSpan w:val="3"/>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3"/>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2,984</w:t>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1518" w:type="dxa"/>
            <w:gridSpan w:val="3"/>
            <w:tcBorders>
              <w:top w:val="single" w:sz="8" w:space="0" w:color="000000"/>
            </w:tcBorders>
            <w:shd w:fill="F7F7F7"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8" w:type="dxa"/>
            <w:gridSpan w:val="3"/>
            <w:tcBorders>
              <w:top w:val="single" w:sz="8" w:space="0" w:color="000000"/>
            </w:tcBorders>
            <w:shd w:fill="F7F7F7"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op w:val="single" w:sz="8" w:space="0" w:color="000000"/>
            </w:tcBorders>
            <w:shd w:fill="F7F7F7"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402" w:type="dxa"/>
            <w:gridSpan w:val="3"/>
            <w:tcBorders>
              <w:top w:val="single" w:sz="8" w:space="0" w:color="000000"/>
            </w:tcBorders>
            <w:shd w:fill="F7F7F7"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7F7F7"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8" w:type="dxa"/>
            <w:gridSpan w:val="3"/>
            <w:tcBorders>
              <w:top w:val="single" w:sz="8" w:space="0" w:color="000000"/>
            </w:tcBorders>
            <w:shd w:fill="F7F7F7"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7F7F7"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8" w:type="dxa"/>
            <w:gridSpan w:val="3"/>
            <w:tcBorders>
              <w:top w:val="single" w:sz="8" w:space="0" w:color="000000"/>
            </w:tcBorders>
            <w:shd w:fill="F7F7F7"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7F7F7"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3"/>
            <w:tcBorders>
              <w:top w:val="single" w:sz="8" w:space="0" w:color="000000"/>
            </w:tcBorders>
            <w:shd w:fill="F7F7F7"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ind w:left="0" w:right="0" w:hanging="180"/>
              <w:jc w:val="left"/>
              <w:rPr>
                <w:sz w:val="4"/>
                <w:szCs w:val="4"/>
              </w:rPr>
            </w:pPr>
            <w:r>
              <w:rPr>
                <w:sz w:val="4"/>
                <w:szCs w:val="4"/>
              </w:rPr>
            </w:r>
          </w:p>
        </w:tc>
      </w:tr>
      <w:tr>
        <w:trPr/>
        <w:tc>
          <w:tcPr>
            <w:tcW w:w="15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delle Sans;sans-serif" w:hAnsi="Adelle Sans;sans-serif"/>
                <w:b/>
                <w:color w:val="000000"/>
                <w:sz w:val="18"/>
              </w:rPr>
            </w:pPr>
            <w:r>
              <w:rPr>
                <w:rFonts w:ascii="Adelle Sans;sans-serif" w:hAnsi="Adelle Sans;sans-serif"/>
                <w:b/>
                <w:color w:val="000000"/>
                <w:sz w:val="18"/>
              </w:rPr>
              <w:t>Level 2:</w:t>
            </w:r>
          </w:p>
        </w:tc>
        <w:tc>
          <w:tcPr>
            <w:tcW w:w="1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1518" w:type="dxa"/>
            <w:gridSpan w:val="3"/>
            <w:tcBorders/>
            <w:vAlign w:val="center"/>
          </w:tcPr>
          <w:p>
            <w:pPr>
              <w:pStyle w:val="TableContents"/>
              <w:bidi w:val="0"/>
              <w:spacing w:before="0" w:after="283"/>
              <w:jc w:val="left"/>
              <w:rPr>
                <w:sz w:val="4"/>
                <w:szCs w:val="4"/>
              </w:rPr>
            </w:pPr>
            <w:r>
              <w:rPr>
                <w:sz w:val="4"/>
                <w:szCs w:val="4"/>
              </w:rPr>
            </w:r>
          </w:p>
        </w:tc>
        <w:tc>
          <w:tcPr>
            <w:tcW w:w="1378"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4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1518" w:type="dxa"/>
            <w:gridSpan w:val="3"/>
            <w:tcBorders/>
            <w:vAlign w:val="center"/>
          </w:tcPr>
          <w:p>
            <w:pPr>
              <w:pStyle w:val="TableContents"/>
              <w:bidi w:val="0"/>
              <w:spacing w:before="0" w:after="283"/>
              <w:jc w:val="left"/>
              <w:rPr>
                <w:sz w:val="4"/>
                <w:szCs w:val="4"/>
              </w:rPr>
            </w:pPr>
            <w:r>
              <w:rPr>
                <w:sz w:val="4"/>
                <w:szCs w:val="4"/>
              </w:rPr>
            </w:r>
          </w:p>
        </w:tc>
        <w:tc>
          <w:tcPr>
            <w:tcW w:w="1378"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4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1518" w:type="dxa"/>
            <w:gridSpan w:val="3"/>
            <w:tcBorders/>
            <w:shd w:fill="F7F7F7" w:val="clear"/>
            <w:tcMar>
              <w:top w:w="0" w:type="dxa"/>
              <w:left w:w="0" w:type="dxa"/>
              <w:bottom w:w="0" w:type="dxa"/>
              <w:right w:w="0" w:type="dxa"/>
            </w:tcMar>
            <w:vAlign w:val="center"/>
          </w:tcPr>
          <w:p>
            <w:pPr>
              <w:pStyle w:val="TableContents"/>
              <w:bidi w:val="0"/>
              <w:spacing w:lineRule="auto" w:line="240" w:before="0" w:after="283"/>
              <w:jc w:val="left"/>
              <w:rPr>
                <w:rFonts w:ascii="Adelle Sans;sans-serif" w:hAnsi="Adelle Sans;sans-serif"/>
                <w:b w:val="false"/>
                <w:color w:val="000000"/>
                <w:sz w:val="18"/>
              </w:rPr>
            </w:pPr>
            <w:r>
              <w:rPr>
                <w:rFonts w:ascii="Adelle Sans;sans-serif" w:hAnsi="Adelle Sans;sans-serif"/>
                <w:b w:val="false"/>
                <w:color w:val="000000"/>
                <w:sz w:val="18"/>
              </w:rPr>
              <w:t>Corporate bonds and commercial paper</w:t>
            </w:r>
          </w:p>
        </w:tc>
        <w:tc>
          <w:tcPr>
            <w:tcW w:w="1378" w:type="dxa"/>
            <w:gridSpan w:val="3"/>
            <w:tcBorders/>
            <w:shd w:fill="F7F7F7"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30"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402" w:type="dxa"/>
            <w:gridSpan w:val="3"/>
            <w:tcBorders/>
            <w:shd w:fill="F7F7F7"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1,790</w:t>
            </w:r>
          </w:p>
        </w:tc>
        <w:tc>
          <w:tcPr>
            <w:tcW w:w="327"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8" w:type="dxa"/>
            <w:gridSpan w:val="3"/>
            <w:tcBorders/>
            <w:shd w:fill="F7F7F7"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448</w:t>
            </w:r>
          </w:p>
        </w:tc>
        <w:tc>
          <w:tcPr>
            <w:tcW w:w="327"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8" w:type="dxa"/>
            <w:gridSpan w:val="3"/>
            <w:tcBorders/>
            <w:shd w:fill="F7F7F7"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3"/>
            <w:tcBorders/>
            <w:shd w:fill="F7F7F7"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2,240</w:t>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15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40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ind w:left="0" w:right="0" w:hanging="180"/>
              <w:jc w:val="left"/>
              <w:rPr>
                <w:sz w:val="4"/>
                <w:szCs w:val="4"/>
              </w:rPr>
            </w:pPr>
            <w:r>
              <w:rPr>
                <w:sz w:val="4"/>
                <w:szCs w:val="4"/>
              </w:rPr>
            </w:r>
          </w:p>
        </w:tc>
      </w:tr>
      <w:tr>
        <w:trPr/>
        <w:tc>
          <w:tcPr>
            <w:tcW w:w="1518" w:type="dxa"/>
            <w:gridSpan w:val="3"/>
            <w:tcBorders/>
            <w:shd w:fill="F7F7F7" w:val="clear"/>
            <w:tcMar>
              <w:top w:w="0" w:type="dxa"/>
              <w:left w:w="0" w:type="dxa"/>
              <w:bottom w:w="0" w:type="dxa"/>
              <w:right w:w="0" w:type="dxa"/>
            </w:tcMar>
            <w:vAlign w:val="center"/>
          </w:tcPr>
          <w:p>
            <w:pPr>
              <w:pStyle w:val="TableContents"/>
              <w:bidi w:val="0"/>
              <w:spacing w:lineRule="auto" w:line="240" w:before="0" w:after="283"/>
              <w:jc w:val="left"/>
              <w:rPr>
                <w:rFonts w:ascii="Adelle Sans;sans-serif" w:hAnsi="Adelle Sans;sans-serif"/>
                <w:b/>
                <w:color w:val="000000"/>
                <w:sz w:val="18"/>
              </w:rPr>
            </w:pPr>
            <w:r>
              <w:rPr>
                <w:rFonts w:ascii="Adelle Sans;sans-serif" w:hAnsi="Adelle Sans;sans-serif"/>
                <w:b/>
                <w:color w:val="000000"/>
                <w:sz w:val="18"/>
              </w:rPr>
              <w:t>Level 3:</w:t>
            </w:r>
          </w:p>
        </w:tc>
        <w:tc>
          <w:tcPr>
            <w:tcW w:w="1378"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402"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8"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8"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15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delle Sans;sans-serif" w:hAnsi="Adelle Sans;sans-serif"/>
                <w:b w:val="false"/>
                <w:color w:val="000000"/>
                <w:sz w:val="18"/>
              </w:rPr>
            </w:pPr>
            <w:r>
              <w:rPr>
                <w:rFonts w:ascii="Adelle Sans;sans-serif" w:hAnsi="Adelle Sans;sans-serif"/>
                <w:b w:val="false"/>
                <w:color w:val="000000"/>
                <w:sz w:val="18"/>
              </w:rPr>
              <w:t>Convertible notes in private companies</w:t>
            </w:r>
          </w:p>
        </w:tc>
        <w:tc>
          <w:tcPr>
            <w:tcW w:w="13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4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558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558</w:t>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1518"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8" w:type="dxa"/>
            <w:gridSpan w:val="3"/>
            <w:tcBorders>
              <w:top w:val="single" w:sz="8" w:space="0" w:color="000000"/>
            </w:tcBorders>
            <w:shd w:fill="F7F7F7" w:val="clear"/>
            <w:tcMar>
              <w:top w:w="52"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1</w:t>
            </w:r>
          </w:p>
        </w:tc>
        <w:tc>
          <w:tcPr>
            <w:tcW w:w="330" w:type="dxa"/>
            <w:gridSpan w:val="3"/>
            <w:tcBorders>
              <w:top w:val="single" w:sz="8" w:space="0" w:color="000000"/>
            </w:tcBorders>
            <w:shd w:fill="F7F7F7"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402" w:type="dxa"/>
            <w:gridSpan w:val="3"/>
            <w:tcBorders>
              <w:top w:val="single" w:sz="8" w:space="0" w:color="000000"/>
            </w:tcBorders>
            <w:shd w:fill="F7F7F7" w:val="clear"/>
            <w:tcMar>
              <w:top w:w="52"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4,233</w:t>
            </w:r>
          </w:p>
        </w:tc>
        <w:tc>
          <w:tcPr>
            <w:tcW w:w="327" w:type="dxa"/>
            <w:gridSpan w:val="3"/>
            <w:tcBorders>
              <w:top w:val="single" w:sz="8" w:space="0" w:color="000000"/>
            </w:tcBorders>
            <w:shd w:fill="F7F7F7"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8" w:type="dxa"/>
            <w:gridSpan w:val="3"/>
            <w:tcBorders>
              <w:top w:val="single" w:sz="8" w:space="0" w:color="000000"/>
            </w:tcBorders>
            <w:shd w:fill="F7F7F7" w:val="clear"/>
            <w:tcMar>
              <w:top w:w="52"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975</w:t>
            </w:r>
          </w:p>
        </w:tc>
        <w:tc>
          <w:tcPr>
            <w:tcW w:w="327" w:type="dxa"/>
            <w:gridSpan w:val="3"/>
            <w:tcBorders>
              <w:top w:val="single" w:sz="8" w:space="0" w:color="000000"/>
            </w:tcBorders>
            <w:shd w:fill="F7F7F7"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8" w:type="dxa"/>
            <w:gridSpan w:val="3"/>
            <w:tcBorders>
              <w:top w:val="single" w:sz="8" w:space="0" w:color="000000"/>
            </w:tcBorders>
            <w:shd w:fill="F7F7F7" w:val="clear"/>
            <w:tcMar>
              <w:top w:w="52"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558</w:t>
            </w:r>
          </w:p>
        </w:tc>
        <w:tc>
          <w:tcPr>
            <w:tcW w:w="327" w:type="dxa"/>
            <w:gridSpan w:val="3"/>
            <w:tcBorders>
              <w:top w:val="single" w:sz="8" w:space="0" w:color="000000"/>
            </w:tcBorders>
            <w:shd w:fill="F7F7F7"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3"/>
            <w:tcBorders>
              <w:top w:val="single" w:sz="8" w:space="0" w:color="000000"/>
            </w:tcBorders>
            <w:shd w:fill="F7F7F7" w:val="clear"/>
            <w:tcMar>
              <w:top w:w="52"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5,782</w:t>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jc w:val="both"/>
        <w:rPr>
          <w:rFonts w:ascii="Adelle Sans Light;sans-serif" w:hAnsi="Adelle Sans Light;sans-serif"/>
          <w:b w:val="false"/>
          <w:color w:val="000000"/>
          <w:sz w:val="20"/>
        </w:rPr>
      </w:pPr>
      <w:r>
        <w:rPr>
          <w:rFonts w:ascii="Adelle Sans Light;sans-serif" w:hAnsi="Adelle Sans Light;sans-serif"/>
          <w:b w:val="false"/>
          <w:color w:val="000000"/>
          <w:sz w:val="20"/>
        </w:rPr>
        <w:t>The fair values above include accrued interest of $39 million, which is excluded from the carrying amounts. The accrued interest is included in "Trade and other receivables, net" in the condensed consolidated balance sheets. Additional accrued interest of $105 million recognized on the convertible notes in private companies is included in the carrying amount and fair value above.</w:t>
      </w:r>
    </w:p>
    <w:p>
      <w:pPr>
        <w:pStyle w:val="TextBody"/>
        <w:bidi w:val="0"/>
        <w:spacing w:lineRule="auto" w:line="288" w:before="0" w:after="200"/>
        <w:jc w:val="both"/>
        <w:rPr>
          <w:rFonts w:ascii="Adelle Sans Light;sans-serif" w:hAnsi="Adelle Sans Light;sans-serif"/>
          <w:b w:val="false"/>
          <w:color w:val="000000"/>
          <w:sz w:val="20"/>
        </w:rPr>
      </w:pPr>
      <w:r>
        <w:rPr>
          <w:rFonts w:ascii="Adelle Sans Light;sans-serif" w:hAnsi="Adelle Sans Light;sans-serif"/>
          <w:b w:val="false"/>
          <w:color w:val="000000"/>
          <w:sz w:val="20"/>
        </w:rPr>
        <w:t>The following table outlines estimated fair values of our debt securities by date of contractual maturity as of June 30, 2026:</w:t>
      </w:r>
    </w:p>
    <w:tbl>
      <w:tblPr>
        <w:tblW w:w="5905" w:type="dxa"/>
        <w:jc w:val="left"/>
        <w:tblInd w:w="0" w:type="dxa"/>
        <w:tblLayout w:type="fixed"/>
        <w:tblCellMar>
          <w:top w:w="28" w:type="dxa"/>
          <w:left w:w="28" w:type="dxa"/>
          <w:bottom w:w="28" w:type="dxa"/>
          <w:right w:w="28" w:type="dxa"/>
        </w:tblCellMar>
      </w:tblPr>
      <w:tblGrid>
        <w:gridCol w:w="1131"/>
        <w:gridCol w:w="992"/>
        <w:gridCol w:w="997"/>
        <w:gridCol w:w="109"/>
        <w:gridCol w:w="109"/>
        <w:gridCol w:w="549"/>
        <w:gridCol w:w="549"/>
        <w:gridCol w:w="552"/>
        <w:gridCol w:w="109"/>
        <w:gridCol w:w="109"/>
        <w:gridCol w:w="109"/>
        <w:gridCol w:w="109"/>
        <w:gridCol w:w="109"/>
        <w:gridCol w:w="109"/>
        <w:gridCol w:w="109"/>
        <w:gridCol w:w="154"/>
      </w:tblGrid>
      <w:tr>
        <w:trPr/>
        <w:tc>
          <w:tcPr>
            <w:tcW w:w="1131" w:type="dxa"/>
            <w:tcBorders/>
            <w:vAlign w:val="center"/>
          </w:tcPr>
          <w:p>
            <w:pPr>
              <w:pStyle w:val="TableContents"/>
              <w:bidi w:val="0"/>
              <w:spacing w:before="0" w:after="283"/>
              <w:jc w:val="left"/>
              <w:rPr>
                <w:sz w:val="4"/>
                <w:szCs w:val="4"/>
              </w:rPr>
            </w:pPr>
            <w:r>
              <w:rPr>
                <w:sz w:val="4"/>
                <w:szCs w:val="4"/>
              </w:rPr>
            </w:r>
          </w:p>
        </w:tc>
        <w:tc>
          <w:tcPr>
            <w:tcW w:w="992" w:type="dxa"/>
            <w:tcBorders/>
            <w:vAlign w:val="center"/>
          </w:tcPr>
          <w:p>
            <w:pPr>
              <w:pStyle w:val="TableContents"/>
              <w:bidi w:val="0"/>
              <w:spacing w:before="0" w:after="283"/>
              <w:jc w:val="left"/>
              <w:rPr>
                <w:sz w:val="4"/>
                <w:szCs w:val="4"/>
              </w:rPr>
            </w:pPr>
            <w:r>
              <w:rPr>
                <w:sz w:val="4"/>
                <w:szCs w:val="4"/>
              </w:rPr>
            </w:r>
          </w:p>
        </w:tc>
        <w:tc>
          <w:tcPr>
            <w:tcW w:w="9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2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gridSpan w:val="4"/>
            <w:tcBorders/>
          </w:tcPr>
          <w:p>
            <w:pPr>
              <w:pStyle w:val="TableContents"/>
              <w:bidi w:val="0"/>
              <w:spacing w:before="0" w:after="283"/>
              <w:jc w:val="left"/>
              <w:rPr>
                <w:sz w:val="4"/>
                <w:szCs w:val="4"/>
              </w:rPr>
            </w:pPr>
            <w:r>
              <w:rPr>
                <w:sz w:val="4"/>
                <w:szCs w:val="4"/>
              </w:rPr>
            </w:r>
          </w:p>
        </w:tc>
      </w:tr>
      <w:tr>
        <w:trPr/>
        <w:tc>
          <w:tcPr>
            <w:tcW w:w="31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delle Sans;sans-serif" w:hAnsi="Adelle Sans;sans-serif"/>
                <w:b/>
                <w:color w:val="000000"/>
                <w:sz w:val="18"/>
              </w:rPr>
            </w:pPr>
            <w:r>
              <w:rPr>
                <w:rFonts w:ascii="Adelle Sans;sans-serif" w:hAnsi="Adelle Sans;sans-serif"/>
                <w:b/>
                <w:color w:val="000000"/>
                <w:sz w:val="18"/>
              </w:rPr>
              <w:t>Fair Value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2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0"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Adelle Sans;sans-serif" w:hAnsi="Adelle Sans;sans-serif"/>
                <w:b w:val="false"/>
                <w:color w:val="000000"/>
                <w:sz w:val="18"/>
              </w:rPr>
            </w:pPr>
            <w:r>
              <w:rPr>
                <w:rFonts w:ascii="Adelle Sans;sans-serif" w:hAnsi="Adelle Sans;sans-serif"/>
                <w:b w:val="false"/>
                <w:color w:val="000000"/>
                <w:sz w:val="18"/>
              </w:rPr>
              <w:t>(in US $ millions)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20" w:type="dxa"/>
            <w:gridSpan w:val="3"/>
            <w:tcBorders/>
            <w:shd w:fill="F7F7F7" w:val="clear"/>
            <w:tcMar>
              <w:top w:w="0" w:type="dxa"/>
              <w:left w:w="0" w:type="dxa"/>
              <w:bottom w:w="0" w:type="dxa"/>
              <w:right w:w="0" w:type="dxa"/>
            </w:tcMar>
            <w:vAlign w:val="center"/>
          </w:tcPr>
          <w:p>
            <w:pPr>
              <w:pStyle w:val="TableContents"/>
              <w:bidi w:val="0"/>
              <w:spacing w:lineRule="auto" w:line="240" w:before="0" w:after="283"/>
              <w:jc w:val="left"/>
              <w:rPr>
                <w:rFonts w:ascii="Adelle Sans;sans-serif" w:hAnsi="Adelle Sans;sans-serif"/>
                <w:b w:val="false"/>
                <w:color w:val="000000"/>
                <w:sz w:val="18"/>
              </w:rPr>
            </w:pPr>
            <w:r>
              <w:rPr>
                <w:rFonts w:ascii="Adelle Sans;sans-serif" w:hAnsi="Adelle Sans;sans-serif"/>
                <w:b w:val="false"/>
                <w:color w:val="000000"/>
                <w:sz w:val="18"/>
              </w:rPr>
              <w:t>Due within one year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8" w:type="dxa"/>
            <w:gridSpan w:val="2"/>
            <w:tcBorders/>
            <w:shd w:fill="F7F7F7"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3,323 </w:t>
            </w:r>
          </w:p>
        </w:tc>
        <w:tc>
          <w:tcPr>
            <w:tcW w:w="552" w:type="dxa"/>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delle Sans;sans-serif" w:hAnsi="Adelle Sans;sans-serif"/>
                <w:b w:val="false"/>
                <w:color w:val="000000"/>
                <w:sz w:val="18"/>
              </w:rPr>
            </w:pPr>
            <w:r>
              <w:rPr>
                <w:rFonts w:ascii="Adelle Sans;sans-serif" w:hAnsi="Adelle Sans;sans-serif"/>
                <w:b w:val="false"/>
                <w:color w:val="000000"/>
                <w:sz w:val="18"/>
              </w:rPr>
              <w:t>Due after one year to three years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523 </w:t>
            </w:r>
          </w:p>
        </w:tc>
        <w:tc>
          <w:tcPr>
            <w:tcW w:w="5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20"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8" w:type="dxa"/>
            <w:gridSpan w:val="2"/>
            <w:tcBorders>
              <w:top w:val="single" w:sz="8" w:space="0" w:color="000000"/>
            </w:tcBorders>
            <w:shd w:fill="F7F7F7" w:val="clear"/>
            <w:tcMar>
              <w:top w:w="52"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3,846 </w:t>
            </w:r>
          </w:p>
        </w:tc>
        <w:tc>
          <w:tcPr>
            <w:tcW w:w="552" w:type="dxa"/>
            <w:tcBorders>
              <w:top w:val="single" w:sz="8" w:space="0" w:color="000000"/>
            </w:tcBorders>
            <w:shd w:fill="F7F7F7"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7955"/>
                <wp:effectExtent l="0" t="0" r="0" b="0"/>
                <wp:wrapNone/>
                <wp:docPr id="14" name="Frame13"/>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200"/>
                              <w:jc w:val="center"/>
                              <w:rPr>
                                <w:rFonts w:ascii="Adelle Sans Light;sans-serif" w:hAnsi="Adelle Sans Light;sans-serif"/>
                                <w:b w:val="false"/>
                                <w:color w:val="000000"/>
                                <w:sz w:val="20"/>
                              </w:rPr>
                            </w:pPr>
                            <w:r>
                              <w:rPr>
                                <w:rFonts w:ascii="Adelle Sans Light;sans-serif" w:hAnsi="Adelle Sans Light;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Adelle Sans Light;sans-serif" w:hAnsi="Adelle Sans Light;sans-serif"/>
                          <w:b w:val="false"/>
                          <w:color w:val="000000"/>
                          <w:sz w:val="20"/>
                        </w:rPr>
                      </w:pPr>
                      <w:r>
                        <w:rPr>
                          <w:rFonts w:ascii="Adelle Sans Light;sans-serif" w:hAnsi="Adelle Sans Light;sans-serif"/>
                          <w:b w:val="false"/>
                          <w:color w:val="000000"/>
                          <w:sz w:val="20"/>
                        </w:rPr>
                        <w:t>13</w:t>
                      </w:r>
                    </w:p>
                  </w:txbxContent>
                </v:textbox>
                <w10:wrap type="none"/>
              </v:rect>
            </w:pict>
          </mc:Fallback>
        </mc:AlternateContent>
      </w:r>
    </w:p>
    <w:p>
      <w:pPr>
        <w:pStyle w:val="TextBody"/>
        <w:bidi w:val="0"/>
        <w:spacing w:lineRule="auto" w:line="288" w:before="0" w:after="200"/>
        <w:jc w:val="both"/>
        <w:rPr/>
      </w:pPr>
      <w:hyperlink w:anchor="iccccf23fa31e44f0aa82c99ca0859db8_7">
        <w:r>
          <w:rPr>
            <w:rStyle w:val="InternetLink"/>
            <w:rFonts w:ascii="Adelle Sans Light;sans-serif" w:hAnsi="Adelle Sans Light;sans-serif"/>
            <w:b w:val="false"/>
            <w:color w:val="0000FF"/>
            <w:sz w:val="20"/>
            <w:u w:val="single"/>
          </w:rPr>
          <w:t>Table of Contents</w:t>
        </w:r>
      </w:hyperlink>
    </w:p>
    <w:p>
      <w:pPr>
        <w:pStyle w:val="TextBody"/>
        <w:bidi w:val="0"/>
        <w:spacing w:lineRule="auto" w:line="288" w:before="0" w:after="200"/>
        <w:jc w:val="left"/>
        <w:rPr>
          <w:rFonts w:ascii="Adelle Sans;sans-serif" w:hAnsi="Adelle Sans;sans-serif"/>
          <w:b/>
          <w:i/>
          <w:color w:val="000000"/>
          <w:sz w:val="20"/>
        </w:rPr>
      </w:pPr>
      <w:bookmarkStart w:id="24" w:name="i8ff735f589b14e37941bc4ff576c71be"/>
      <w:bookmarkEnd w:id="24"/>
      <w:r>
        <w:rPr>
          <w:rFonts w:ascii="Adelle Sans;sans-serif" w:hAnsi="Adelle Sans;sans-serif"/>
          <w:b/>
          <w:i/>
          <w:color w:val="000000"/>
          <w:sz w:val="20"/>
        </w:rPr>
        <w:t xml:space="preserve">Equity Securities </w:t>
      </w:r>
    </w:p>
    <w:p>
      <w:pPr>
        <w:pStyle w:val="TextBody"/>
        <w:bidi w:val="0"/>
        <w:spacing w:lineRule="auto" w:line="288" w:before="0" w:after="200"/>
        <w:jc w:val="both"/>
        <w:rPr>
          <w:rFonts w:ascii="Adelle Sans Light;sans-serif" w:hAnsi="Adelle Sans Light;sans-serif"/>
          <w:b w:val="false"/>
          <w:color w:val="000000"/>
          <w:sz w:val="20"/>
        </w:rPr>
      </w:pPr>
      <w:r>
        <w:rPr>
          <w:rFonts w:ascii="Adelle Sans Light;sans-serif" w:hAnsi="Adelle Sans Light;sans-serif"/>
          <w:b w:val="false"/>
          <w:color w:val="000000"/>
          <w:sz w:val="20"/>
        </w:rPr>
        <w:t xml:space="preserve">The Company holds equity investments in public and private companies that were obtained through a combination of direct investment and strategic partnerships. </w:t>
      </w:r>
    </w:p>
    <w:p>
      <w:pPr>
        <w:pStyle w:val="TextBody"/>
        <w:bidi w:val="0"/>
        <w:spacing w:lineRule="auto" w:line="288" w:before="0" w:after="200"/>
        <w:jc w:val="left"/>
        <w:rPr>
          <w:rFonts w:ascii="Adelle Sans;sans-serif" w:hAnsi="Adelle Sans;sans-serif"/>
          <w:b w:val="false"/>
          <w:i/>
          <w:color w:val="000000"/>
          <w:sz w:val="20"/>
        </w:rPr>
      </w:pPr>
      <w:bookmarkStart w:id="25" w:name="i45efa7142ba6452bacfdb27c0ae78c23"/>
      <w:bookmarkEnd w:id="25"/>
      <w:r>
        <w:rPr>
          <w:rFonts w:ascii="Adelle Sans;sans-serif" w:hAnsi="Adelle Sans;sans-serif"/>
          <w:b w:val="false"/>
          <w:i/>
          <w:color w:val="000000"/>
          <w:sz w:val="20"/>
        </w:rPr>
        <w:t>Equity Investments with Readily Determinable Fair Values</w:t>
      </w:r>
    </w:p>
    <w:p>
      <w:pPr>
        <w:pStyle w:val="TextBody"/>
        <w:bidi w:val="0"/>
        <w:spacing w:lineRule="auto" w:line="288" w:before="0" w:after="200"/>
        <w:jc w:val="both"/>
        <w:rPr>
          <w:rFonts w:ascii="Adelle Sans Light;sans-serif" w:hAnsi="Adelle Sans Light;sans-serif"/>
          <w:b w:val="false"/>
          <w:color w:val="000000"/>
          <w:sz w:val="20"/>
        </w:rPr>
      </w:pPr>
      <w:r>
        <w:rPr>
          <w:rFonts w:ascii="Adelle Sans Light;sans-serif" w:hAnsi="Adelle Sans Light;sans-serif"/>
          <w:b w:val="false"/>
          <w:color w:val="000000"/>
          <w:sz w:val="20"/>
        </w:rPr>
        <w:t>Equity investments with readily determinable fair values are comprised of:</w:t>
      </w:r>
    </w:p>
    <w:tbl>
      <w:tblPr>
        <w:tblW w:w="8409" w:type="dxa"/>
        <w:jc w:val="left"/>
        <w:tblInd w:w="0" w:type="dxa"/>
        <w:tblLayout w:type="fixed"/>
        <w:tblCellMar>
          <w:top w:w="28" w:type="dxa"/>
          <w:left w:w="28" w:type="dxa"/>
          <w:bottom w:w="28" w:type="dxa"/>
          <w:right w:w="28" w:type="dxa"/>
        </w:tblCellMar>
      </w:tblPr>
      <w:tblGrid>
        <w:gridCol w:w="717"/>
        <w:gridCol w:w="630"/>
        <w:gridCol w:w="632"/>
        <w:gridCol w:w="274"/>
        <w:gridCol w:w="274"/>
        <w:gridCol w:w="276"/>
        <w:gridCol w:w="109"/>
        <w:gridCol w:w="109"/>
        <w:gridCol w:w="109"/>
        <w:gridCol w:w="274"/>
        <w:gridCol w:w="274"/>
        <w:gridCol w:w="276"/>
        <w:gridCol w:w="109"/>
        <w:gridCol w:w="109"/>
        <w:gridCol w:w="109"/>
        <w:gridCol w:w="214"/>
        <w:gridCol w:w="214"/>
        <w:gridCol w:w="218"/>
        <w:gridCol w:w="109"/>
        <w:gridCol w:w="109"/>
        <w:gridCol w:w="109"/>
        <w:gridCol w:w="274"/>
        <w:gridCol w:w="274"/>
        <w:gridCol w:w="276"/>
        <w:gridCol w:w="136"/>
        <w:gridCol w:w="136"/>
        <w:gridCol w:w="136"/>
        <w:gridCol w:w="274"/>
        <w:gridCol w:w="274"/>
        <w:gridCol w:w="276"/>
        <w:gridCol w:w="136"/>
        <w:gridCol w:w="136"/>
        <w:gridCol w:w="136"/>
        <w:gridCol w:w="201"/>
        <w:gridCol w:w="201"/>
        <w:gridCol w:w="289"/>
      </w:tblGrid>
      <w:tr>
        <w:trPr/>
        <w:tc>
          <w:tcPr>
            <w:tcW w:w="717"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r>
      <w:tr>
        <w:trPr/>
        <w:tc>
          <w:tcPr>
            <w:tcW w:w="1979" w:type="dxa"/>
            <w:gridSpan w:val="3"/>
            <w:tcBorders/>
            <w:vAlign w:val="center"/>
          </w:tcPr>
          <w:p>
            <w:pPr>
              <w:pStyle w:val="TableContents"/>
              <w:bidi w:val="0"/>
              <w:spacing w:before="0" w:after="283"/>
              <w:jc w:val="left"/>
              <w:rPr>
                <w:sz w:val="4"/>
                <w:szCs w:val="4"/>
              </w:rPr>
            </w:pPr>
            <w:r>
              <w:rPr>
                <w:sz w:val="4"/>
                <w:szCs w:val="4"/>
              </w:rPr>
            </w:r>
          </w:p>
        </w:tc>
        <w:tc>
          <w:tcPr>
            <w:tcW w:w="8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4" w:type="dxa"/>
            <w:gridSpan w:val="3"/>
            <w:tcBorders/>
            <w:vAlign w:val="center"/>
          </w:tcPr>
          <w:p>
            <w:pPr>
              <w:pStyle w:val="TableContents"/>
              <w:bidi w:val="0"/>
              <w:spacing w:before="0" w:after="283"/>
              <w:jc w:val="left"/>
              <w:rPr>
                <w:sz w:val="4"/>
                <w:szCs w:val="4"/>
              </w:rPr>
            </w:pPr>
            <w:r>
              <w:rPr>
                <w:sz w:val="4"/>
                <w:szCs w:val="4"/>
              </w:rPr>
            </w:r>
          </w:p>
        </w:tc>
        <w:tc>
          <w:tcPr>
            <w:tcW w:w="4455" w:type="dxa"/>
            <w:gridSpan w:val="24"/>
            <w:tcBorders/>
          </w:tcPr>
          <w:p>
            <w:pPr>
              <w:pStyle w:val="TableContents"/>
              <w:bidi w:val="0"/>
              <w:spacing w:before="0" w:after="283"/>
              <w:jc w:val="left"/>
              <w:rPr>
                <w:sz w:val="4"/>
                <w:szCs w:val="4"/>
              </w:rPr>
            </w:pPr>
            <w:r>
              <w:rPr>
                <w:sz w:val="4"/>
                <w:szCs w:val="4"/>
              </w:rPr>
            </w:r>
          </w:p>
        </w:tc>
      </w:tr>
      <w:tr>
        <w:trPr/>
        <w:tc>
          <w:tcPr>
            <w:tcW w:w="19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8"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delle Sans;sans-serif" w:hAnsi="Adelle Sans;sans-serif"/>
                <w:b/>
                <w:color w:val="000000"/>
                <w:sz w:val="18"/>
              </w:rPr>
            </w:pPr>
            <w:r>
              <w:rPr>
                <w:rFonts w:ascii="Adelle Sans;sans-serif" w:hAnsi="Adelle Sans;sans-serif"/>
                <w:b/>
                <w:color w:val="000000"/>
                <w:sz w:val="18"/>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5"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delle Sans;sans-serif" w:hAnsi="Adelle Sans;sans-serif"/>
                <w:b/>
                <w:color w:val="000000"/>
                <w:sz w:val="18"/>
              </w:rPr>
            </w:pPr>
            <w:r>
              <w:rPr>
                <w:rFonts w:ascii="Adelle Sans;sans-serif" w:hAnsi="Adelle Sans;sans-serif"/>
                <w:b/>
                <w:color w:val="000000"/>
                <w:sz w:val="18"/>
              </w:rPr>
              <w:t>December 31, 2025</w:t>
            </w:r>
          </w:p>
        </w:tc>
      </w:tr>
      <w:tr>
        <w:trPr/>
        <w:tc>
          <w:tcPr>
            <w:tcW w:w="19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delle Sans;sans-serif" w:hAnsi="Adelle Sans;sans-serif"/>
                <w:b/>
                <w:color w:val="000000"/>
                <w:sz w:val="18"/>
              </w:rPr>
            </w:pPr>
            <w:r>
              <w:rPr>
                <w:rFonts w:ascii="Adelle Sans;sans-serif" w:hAnsi="Adelle Sans;sans-serif"/>
                <w:b/>
                <w:color w:val="000000"/>
                <w:sz w:val="18"/>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delle Sans;sans-serif" w:hAnsi="Adelle Sans;sans-serif"/>
                <w:b/>
                <w:color w:val="000000"/>
                <w:sz w:val="18"/>
              </w:rPr>
            </w:pPr>
            <w:r>
              <w:rPr>
                <w:rFonts w:ascii="Adelle Sans;sans-serif" w:hAnsi="Adelle Sans;sans-serif"/>
                <w:b/>
                <w:color w:val="000000"/>
                <w:sz w:val="18"/>
              </w:rPr>
              <w:t>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delle Sans;sans-serif" w:hAnsi="Adelle Sans;sans-serif"/>
                <w:b/>
                <w:color w:val="000000"/>
                <w:sz w:val="18"/>
              </w:rPr>
            </w:pPr>
            <w:r>
              <w:rPr>
                <w:rFonts w:ascii="Adelle Sans;sans-serif" w:hAnsi="Adelle Sans;sans-serif"/>
                <w:b/>
                <w:color w:val="000000"/>
                <w:sz w:val="18"/>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delle Sans;sans-serif" w:hAnsi="Adelle Sans;sans-serif"/>
                <w:b/>
                <w:color w:val="000000"/>
                <w:sz w:val="18"/>
              </w:rPr>
            </w:pPr>
            <w:r>
              <w:rPr>
                <w:rFonts w:ascii="Adelle Sans;sans-serif" w:hAnsi="Adelle Sans;sans-serif"/>
                <w:b/>
                <w:color w:val="000000"/>
                <w:sz w:val="18"/>
              </w:rPr>
              <w:t>Level 1</w:t>
            </w:r>
          </w:p>
        </w:tc>
        <w:tc>
          <w:tcPr>
            <w:tcW w:w="4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delle Sans;sans-serif" w:hAnsi="Adelle Sans;sans-serif"/>
                <w:b/>
                <w:color w:val="000000"/>
                <w:sz w:val="18"/>
              </w:rPr>
            </w:pPr>
            <w:r>
              <w:rPr>
                <w:rFonts w:ascii="Adelle Sans;sans-serif" w:hAnsi="Adelle Sans;sans-serif"/>
                <w:b/>
                <w:color w:val="000000"/>
                <w:sz w:val="18"/>
              </w:rPr>
              <w:t>Level 3</w:t>
            </w:r>
          </w:p>
        </w:tc>
        <w:tc>
          <w:tcPr>
            <w:tcW w:w="4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delle Sans;sans-serif" w:hAnsi="Adelle Sans;sans-serif"/>
                <w:b/>
                <w:color w:val="000000"/>
                <w:sz w:val="18"/>
              </w:rPr>
            </w:pPr>
            <w:r>
              <w:rPr>
                <w:rFonts w:ascii="Adelle Sans;sans-serif" w:hAnsi="Adelle Sans;sans-serif"/>
                <w:b/>
                <w:color w:val="000000"/>
                <w:sz w:val="18"/>
              </w:rPr>
              <w:t>Total</w:t>
            </w:r>
          </w:p>
        </w:tc>
      </w:tr>
      <w:tr>
        <w:trPr/>
        <w:tc>
          <w:tcPr>
            <w:tcW w:w="1979" w:type="dxa"/>
            <w:gridSpan w:val="3"/>
            <w:tcBorders/>
            <w:vAlign w:val="center"/>
          </w:tcPr>
          <w:p>
            <w:pPr>
              <w:pStyle w:val="TableContents"/>
              <w:bidi w:val="0"/>
              <w:spacing w:before="0" w:after="283"/>
              <w:jc w:val="left"/>
              <w:rPr>
                <w:sz w:val="4"/>
                <w:szCs w:val="4"/>
              </w:rPr>
            </w:pPr>
            <w:r>
              <w:rPr>
                <w:sz w:val="4"/>
                <w:szCs w:val="4"/>
              </w:rPr>
            </w:r>
          </w:p>
        </w:tc>
        <w:tc>
          <w:tcPr>
            <w:tcW w:w="8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4" w:type="dxa"/>
            <w:gridSpan w:val="3"/>
            <w:tcBorders/>
            <w:vAlign w:val="center"/>
          </w:tcPr>
          <w:p>
            <w:pPr>
              <w:pStyle w:val="TableContents"/>
              <w:bidi w:val="0"/>
              <w:spacing w:before="0" w:after="283"/>
              <w:jc w:val="left"/>
              <w:rPr>
                <w:sz w:val="4"/>
                <w:szCs w:val="4"/>
              </w:rPr>
            </w:pPr>
            <w:r>
              <w:rPr>
                <w:sz w:val="4"/>
                <w:szCs w:val="4"/>
              </w:rPr>
            </w:r>
          </w:p>
        </w:tc>
        <w:tc>
          <w:tcPr>
            <w:tcW w:w="408" w:type="dxa"/>
            <w:gridSpan w:val="3"/>
            <w:tcBorders/>
            <w:vAlign w:val="center"/>
          </w:tcPr>
          <w:p>
            <w:pPr>
              <w:pStyle w:val="TableContents"/>
              <w:bidi w:val="0"/>
              <w:spacing w:before="0" w:after="283"/>
              <w:jc w:val="left"/>
              <w:rPr>
                <w:sz w:val="4"/>
                <w:szCs w:val="4"/>
              </w:rPr>
            </w:pPr>
            <w:r>
              <w:rPr>
                <w:sz w:val="4"/>
                <w:szCs w:val="4"/>
              </w:rPr>
            </w:r>
          </w:p>
        </w:tc>
        <w:tc>
          <w:tcPr>
            <w:tcW w:w="824" w:type="dxa"/>
            <w:gridSpan w:val="3"/>
            <w:tcBorders/>
            <w:vAlign w:val="center"/>
          </w:tcPr>
          <w:p>
            <w:pPr>
              <w:pStyle w:val="TableContents"/>
              <w:bidi w:val="0"/>
              <w:spacing w:before="0" w:after="283"/>
              <w:jc w:val="left"/>
              <w:rPr>
                <w:sz w:val="4"/>
                <w:szCs w:val="4"/>
              </w:rPr>
            </w:pPr>
            <w:r>
              <w:rPr>
                <w:sz w:val="4"/>
                <w:szCs w:val="4"/>
              </w:rPr>
            </w:r>
          </w:p>
        </w:tc>
        <w:tc>
          <w:tcPr>
            <w:tcW w:w="408"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r>
      <w:tr>
        <w:trPr/>
        <w:tc>
          <w:tcPr>
            <w:tcW w:w="197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30" w:type="dxa"/>
            <w:gridSpan w:val="3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Adelle Sans;sans-serif" w:hAnsi="Adelle Sans;sans-serif"/>
                <w:b w:val="false"/>
                <w:color w:val="000000"/>
                <w:sz w:val="18"/>
              </w:rPr>
            </w:pPr>
            <w:r>
              <w:rPr>
                <w:rFonts w:ascii="Adelle Sans;sans-serif" w:hAnsi="Adelle Sans;sans-serif"/>
                <w:b w:val="false"/>
                <w:color w:val="000000"/>
                <w:sz w:val="18"/>
              </w:rPr>
              <w:t>(in US $ millions)</w:t>
            </w:r>
          </w:p>
        </w:tc>
      </w:tr>
      <w:tr>
        <w:trPr/>
        <w:tc>
          <w:tcPr>
            <w:tcW w:w="1979" w:type="dxa"/>
            <w:gridSpan w:val="3"/>
            <w:tcBorders/>
            <w:shd w:fill="F7F7F7" w:val="clear"/>
            <w:tcMar>
              <w:top w:w="0" w:type="dxa"/>
              <w:left w:w="0" w:type="dxa"/>
              <w:bottom w:w="0" w:type="dxa"/>
              <w:right w:w="0" w:type="dxa"/>
            </w:tcMar>
            <w:vAlign w:val="center"/>
          </w:tcPr>
          <w:p>
            <w:pPr>
              <w:pStyle w:val="TableContents"/>
              <w:bidi w:val="0"/>
              <w:spacing w:lineRule="auto" w:line="240" w:before="0" w:after="283"/>
              <w:jc w:val="left"/>
              <w:rPr>
                <w:rFonts w:ascii="Adelle Sans;sans-serif" w:hAnsi="Adelle Sans;sans-serif"/>
                <w:b w:val="false"/>
                <w:color w:val="000000"/>
                <w:sz w:val="18"/>
              </w:rPr>
            </w:pPr>
            <w:r>
              <w:rPr>
                <w:rFonts w:ascii="Adelle Sans;sans-serif" w:hAnsi="Adelle Sans;sans-serif"/>
                <w:b w:val="false"/>
                <w:color w:val="000000"/>
                <w:sz w:val="18"/>
              </w:rPr>
              <w:t>Affirm Holdings, Inc.</w:t>
            </w:r>
          </w:p>
        </w:tc>
        <w:tc>
          <w:tcPr>
            <w:tcW w:w="824" w:type="dxa"/>
            <w:gridSpan w:val="3"/>
            <w:tcBorders/>
            <w:shd w:fill="F7F7F7"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1,655</w:t>
            </w:r>
          </w:p>
        </w:tc>
        <w:tc>
          <w:tcPr>
            <w:tcW w:w="327"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shd w:fill="F7F7F7"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shd w:fill="F7F7F7"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1,655</w:t>
            </w:r>
          </w:p>
        </w:tc>
        <w:tc>
          <w:tcPr>
            <w:tcW w:w="327"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shd w:fill="F7F7F7"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1,511</w:t>
            </w:r>
          </w:p>
        </w:tc>
        <w:tc>
          <w:tcPr>
            <w:tcW w:w="408"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shd w:fill="F7F7F7"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408"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7F7F7"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1,511</w:t>
            </w:r>
          </w:p>
        </w:tc>
      </w:tr>
      <w:tr>
        <w:trPr/>
        <w:tc>
          <w:tcPr>
            <w:tcW w:w="19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delle Sans;sans-serif" w:hAnsi="Adelle Sans;sans-serif"/>
                <w:b w:val="false"/>
                <w:color w:val="000000"/>
                <w:sz w:val="18"/>
              </w:rPr>
            </w:pPr>
            <w:r>
              <w:rPr>
                <w:rFonts w:ascii="Adelle Sans;sans-serif" w:hAnsi="Adelle Sans;sans-serif"/>
                <w:b w:val="false"/>
                <w:color w:val="000000"/>
                <w:sz w:val="18"/>
              </w:rPr>
              <w:t>Global-E Online Ltd.</w:t>
            </w:r>
          </w:p>
        </w:tc>
        <w:tc>
          <w:tcPr>
            <w:tcW w:w="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768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768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868</w:t>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868</w:t>
            </w:r>
          </w:p>
        </w:tc>
      </w:tr>
      <w:tr>
        <w:trPr/>
        <w:tc>
          <w:tcPr>
            <w:tcW w:w="1979" w:type="dxa"/>
            <w:gridSpan w:val="3"/>
            <w:tcBorders/>
            <w:shd w:fill="F7F7F7" w:val="clear"/>
            <w:tcMar>
              <w:top w:w="0" w:type="dxa"/>
              <w:left w:w="0" w:type="dxa"/>
              <w:bottom w:w="0" w:type="dxa"/>
              <w:right w:w="0" w:type="dxa"/>
            </w:tcMar>
            <w:vAlign w:val="center"/>
          </w:tcPr>
          <w:p>
            <w:pPr>
              <w:pStyle w:val="TableContents"/>
              <w:bidi w:val="0"/>
              <w:spacing w:lineRule="auto" w:line="240" w:before="0" w:after="0"/>
              <w:jc w:val="left"/>
              <w:rPr/>
            </w:pPr>
            <w:r>
              <w:rPr>
                <w:rFonts w:ascii="Adelle Sans;sans-serif" w:hAnsi="Adelle Sans;sans-serif"/>
                <w:b w:val="false"/>
                <w:color w:val="000000"/>
                <w:sz w:val="18"/>
              </w:rPr>
              <w:t>Klaviyo, Inc.</w:t>
            </w:r>
            <w:r>
              <w:rPr>
                <w:rFonts w:ascii="Adelle Sans;sans-serif" w:hAnsi="Adelle Sans;sans-serif"/>
                <w:b w:val="false"/>
                <w:color w:val="000000"/>
                <w:sz w:val="12"/>
              </w:rPr>
              <w:t>(1)</w:t>
            </w:r>
          </w:p>
        </w:tc>
        <w:tc>
          <w:tcPr>
            <w:tcW w:w="824" w:type="dxa"/>
            <w:gridSpan w:val="3"/>
            <w:tcBorders/>
            <w:shd w:fill="F7F7F7"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256</w:t>
            </w:r>
          </w:p>
        </w:tc>
        <w:tc>
          <w:tcPr>
            <w:tcW w:w="327"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shd w:fill="F7F7F7"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24</w:t>
            </w:r>
          </w:p>
        </w:tc>
        <w:tc>
          <w:tcPr>
            <w:tcW w:w="327"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shd w:fill="F7F7F7"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280</w:t>
            </w:r>
          </w:p>
        </w:tc>
        <w:tc>
          <w:tcPr>
            <w:tcW w:w="327"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shd w:fill="F7F7F7"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529</w:t>
            </w:r>
          </w:p>
        </w:tc>
        <w:tc>
          <w:tcPr>
            <w:tcW w:w="408"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shd w:fill="F7F7F7"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70</w:t>
            </w:r>
          </w:p>
        </w:tc>
        <w:tc>
          <w:tcPr>
            <w:tcW w:w="408"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7F7F7"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599</w:t>
            </w:r>
          </w:p>
        </w:tc>
      </w:tr>
      <w:tr>
        <w:trPr/>
        <w:tc>
          <w:tcPr>
            <w:tcW w:w="19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delle Sans;sans-serif" w:hAnsi="Adelle Sans;sans-serif"/>
                <w:b w:val="false"/>
                <w:color w:val="000000"/>
                <w:sz w:val="18"/>
              </w:rPr>
            </w:pPr>
            <w:r>
              <w:rPr>
                <w:rFonts w:ascii="Adelle Sans;sans-serif" w:hAnsi="Adelle Sans;sans-serif"/>
                <w:b w:val="false"/>
                <w:color w:val="000000"/>
                <w:sz w:val="18"/>
              </w:rPr>
              <w:t>Other</w:t>
            </w:r>
          </w:p>
        </w:tc>
        <w:tc>
          <w:tcPr>
            <w:tcW w:w="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8</w:t>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8</w:t>
            </w:r>
          </w:p>
        </w:tc>
      </w:tr>
      <w:tr>
        <w:trPr/>
        <w:tc>
          <w:tcPr>
            <w:tcW w:w="1979"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op w:val="single" w:sz="8" w:space="0" w:color="000000"/>
            </w:tcBorders>
            <w:shd w:fill="F7F7F7" w:val="clear"/>
            <w:tcMar>
              <w:top w:w="52"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2,679</w:t>
            </w:r>
          </w:p>
        </w:tc>
        <w:tc>
          <w:tcPr>
            <w:tcW w:w="327" w:type="dxa"/>
            <w:gridSpan w:val="3"/>
            <w:tcBorders>
              <w:top w:val="single" w:sz="8" w:space="0" w:color="000000"/>
            </w:tcBorders>
            <w:shd w:fill="F7F7F7"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op w:val="single" w:sz="8" w:space="0" w:color="000000"/>
            </w:tcBorders>
            <w:shd w:fill="F7F7F7" w:val="clear"/>
            <w:tcMar>
              <w:top w:w="52"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24</w:t>
            </w:r>
          </w:p>
        </w:tc>
        <w:tc>
          <w:tcPr>
            <w:tcW w:w="327" w:type="dxa"/>
            <w:gridSpan w:val="3"/>
            <w:tcBorders>
              <w:top w:val="single" w:sz="8" w:space="0" w:color="000000"/>
            </w:tcBorders>
            <w:shd w:fill="F7F7F7"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op w:val="single" w:sz="8" w:space="0" w:color="000000"/>
            </w:tcBorders>
            <w:shd w:fill="F7F7F7" w:val="clear"/>
            <w:tcMar>
              <w:top w:w="52"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2,703</w:t>
            </w:r>
          </w:p>
        </w:tc>
        <w:tc>
          <w:tcPr>
            <w:tcW w:w="327"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op w:val="single" w:sz="8" w:space="0" w:color="000000"/>
            </w:tcBorders>
            <w:shd w:fill="F7F7F7" w:val="clear"/>
            <w:tcMar>
              <w:top w:w="52"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2,916</w:t>
            </w:r>
          </w:p>
        </w:tc>
        <w:tc>
          <w:tcPr>
            <w:tcW w:w="408" w:type="dxa"/>
            <w:gridSpan w:val="3"/>
            <w:tcBorders>
              <w:top w:val="single" w:sz="8" w:space="0" w:color="000000"/>
            </w:tcBorders>
            <w:shd w:fill="F7F7F7"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op w:val="single" w:sz="8" w:space="0" w:color="000000"/>
            </w:tcBorders>
            <w:shd w:fill="F7F7F7" w:val="clear"/>
            <w:tcMar>
              <w:top w:w="52"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70</w:t>
            </w:r>
          </w:p>
        </w:tc>
        <w:tc>
          <w:tcPr>
            <w:tcW w:w="408" w:type="dxa"/>
            <w:gridSpan w:val="3"/>
            <w:tcBorders>
              <w:top w:val="single" w:sz="8" w:space="0" w:color="000000"/>
            </w:tcBorders>
            <w:shd w:fill="F7F7F7"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shd w:fill="F7F7F7" w:val="clear"/>
            <w:tcMar>
              <w:top w:w="52"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2,986</w:t>
            </w:r>
          </w:p>
        </w:tc>
      </w:tr>
    </w:tbl>
    <w:p>
      <w:pPr>
        <w:pStyle w:val="TextBody"/>
        <w:bidi w:val="0"/>
        <w:spacing w:lineRule="auto" w:line="288" w:before="0" w:after="200"/>
        <w:jc w:val="both"/>
        <w:rPr/>
      </w:pPr>
      <w:bookmarkStart w:id="26" w:name="i1a4b3130443b42cf8ff75fdcf660ac6e"/>
      <w:bookmarkEnd w:id="26"/>
      <w:r>
        <w:rPr>
          <w:rFonts w:ascii="Adelle Sans Light;sans-serif" w:hAnsi="Adelle Sans Light;sans-serif"/>
          <w:b w:val="false"/>
          <w:color w:val="000000"/>
          <w:sz w:val="10"/>
        </w:rPr>
        <w:t>(1)</w:t>
      </w:r>
      <w:r>
        <w:rPr>
          <w:color w:val="000000"/>
        </w:rPr>
        <w:t xml:space="preserve"> </w:t>
      </w:r>
      <w:r>
        <w:rPr>
          <w:rFonts w:ascii="Adelle Sans Light;sans-serif" w:hAnsi="Adelle Sans Light;sans-serif"/>
          <w:b w:val="false"/>
          <w:color w:val="000000"/>
          <w:sz w:val="16"/>
        </w:rPr>
        <w:t>In the three and six months ended June 30, 2026, $6 million and $17 million</w:t>
      </w:r>
      <w:bookmarkStart w:id="27" w:name="i266835aafef740efaf4e09596f024bd4"/>
      <w:bookmarkEnd w:id="27"/>
      <w:r>
        <w:rPr>
          <w:rFonts w:ascii="Adelle Sans Light;sans-serif" w:hAnsi="Adelle Sans Light;sans-serif"/>
          <w:b w:val="false"/>
          <w:color w:val="000000"/>
          <w:sz w:val="16"/>
        </w:rPr>
        <w:t xml:space="preserve"> was transferred from Level 3 to Level 1, respectively, due to the vesting of warrants (June 30, 2025 - $9 million and $14 million</w:t>
      </w:r>
      <w:bookmarkStart w:id="28" w:name="ic77e863967fb4d06b8a25f84d5218ccb"/>
      <w:bookmarkEnd w:id="28"/>
      <w:r>
        <w:rPr>
          <w:rFonts w:ascii="Adelle Sans Light;sans-serif" w:hAnsi="Adelle Sans Light;sans-serif"/>
          <w:b w:val="false"/>
          <w:color w:val="000000"/>
          <w:sz w:val="16"/>
        </w:rPr>
        <w:t>). The equity investments categorized as Level 3 in the fair value hierarchy represent unvested warrants that require the application of a discount for lack of marketability which was 9% at June 30, 2026 (December 31, 2025 - 11%).</w:t>
      </w:r>
    </w:p>
    <w:p>
      <w:pPr>
        <w:pStyle w:val="TextBody"/>
        <w:bidi w:val="0"/>
        <w:spacing w:lineRule="auto" w:line="288" w:before="0" w:after="200"/>
        <w:jc w:val="both"/>
        <w:rPr>
          <w:rFonts w:ascii="Adelle Sans Light;sans-serif" w:hAnsi="Adelle Sans Light;sans-serif"/>
          <w:b w:val="false"/>
          <w:color w:val="000000"/>
          <w:sz w:val="20"/>
        </w:rPr>
      </w:pPr>
      <w:r>
        <w:rPr>
          <w:rFonts w:ascii="Adelle Sans Light;sans-serif" w:hAnsi="Adelle Sans Light;sans-serif"/>
          <w:b w:val="false"/>
          <w:color w:val="000000"/>
          <w:sz w:val="20"/>
        </w:rPr>
        <w:t>Adjustments related to equity and other investments with readily determinable fair values for the three and six months ended June 30, 2026 and 2025 were as follows:</w:t>
      </w:r>
    </w:p>
    <w:tbl>
      <w:tblPr>
        <w:tblW w:w="10205" w:type="dxa"/>
        <w:jc w:val="left"/>
        <w:tblInd w:w="0" w:type="dxa"/>
        <w:tblLayout w:type="fixed"/>
        <w:tblCellMar>
          <w:top w:w="28" w:type="dxa"/>
          <w:left w:w="28" w:type="dxa"/>
          <w:bottom w:w="28" w:type="dxa"/>
          <w:right w:w="28" w:type="dxa"/>
        </w:tblCellMar>
      </w:tblPr>
      <w:tblGrid>
        <w:gridCol w:w="1728"/>
        <w:gridCol w:w="1300"/>
        <w:gridCol w:w="1304"/>
        <w:gridCol w:w="512"/>
        <w:gridCol w:w="259"/>
        <w:gridCol w:w="210"/>
        <w:gridCol w:w="210"/>
        <w:gridCol w:w="210"/>
        <w:gridCol w:w="210"/>
        <w:gridCol w:w="512"/>
        <w:gridCol w:w="259"/>
        <w:gridCol w:w="210"/>
        <w:gridCol w:w="109"/>
        <w:gridCol w:w="109"/>
        <w:gridCol w:w="109"/>
        <w:gridCol w:w="467"/>
        <w:gridCol w:w="272"/>
        <w:gridCol w:w="197"/>
        <w:gridCol w:w="197"/>
        <w:gridCol w:w="197"/>
        <w:gridCol w:w="197"/>
        <w:gridCol w:w="467"/>
        <w:gridCol w:w="272"/>
        <w:gridCol w:w="197"/>
        <w:gridCol w:w="109"/>
        <w:gridCol w:w="109"/>
        <w:gridCol w:w="109"/>
        <w:gridCol w:w="164"/>
      </w:tblGrid>
      <w:tr>
        <w:trPr/>
        <w:tc>
          <w:tcPr>
            <w:tcW w:w="1728" w:type="dxa"/>
            <w:tcBorders/>
            <w:vAlign w:val="center"/>
          </w:tcPr>
          <w:p>
            <w:pPr>
              <w:pStyle w:val="TableContents"/>
              <w:bidi w:val="0"/>
              <w:spacing w:before="0" w:after="283"/>
              <w:jc w:val="left"/>
              <w:rPr>
                <w:sz w:val="4"/>
                <w:szCs w:val="4"/>
              </w:rPr>
            </w:pPr>
            <w:r>
              <w:rPr>
                <w:sz w:val="4"/>
                <w:szCs w:val="4"/>
              </w:rPr>
            </w:r>
          </w:p>
        </w:tc>
        <w:tc>
          <w:tcPr>
            <w:tcW w:w="1300" w:type="dxa"/>
            <w:tcBorders/>
            <w:vAlign w:val="center"/>
          </w:tcPr>
          <w:p>
            <w:pPr>
              <w:pStyle w:val="TableContents"/>
              <w:bidi w:val="0"/>
              <w:spacing w:before="0" w:after="283"/>
              <w:jc w:val="left"/>
              <w:rPr>
                <w:sz w:val="4"/>
                <w:szCs w:val="4"/>
              </w:rPr>
            </w:pPr>
            <w:r>
              <w:rPr>
                <w:sz w:val="4"/>
                <w:szCs w:val="4"/>
              </w:rPr>
            </w:r>
          </w:p>
        </w:tc>
        <w:tc>
          <w:tcPr>
            <w:tcW w:w="1304" w:type="dxa"/>
            <w:tcBorders/>
            <w:vAlign w:val="center"/>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43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delle Sans;sans-serif" w:hAnsi="Adelle Sans;sans-serif"/>
                <w:b/>
                <w:color w:val="000000"/>
                <w:sz w:val="18"/>
              </w:rPr>
            </w:pPr>
            <w:r>
              <w:rPr>
                <w:rFonts w:ascii="Adelle Sans;sans-serif" w:hAnsi="Adelle Sans;sans-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delle Sans;sans-serif" w:hAnsi="Adelle Sans;sans-serif"/>
                <w:b/>
                <w:color w:val="000000"/>
                <w:sz w:val="18"/>
              </w:rPr>
            </w:pPr>
            <w:r>
              <w:rPr>
                <w:rFonts w:ascii="Adelle Sans;sans-serif" w:hAnsi="Adelle Sans;sans-serif"/>
                <w:b/>
                <w:color w:val="000000"/>
                <w:sz w:val="18"/>
              </w:rPr>
              <w:t>Six months ended June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 w:type="dxa"/>
            <w:gridSpan w:val="2"/>
            <w:tcBorders/>
          </w:tcPr>
          <w:p>
            <w:pPr>
              <w:pStyle w:val="TableContents"/>
              <w:bidi w:val="0"/>
              <w:spacing w:before="0" w:after="283"/>
              <w:jc w:val="left"/>
              <w:rPr>
                <w:sz w:val="4"/>
                <w:szCs w:val="4"/>
              </w:rPr>
            </w:pPr>
            <w:r>
              <w:rPr>
                <w:sz w:val="4"/>
                <w:szCs w:val="4"/>
              </w:rPr>
            </w:r>
          </w:p>
        </w:tc>
      </w:tr>
      <w:tr>
        <w:trPr/>
        <w:tc>
          <w:tcPr>
            <w:tcW w:w="43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delle Sans;sans-serif" w:hAnsi="Adelle Sans;sans-serif"/>
                <w:b/>
                <w:color w:val="000000"/>
                <w:sz w:val="18"/>
              </w:rPr>
            </w:pPr>
            <w:r>
              <w:rPr>
                <w:rFonts w:ascii="Adelle Sans;sans-serif" w:hAnsi="Adelle Sans;sans-serif"/>
                <w:b/>
                <w:color w:val="000000"/>
                <w:sz w:val="18"/>
              </w:rPr>
              <w:t>2026</w:t>
            </w:r>
          </w:p>
        </w:tc>
        <w:tc>
          <w:tcPr>
            <w:tcW w:w="6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delle Sans;sans-serif" w:hAnsi="Adelle Sans;sans-serif"/>
                <w:b/>
                <w:color w:val="000000"/>
                <w:sz w:val="18"/>
              </w:rPr>
            </w:pPr>
            <w:r>
              <w:rPr>
                <w:rFonts w:ascii="Adelle Sans;sans-serif" w:hAnsi="Adelle Sans;sans-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delle Sans;sans-serif" w:hAnsi="Adelle Sans;sans-serif"/>
                <w:b/>
                <w:color w:val="000000"/>
                <w:sz w:val="18"/>
              </w:rPr>
            </w:pPr>
            <w:r>
              <w:rPr>
                <w:rFonts w:ascii="Adelle Sans;sans-serif" w:hAnsi="Adelle Sans;sans-serif"/>
                <w:b/>
                <w:color w:val="000000"/>
                <w:sz w:val="18"/>
              </w:rPr>
              <w:t>2026</w:t>
            </w:r>
          </w:p>
        </w:tc>
        <w:tc>
          <w:tcPr>
            <w:tcW w:w="5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delle Sans;sans-serif" w:hAnsi="Adelle Sans;sans-serif"/>
                <w:b/>
                <w:color w:val="000000"/>
                <w:sz w:val="18"/>
              </w:rPr>
            </w:pPr>
            <w:r>
              <w:rPr>
                <w:rFonts w:ascii="Adelle Sans;sans-serif" w:hAnsi="Adelle Sans;sans-serif"/>
                <w:b/>
                <w:color w:val="000000"/>
                <w:sz w:val="18"/>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4332"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c>
          <w:tcPr>
            <w:tcW w:w="630"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591"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433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2" w:type="dxa"/>
            <w:gridSpan w:val="21"/>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Adelle Sans;sans-serif" w:hAnsi="Adelle Sans;sans-serif"/>
                <w:b w:val="false"/>
                <w:color w:val="000000"/>
                <w:sz w:val="18"/>
              </w:rPr>
            </w:pPr>
            <w:r>
              <w:rPr>
                <w:rFonts w:ascii="Adelle Sans;sans-serif" w:hAnsi="Adelle Sans;sans-serif"/>
                <w:b w:val="false"/>
                <w:color w:val="000000"/>
                <w:sz w:val="18"/>
              </w:rPr>
              <w:t>(in US $ millions)</w:t>
            </w:r>
          </w:p>
        </w:tc>
        <w:tc>
          <w:tcPr>
            <w:tcW w:w="491" w:type="dxa"/>
            <w:gridSpan w:val="4"/>
            <w:tcBorders/>
          </w:tcPr>
          <w:p>
            <w:pPr>
              <w:pStyle w:val="TableContents"/>
              <w:bidi w:val="0"/>
              <w:spacing w:before="0" w:after="283"/>
              <w:jc w:val="left"/>
              <w:rPr>
                <w:sz w:val="4"/>
                <w:szCs w:val="4"/>
              </w:rPr>
            </w:pPr>
            <w:r>
              <w:rPr>
                <w:sz w:val="4"/>
                <w:szCs w:val="4"/>
              </w:rPr>
            </w:r>
          </w:p>
        </w:tc>
      </w:tr>
      <w:tr>
        <w:trPr/>
        <w:tc>
          <w:tcPr>
            <w:tcW w:w="4332" w:type="dxa"/>
            <w:gridSpan w:val="3"/>
            <w:tcBorders/>
            <w:shd w:fill="F7F7F7" w:val="clear"/>
            <w:tcMar>
              <w:top w:w="0" w:type="dxa"/>
              <w:left w:w="0" w:type="dxa"/>
              <w:bottom w:w="0" w:type="dxa"/>
              <w:right w:w="0" w:type="dxa"/>
            </w:tcMar>
            <w:vAlign w:val="center"/>
          </w:tcPr>
          <w:p>
            <w:pPr>
              <w:pStyle w:val="TableContents"/>
              <w:bidi w:val="0"/>
              <w:spacing w:lineRule="auto" w:line="240" w:before="0" w:after="283"/>
              <w:jc w:val="left"/>
              <w:rPr>
                <w:rFonts w:ascii="Adelle Sans;sans-serif" w:hAnsi="Adelle Sans;sans-serif"/>
                <w:b w:val="false"/>
                <w:color w:val="000000"/>
                <w:sz w:val="18"/>
              </w:rPr>
            </w:pPr>
            <w:r>
              <w:rPr>
                <w:rFonts w:ascii="Adelle Sans;sans-serif" w:hAnsi="Adelle Sans;sans-serif"/>
                <w:b w:val="false"/>
                <w:color w:val="000000"/>
                <w:sz w:val="18"/>
              </w:rPr>
              <w:t>Balance, beginning of the period</w:t>
            </w:r>
          </w:p>
        </w:tc>
        <w:tc>
          <w:tcPr>
            <w:tcW w:w="771" w:type="dxa"/>
            <w:gridSpan w:val="2"/>
            <w:tcBorders/>
            <w:shd w:fill="F7F7F7"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1,975 </w:t>
            </w:r>
          </w:p>
        </w:tc>
        <w:tc>
          <w:tcPr>
            <w:tcW w:w="210" w:type="dxa"/>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2"/>
            <w:tcBorders/>
            <w:shd w:fill="F7F7F7"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2,253 </w:t>
            </w:r>
          </w:p>
        </w:tc>
        <w:tc>
          <w:tcPr>
            <w:tcW w:w="210" w:type="dxa"/>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 w:type="dxa"/>
            <w:gridSpan w:val="2"/>
            <w:tcBorders/>
            <w:shd w:fill="F7F7F7"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2,986 </w:t>
            </w:r>
          </w:p>
        </w:tc>
        <w:tc>
          <w:tcPr>
            <w:tcW w:w="197" w:type="dxa"/>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 w:type="dxa"/>
            <w:gridSpan w:val="2"/>
            <w:tcBorders/>
            <w:shd w:fill="F7F7F7"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3,183 </w:t>
            </w:r>
          </w:p>
        </w:tc>
        <w:tc>
          <w:tcPr>
            <w:tcW w:w="197" w:type="dxa"/>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43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4332" w:type="dxa"/>
            <w:gridSpan w:val="3"/>
            <w:tcBorders/>
            <w:shd w:fill="F7F7F7" w:val="clear"/>
            <w:tcMar>
              <w:top w:w="0" w:type="dxa"/>
              <w:left w:w="0" w:type="dxa"/>
              <w:bottom w:w="0" w:type="dxa"/>
              <w:right w:w="0" w:type="dxa"/>
            </w:tcMar>
            <w:vAlign w:val="center"/>
          </w:tcPr>
          <w:p>
            <w:pPr>
              <w:pStyle w:val="TableContents"/>
              <w:bidi w:val="0"/>
              <w:spacing w:lineRule="auto" w:line="240" w:before="0" w:after="283"/>
              <w:jc w:val="left"/>
              <w:rPr>
                <w:rFonts w:ascii="Adelle Sans;sans-serif" w:hAnsi="Adelle Sans;sans-serif"/>
                <w:b w:val="false"/>
                <w:color w:val="000000"/>
                <w:sz w:val="18"/>
              </w:rPr>
            </w:pPr>
            <w:r>
              <w:rPr>
                <w:rFonts w:ascii="Adelle Sans;sans-serif" w:hAnsi="Adelle Sans;sans-serif"/>
                <w:b w:val="false"/>
                <w:color w:val="000000"/>
                <w:sz w:val="18"/>
              </w:rPr>
              <w:t>Adjustments related to equity and other investments with readily determinable fair values:</w:t>
            </w:r>
          </w:p>
        </w:tc>
        <w:tc>
          <w:tcPr>
            <w:tcW w:w="981"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4332"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c>
          <w:tcPr>
            <w:tcW w:w="630"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591"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4332"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c>
          <w:tcPr>
            <w:tcW w:w="630"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591"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4332"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c>
          <w:tcPr>
            <w:tcW w:w="630"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591"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43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delle Sans;sans-serif" w:hAnsi="Adelle Sans;sans-serif"/>
                <w:b w:val="false"/>
                <w:color w:val="000000"/>
                <w:sz w:val="18"/>
              </w:rPr>
            </w:pPr>
            <w:r>
              <w:rPr>
                <w:rFonts w:ascii="Adelle Sans;sans-serif" w:hAnsi="Adelle Sans;sans-serif"/>
                <w:b w:val="false"/>
                <w:color w:val="000000"/>
                <w:sz w:val="18"/>
              </w:rPr>
              <w:t>Sale of equity and other investments</w:t>
            </w:r>
          </w:p>
        </w:tc>
        <w:tc>
          <w:tcPr>
            <w:tcW w:w="7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(3)</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(5)</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4332" w:type="dxa"/>
            <w:gridSpan w:val="3"/>
            <w:tcBorders/>
            <w:shd w:fill="F7F7F7" w:val="clear"/>
            <w:tcMar>
              <w:top w:w="0" w:type="dxa"/>
              <w:left w:w="0" w:type="dxa"/>
              <w:bottom w:w="0" w:type="dxa"/>
              <w:right w:w="0" w:type="dxa"/>
            </w:tcMar>
            <w:vAlign w:val="center"/>
          </w:tcPr>
          <w:p>
            <w:pPr>
              <w:pStyle w:val="TableContents"/>
              <w:bidi w:val="0"/>
              <w:spacing w:lineRule="auto" w:line="240" w:before="0" w:after="283"/>
              <w:jc w:val="left"/>
              <w:rPr>
                <w:rFonts w:ascii="Adelle Sans;sans-serif" w:hAnsi="Adelle Sans;sans-serif"/>
                <w:b w:val="false"/>
                <w:color w:val="000000"/>
                <w:sz w:val="18"/>
              </w:rPr>
            </w:pPr>
            <w:r>
              <w:rPr>
                <w:rFonts w:ascii="Adelle Sans;sans-serif" w:hAnsi="Adelle Sans;sans-serif"/>
                <w:b w:val="false"/>
                <w:color w:val="000000"/>
                <w:sz w:val="18"/>
              </w:rPr>
              <w:t>Net unrealized gains (losses)</w:t>
            </w:r>
          </w:p>
        </w:tc>
        <w:tc>
          <w:tcPr>
            <w:tcW w:w="771" w:type="dxa"/>
            <w:gridSpan w:val="2"/>
            <w:tcBorders/>
            <w:shd w:fill="F7F7F7"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731 </w:t>
            </w:r>
          </w:p>
        </w:tc>
        <w:tc>
          <w:tcPr>
            <w:tcW w:w="210" w:type="dxa"/>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2"/>
            <w:tcBorders/>
            <w:shd w:fill="F7F7F7"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502 </w:t>
            </w:r>
          </w:p>
        </w:tc>
        <w:tc>
          <w:tcPr>
            <w:tcW w:w="210" w:type="dxa"/>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 w:type="dxa"/>
            <w:gridSpan w:val="2"/>
            <w:tcBorders/>
            <w:shd w:fill="F7F7F7"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(278)</w:t>
            </w:r>
          </w:p>
        </w:tc>
        <w:tc>
          <w:tcPr>
            <w:tcW w:w="197" w:type="dxa"/>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 w:type="dxa"/>
            <w:gridSpan w:val="2"/>
            <w:tcBorders/>
            <w:shd w:fill="F7F7F7"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(428)</w:t>
            </w:r>
          </w:p>
        </w:tc>
        <w:tc>
          <w:tcPr>
            <w:tcW w:w="197" w:type="dxa"/>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4332"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c>
          <w:tcPr>
            <w:tcW w:w="630"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591"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4332"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c>
          <w:tcPr>
            <w:tcW w:w="630"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591"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43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delle Sans;sans-serif" w:hAnsi="Adelle Sans;sans-serif"/>
                <w:b w:val="false"/>
                <w:color w:val="000000"/>
                <w:sz w:val="18"/>
              </w:rPr>
            </w:pPr>
            <w:r>
              <w:rPr>
                <w:rFonts w:ascii="Adelle Sans;sans-serif" w:hAnsi="Adelle Sans;sans-serif"/>
                <w:b w:val="false"/>
                <w:color w:val="000000"/>
                <w:sz w:val="18"/>
              </w:rPr>
              <w:t>Balance, end of the period</w:t>
            </w:r>
          </w:p>
        </w:tc>
        <w:tc>
          <w:tcPr>
            <w:tcW w:w="77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2,703 </w:t>
            </w:r>
          </w:p>
        </w:tc>
        <w:tc>
          <w:tcPr>
            <w:tcW w:w="21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2,755 </w:t>
            </w:r>
          </w:p>
        </w:tc>
        <w:tc>
          <w:tcPr>
            <w:tcW w:w="21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2,703 </w:t>
            </w:r>
          </w:p>
        </w:tc>
        <w:tc>
          <w:tcPr>
            <w:tcW w:w="19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2,755 </w:t>
            </w:r>
          </w:p>
        </w:tc>
        <w:tc>
          <w:tcPr>
            <w:tcW w:w="19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jc w:val="left"/>
        <w:rPr>
          <w:rFonts w:ascii="Adelle Sans;sans-serif" w:hAnsi="Adelle Sans;sans-serif"/>
          <w:b w:val="false"/>
          <w:i/>
          <w:color w:val="000000"/>
          <w:sz w:val="20"/>
        </w:rPr>
      </w:pPr>
      <w:bookmarkStart w:id="29" w:name="ic14cc5ee93db4fa0b32fbc3e35115105"/>
      <w:bookmarkEnd w:id="29"/>
      <w:r>
        <w:rPr>
          <w:rFonts w:ascii="Adelle Sans;sans-serif" w:hAnsi="Adelle Sans;sans-serif"/>
          <w:b w:val="false"/>
          <w:i/>
          <w:color w:val="000000"/>
          <w:sz w:val="20"/>
        </w:rPr>
        <w:t>Equity Investments without Readily Determinable Fair Values</w:t>
      </w:r>
    </w:p>
    <w:p>
      <w:pPr>
        <w:pStyle w:val="TextBody"/>
        <w:bidi w:val="0"/>
        <w:spacing w:lineRule="auto" w:line="288" w:before="0" w:after="200"/>
        <w:jc w:val="both"/>
        <w:rPr>
          <w:rFonts w:ascii="Adelle Sans Light;sans-serif" w:hAnsi="Adelle Sans Light;sans-serif"/>
          <w:b w:val="false"/>
          <w:color w:val="000000"/>
          <w:sz w:val="20"/>
        </w:rPr>
      </w:pPr>
      <w:r>
        <w:rPr>
          <w:rFonts w:ascii="Adelle Sans Light;sans-serif" w:hAnsi="Adelle Sans Light;sans-serif"/>
          <w:b w:val="false"/>
          <w:color w:val="000000"/>
          <w:sz w:val="20"/>
        </w:rPr>
        <w:t>The carrying value of equity investments in private companies without readily determinable fair values were as follows:</w:t>
      </w:r>
    </w:p>
    <w:tbl>
      <w:tblPr>
        <w:tblW w:w="10205" w:type="dxa"/>
        <w:jc w:val="left"/>
        <w:tblInd w:w="0" w:type="dxa"/>
        <w:tblLayout w:type="fixed"/>
        <w:tblCellMar>
          <w:top w:w="28" w:type="dxa"/>
          <w:left w:w="28" w:type="dxa"/>
          <w:bottom w:w="28" w:type="dxa"/>
          <w:right w:w="28" w:type="dxa"/>
        </w:tblCellMar>
      </w:tblPr>
      <w:tblGrid>
        <w:gridCol w:w="2489"/>
        <w:gridCol w:w="2107"/>
        <w:gridCol w:w="2088"/>
        <w:gridCol w:w="489"/>
        <w:gridCol w:w="419"/>
        <w:gridCol w:w="414"/>
        <w:gridCol w:w="109"/>
        <w:gridCol w:w="109"/>
        <w:gridCol w:w="109"/>
        <w:gridCol w:w="549"/>
        <w:gridCol w:w="545"/>
        <w:gridCol w:w="778"/>
      </w:tblGrid>
      <w:tr>
        <w:trPr/>
        <w:tc>
          <w:tcPr>
            <w:tcW w:w="2489" w:type="dxa"/>
            <w:tcBorders/>
            <w:vAlign w:val="center"/>
          </w:tcPr>
          <w:p>
            <w:pPr>
              <w:pStyle w:val="TableContents"/>
              <w:bidi w:val="0"/>
              <w:spacing w:before="0" w:after="283"/>
              <w:jc w:val="left"/>
              <w:rPr>
                <w:sz w:val="4"/>
                <w:szCs w:val="4"/>
              </w:rPr>
            </w:pPr>
            <w:r>
              <w:rPr>
                <w:sz w:val="4"/>
                <w:szCs w:val="4"/>
              </w:rPr>
            </w:r>
          </w:p>
        </w:tc>
        <w:tc>
          <w:tcPr>
            <w:tcW w:w="2107" w:type="dxa"/>
            <w:tcBorders/>
            <w:vAlign w:val="center"/>
          </w:tcPr>
          <w:p>
            <w:pPr>
              <w:pStyle w:val="TableContents"/>
              <w:bidi w:val="0"/>
              <w:spacing w:before="0" w:after="283"/>
              <w:jc w:val="left"/>
              <w:rPr>
                <w:sz w:val="4"/>
                <w:szCs w:val="4"/>
              </w:rPr>
            </w:pPr>
            <w:r>
              <w:rPr>
                <w:sz w:val="4"/>
                <w:szCs w:val="4"/>
              </w:rPr>
            </w:r>
          </w:p>
        </w:tc>
        <w:tc>
          <w:tcPr>
            <w:tcW w:w="2088"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r>
      <w:tr>
        <w:trPr/>
        <w:tc>
          <w:tcPr>
            <w:tcW w:w="66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delle Sans;sans-serif" w:hAnsi="Adelle Sans;sans-serif"/>
                <w:b/>
                <w:color w:val="000000"/>
                <w:sz w:val="18"/>
              </w:rPr>
            </w:pPr>
            <w:r>
              <w:rPr>
                <w:rFonts w:ascii="Adelle Sans;sans-serif" w:hAnsi="Adelle Sans;sans-serif"/>
                <w:b/>
                <w:color w:val="000000"/>
                <w:sz w:val="18"/>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delle Sans;sans-serif" w:hAnsi="Adelle Sans;sans-serif"/>
                <w:b/>
                <w:color w:val="000000"/>
                <w:sz w:val="18"/>
              </w:rPr>
            </w:pPr>
            <w:r>
              <w:rPr>
                <w:rFonts w:ascii="Adelle Sans;sans-serif" w:hAnsi="Adelle Sans;sans-serif"/>
                <w:b/>
                <w:color w:val="000000"/>
                <w:sz w:val="18"/>
              </w:rPr>
              <w:t>December 31, 2025</w:t>
            </w:r>
          </w:p>
        </w:tc>
      </w:tr>
      <w:tr>
        <w:trPr/>
        <w:tc>
          <w:tcPr>
            <w:tcW w:w="6684" w:type="dxa"/>
            <w:gridSpan w:val="3"/>
            <w:tcBorders/>
            <w:vAlign w:val="center"/>
          </w:tcPr>
          <w:p>
            <w:pPr>
              <w:pStyle w:val="TableContents"/>
              <w:bidi w:val="0"/>
              <w:spacing w:before="0" w:after="283"/>
              <w:jc w:val="left"/>
              <w:rPr>
                <w:sz w:val="4"/>
                <w:szCs w:val="4"/>
              </w:rPr>
            </w:pPr>
            <w:r>
              <w:rPr>
                <w:sz w:val="4"/>
                <w:szCs w:val="4"/>
              </w:rPr>
            </w:r>
          </w:p>
        </w:tc>
        <w:tc>
          <w:tcPr>
            <w:tcW w:w="13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72" w:type="dxa"/>
            <w:gridSpan w:val="3"/>
            <w:tcBorders/>
            <w:vAlign w:val="center"/>
          </w:tcPr>
          <w:p>
            <w:pPr>
              <w:pStyle w:val="TableContents"/>
              <w:bidi w:val="0"/>
              <w:spacing w:before="0" w:after="283"/>
              <w:jc w:val="left"/>
              <w:rPr>
                <w:sz w:val="4"/>
                <w:szCs w:val="4"/>
              </w:rPr>
            </w:pPr>
            <w:r>
              <w:rPr>
                <w:sz w:val="4"/>
                <w:szCs w:val="4"/>
              </w:rPr>
            </w:r>
          </w:p>
        </w:tc>
      </w:tr>
      <w:tr>
        <w:trPr/>
        <w:tc>
          <w:tcPr>
            <w:tcW w:w="668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1" w:type="dxa"/>
            <w:gridSpan w:val="9"/>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Adelle Sans;sans-serif" w:hAnsi="Adelle Sans;sans-serif"/>
                <w:b w:val="false"/>
                <w:color w:val="000000"/>
                <w:sz w:val="18"/>
              </w:rPr>
            </w:pPr>
            <w:r>
              <w:rPr>
                <w:rFonts w:ascii="Adelle Sans;sans-serif" w:hAnsi="Adelle Sans;sans-serif"/>
                <w:b w:val="false"/>
                <w:color w:val="000000"/>
                <w:sz w:val="18"/>
              </w:rPr>
              <w:t>(in US $ millions)</w:t>
            </w:r>
          </w:p>
        </w:tc>
      </w:tr>
      <w:tr>
        <w:trPr/>
        <w:tc>
          <w:tcPr>
            <w:tcW w:w="6684" w:type="dxa"/>
            <w:gridSpan w:val="3"/>
            <w:tcBorders/>
            <w:shd w:fill="F7F7F7" w:val="clear"/>
            <w:tcMar>
              <w:top w:w="0" w:type="dxa"/>
              <w:left w:w="0" w:type="dxa"/>
              <w:bottom w:w="0" w:type="dxa"/>
              <w:right w:w="0" w:type="dxa"/>
            </w:tcMar>
            <w:vAlign w:val="center"/>
          </w:tcPr>
          <w:p>
            <w:pPr>
              <w:pStyle w:val="TableContents"/>
              <w:bidi w:val="0"/>
              <w:spacing w:lineRule="auto" w:line="240" w:before="0" w:after="283"/>
              <w:jc w:val="left"/>
              <w:rPr>
                <w:rFonts w:ascii="Adelle Sans;sans-serif" w:hAnsi="Adelle Sans;sans-serif"/>
                <w:b w:val="false"/>
                <w:color w:val="000000"/>
                <w:sz w:val="18"/>
              </w:rPr>
            </w:pPr>
            <w:r>
              <w:rPr>
                <w:rFonts w:ascii="Adelle Sans;sans-serif" w:hAnsi="Adelle Sans;sans-serif"/>
                <w:b w:val="false"/>
                <w:color w:val="000000"/>
                <w:sz w:val="18"/>
              </w:rPr>
              <w:t>Total initial value</w:t>
            </w:r>
          </w:p>
        </w:tc>
        <w:tc>
          <w:tcPr>
            <w:tcW w:w="908" w:type="dxa"/>
            <w:gridSpan w:val="2"/>
            <w:tcBorders/>
            <w:shd w:fill="F7F7F7"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1,135 </w:t>
            </w:r>
          </w:p>
        </w:tc>
        <w:tc>
          <w:tcPr>
            <w:tcW w:w="414" w:type="dxa"/>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F7F7F7"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1,068 </w:t>
            </w:r>
          </w:p>
        </w:tc>
        <w:tc>
          <w:tcPr>
            <w:tcW w:w="778" w:type="dxa"/>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delle Sans;sans-serif" w:hAnsi="Adelle Sans;sans-serif"/>
                <w:b w:val="false"/>
                <w:color w:val="000000"/>
                <w:sz w:val="18"/>
              </w:rPr>
            </w:pPr>
            <w:r>
              <w:rPr>
                <w:rFonts w:ascii="Adelle Sans;sans-serif" w:hAnsi="Adelle Sans;sans-serif"/>
                <w:b w:val="false"/>
                <w:color w:val="000000"/>
                <w:sz w:val="18"/>
              </w:rPr>
              <w:t>Cumulative gross unrealized gains</w:t>
            </w:r>
          </w:p>
        </w:tc>
        <w:tc>
          <w:tcPr>
            <w:tcW w:w="9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832 </w:t>
            </w:r>
          </w:p>
        </w:tc>
        <w:tc>
          <w:tcPr>
            <w:tcW w:w="4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310 </w:t>
            </w:r>
          </w:p>
        </w:tc>
        <w:tc>
          <w:tcPr>
            <w:tcW w:w="7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84" w:type="dxa"/>
            <w:gridSpan w:val="3"/>
            <w:tcBorders/>
            <w:shd w:fill="F7F7F7" w:val="clear"/>
            <w:tcMar>
              <w:top w:w="0" w:type="dxa"/>
              <w:left w:w="0" w:type="dxa"/>
              <w:bottom w:w="0" w:type="dxa"/>
              <w:right w:w="0" w:type="dxa"/>
            </w:tcMar>
            <w:vAlign w:val="center"/>
          </w:tcPr>
          <w:p>
            <w:pPr>
              <w:pStyle w:val="TableContents"/>
              <w:bidi w:val="0"/>
              <w:spacing w:lineRule="auto" w:line="240" w:before="0" w:after="283"/>
              <w:jc w:val="left"/>
              <w:rPr>
                <w:rFonts w:ascii="Adelle Sans;sans-serif" w:hAnsi="Adelle Sans;sans-serif"/>
                <w:b w:val="false"/>
                <w:color w:val="000000"/>
                <w:sz w:val="18"/>
              </w:rPr>
            </w:pPr>
            <w:r>
              <w:rPr>
                <w:rFonts w:ascii="Adelle Sans;sans-serif" w:hAnsi="Adelle Sans;sans-serif"/>
                <w:b w:val="false"/>
                <w:color w:val="000000"/>
                <w:sz w:val="18"/>
              </w:rPr>
              <w:t>Cumulative gross unrealized losses and impairment</w:t>
            </w:r>
          </w:p>
        </w:tc>
        <w:tc>
          <w:tcPr>
            <w:tcW w:w="908" w:type="dxa"/>
            <w:gridSpan w:val="2"/>
            <w:tcBorders/>
            <w:shd w:fill="F7F7F7"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(412)</w:t>
            </w:r>
          </w:p>
        </w:tc>
        <w:tc>
          <w:tcPr>
            <w:tcW w:w="414" w:type="dxa"/>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F7F7F7"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(415)</w:t>
            </w:r>
          </w:p>
        </w:tc>
        <w:tc>
          <w:tcPr>
            <w:tcW w:w="778" w:type="dxa"/>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delle Sans;sans-serif" w:hAnsi="Adelle Sans;sans-serif"/>
                <w:b w:val="false"/>
                <w:color w:val="000000"/>
                <w:sz w:val="18"/>
              </w:rPr>
            </w:pPr>
            <w:r>
              <w:rPr>
                <w:rFonts w:ascii="Adelle Sans;sans-serif" w:hAnsi="Adelle Sans;sans-serif"/>
                <w:b w:val="false"/>
                <w:color w:val="000000"/>
                <w:sz w:val="18"/>
              </w:rPr>
              <w:t>Total carrying value of equity and other investments without readily determinable fair values</w:t>
            </w:r>
          </w:p>
        </w:tc>
        <w:tc>
          <w:tcPr>
            <w:tcW w:w="90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1,555 </w:t>
            </w:r>
          </w:p>
        </w:tc>
        <w:tc>
          <w:tcPr>
            <w:tcW w:w="41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963 </w:t>
            </w:r>
          </w:p>
        </w:tc>
        <w:tc>
          <w:tcPr>
            <w:tcW w:w="77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7955"/>
                <wp:effectExtent l="0" t="0" r="0" b="0"/>
                <wp:wrapNone/>
                <wp:docPr id="15" name="Frame14"/>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200"/>
                              <w:jc w:val="center"/>
                              <w:rPr>
                                <w:rFonts w:ascii="Adelle Sans Light;sans-serif" w:hAnsi="Adelle Sans Light;sans-serif"/>
                                <w:b w:val="false"/>
                                <w:color w:val="000000"/>
                                <w:sz w:val="20"/>
                              </w:rPr>
                            </w:pPr>
                            <w:r>
                              <w:rPr>
                                <w:rFonts w:ascii="Adelle Sans Light;sans-serif" w:hAnsi="Adelle Sans Light;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Adelle Sans Light;sans-serif" w:hAnsi="Adelle Sans Light;sans-serif"/>
                          <w:b w:val="false"/>
                          <w:color w:val="000000"/>
                          <w:sz w:val="20"/>
                        </w:rPr>
                      </w:pPr>
                      <w:r>
                        <w:rPr>
                          <w:rFonts w:ascii="Adelle Sans Light;sans-serif" w:hAnsi="Adelle Sans Light;sans-serif"/>
                          <w:b w:val="false"/>
                          <w:color w:val="000000"/>
                          <w:sz w:val="20"/>
                        </w:rPr>
                        <w:t>14</w:t>
                      </w:r>
                    </w:p>
                  </w:txbxContent>
                </v:textbox>
                <w10:wrap type="none"/>
              </v:rect>
            </w:pict>
          </mc:Fallback>
        </mc:AlternateContent>
      </w:r>
    </w:p>
    <w:p>
      <w:pPr>
        <w:pStyle w:val="TextBody"/>
        <w:bidi w:val="0"/>
        <w:spacing w:lineRule="auto" w:line="288" w:before="0" w:after="200"/>
        <w:jc w:val="both"/>
        <w:rPr/>
      </w:pPr>
      <w:hyperlink w:anchor="iccccf23fa31e44f0aa82c99ca0859db8_7">
        <w:r>
          <w:rPr>
            <w:rStyle w:val="InternetLink"/>
            <w:rFonts w:ascii="Adelle Sans Light;sans-serif" w:hAnsi="Adelle Sans Light;sans-serif"/>
            <w:b w:val="false"/>
            <w:color w:val="0000FF"/>
            <w:sz w:val="20"/>
            <w:u w:val="single"/>
          </w:rPr>
          <w:t>Table of Contents</w:t>
        </w:r>
      </w:hyperlink>
    </w:p>
    <w:p>
      <w:pPr>
        <w:pStyle w:val="TextBody"/>
        <w:bidi w:val="0"/>
        <w:spacing w:lineRule="auto" w:line="288" w:before="0" w:after="200"/>
        <w:jc w:val="both"/>
        <w:rPr>
          <w:rFonts w:ascii="Adelle Sans Light;sans-serif" w:hAnsi="Adelle Sans Light;sans-serif"/>
          <w:b w:val="false"/>
          <w:color w:val="000000"/>
          <w:sz w:val="20"/>
        </w:rPr>
      </w:pPr>
      <w:r>
        <w:rPr>
          <w:rFonts w:ascii="Adelle Sans Light;sans-serif" w:hAnsi="Adelle Sans Light;sans-serif"/>
          <w:b w:val="false"/>
          <w:color w:val="000000"/>
          <w:sz w:val="20"/>
        </w:rPr>
        <w:t>Adjustments related to equity and other investments without readily determinable fair values for the three and six months ended June 30, 2026 and 2025 were as follows:</w:t>
      </w:r>
    </w:p>
    <w:tbl>
      <w:tblPr>
        <w:tblW w:w="10205" w:type="dxa"/>
        <w:jc w:val="left"/>
        <w:tblInd w:w="0" w:type="dxa"/>
        <w:tblLayout w:type="fixed"/>
        <w:tblCellMar>
          <w:top w:w="28" w:type="dxa"/>
          <w:left w:w="28" w:type="dxa"/>
          <w:bottom w:w="28" w:type="dxa"/>
          <w:right w:w="28" w:type="dxa"/>
        </w:tblCellMar>
      </w:tblPr>
      <w:tblGrid>
        <w:gridCol w:w="1723"/>
        <w:gridCol w:w="1322"/>
        <w:gridCol w:w="1326"/>
        <w:gridCol w:w="464"/>
        <w:gridCol w:w="300"/>
        <w:gridCol w:w="241"/>
        <w:gridCol w:w="241"/>
        <w:gridCol w:w="241"/>
        <w:gridCol w:w="241"/>
        <w:gridCol w:w="346"/>
        <w:gridCol w:w="272"/>
        <w:gridCol w:w="241"/>
        <w:gridCol w:w="109"/>
        <w:gridCol w:w="109"/>
        <w:gridCol w:w="109"/>
        <w:gridCol w:w="424"/>
        <w:gridCol w:w="301"/>
        <w:gridCol w:w="224"/>
        <w:gridCol w:w="224"/>
        <w:gridCol w:w="224"/>
        <w:gridCol w:w="224"/>
        <w:gridCol w:w="316"/>
        <w:gridCol w:w="269"/>
        <w:gridCol w:w="224"/>
        <w:gridCol w:w="109"/>
        <w:gridCol w:w="109"/>
        <w:gridCol w:w="109"/>
        <w:gridCol w:w="163"/>
      </w:tblGrid>
      <w:tr>
        <w:trPr/>
        <w:tc>
          <w:tcPr>
            <w:tcW w:w="1723" w:type="dxa"/>
            <w:tcBorders/>
            <w:vAlign w:val="center"/>
          </w:tcPr>
          <w:p>
            <w:pPr>
              <w:pStyle w:val="TableContents"/>
              <w:bidi w:val="0"/>
              <w:spacing w:before="0" w:after="283"/>
              <w:jc w:val="left"/>
              <w:rPr>
                <w:sz w:val="4"/>
                <w:szCs w:val="4"/>
              </w:rPr>
            </w:pPr>
            <w:r>
              <w:rPr>
                <w:sz w:val="4"/>
                <w:szCs w:val="4"/>
              </w:rPr>
            </w:r>
          </w:p>
        </w:tc>
        <w:tc>
          <w:tcPr>
            <w:tcW w:w="1322" w:type="dxa"/>
            <w:tcBorders/>
            <w:vAlign w:val="center"/>
          </w:tcPr>
          <w:p>
            <w:pPr>
              <w:pStyle w:val="TableContents"/>
              <w:bidi w:val="0"/>
              <w:spacing w:before="0" w:after="283"/>
              <w:jc w:val="left"/>
              <w:rPr>
                <w:sz w:val="4"/>
                <w:szCs w:val="4"/>
              </w:rPr>
            </w:pPr>
            <w:r>
              <w:rPr>
                <w:sz w:val="4"/>
                <w:szCs w:val="4"/>
              </w:rPr>
            </w:r>
          </w:p>
        </w:tc>
        <w:tc>
          <w:tcPr>
            <w:tcW w:w="1326"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43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delle Sans;sans-serif" w:hAnsi="Adelle Sans;sans-serif"/>
                <w:b/>
                <w:color w:val="000000"/>
                <w:sz w:val="18"/>
              </w:rPr>
            </w:pPr>
            <w:r>
              <w:rPr>
                <w:rFonts w:ascii="Adelle Sans;sans-serif" w:hAnsi="Adelle Sans;sans-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delle Sans;sans-serif" w:hAnsi="Adelle Sans;sans-serif"/>
                <w:b/>
                <w:color w:val="000000"/>
                <w:sz w:val="18"/>
              </w:rPr>
            </w:pPr>
            <w:r>
              <w:rPr>
                <w:rFonts w:ascii="Adelle Sans;sans-serif" w:hAnsi="Adelle Sans;sans-serif"/>
                <w:b/>
                <w:color w:val="000000"/>
                <w:sz w:val="18"/>
              </w:rPr>
              <w:t>Six months ended June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2" w:type="dxa"/>
            <w:gridSpan w:val="2"/>
            <w:tcBorders/>
          </w:tcPr>
          <w:p>
            <w:pPr>
              <w:pStyle w:val="TableContents"/>
              <w:bidi w:val="0"/>
              <w:spacing w:before="0" w:after="283"/>
              <w:jc w:val="left"/>
              <w:rPr>
                <w:sz w:val="4"/>
                <w:szCs w:val="4"/>
              </w:rPr>
            </w:pPr>
            <w:r>
              <w:rPr>
                <w:sz w:val="4"/>
                <w:szCs w:val="4"/>
              </w:rPr>
            </w:r>
          </w:p>
        </w:tc>
      </w:tr>
      <w:tr>
        <w:trPr/>
        <w:tc>
          <w:tcPr>
            <w:tcW w:w="43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Adelle Sans;sans-serif" w:hAnsi="Adelle Sans;sans-serif"/>
                <w:b/>
                <w:color w:val="000000"/>
                <w:sz w:val="18"/>
              </w:rPr>
            </w:pPr>
            <w:r>
              <w:rPr>
                <w:rFonts w:ascii="Adelle Sans;sans-serif" w:hAnsi="Adelle Sans;sans-serif"/>
                <w:b/>
                <w:color w:val="000000"/>
                <w:sz w:val="18"/>
              </w:rPr>
              <w:t>2026</w:t>
            </w:r>
          </w:p>
        </w:tc>
        <w:tc>
          <w:tcPr>
            <w:tcW w:w="723"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859"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Adelle Sans;sans-serif" w:hAnsi="Adelle Sans;sans-serif"/>
                <w:b/>
                <w:color w:val="000000"/>
                <w:sz w:val="18"/>
              </w:rPr>
            </w:pPr>
            <w:r>
              <w:rPr>
                <w:rFonts w:ascii="Adelle Sans;sans-serif" w:hAnsi="Adelle Sans;sans-serif"/>
                <w:b/>
                <w:color w:val="000000"/>
                <w:sz w:val="18"/>
              </w:rPr>
              <w:t>2025</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49"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Adelle Sans;sans-serif" w:hAnsi="Adelle Sans;sans-serif"/>
                <w:b/>
                <w:color w:val="000000"/>
                <w:sz w:val="18"/>
              </w:rPr>
            </w:pPr>
            <w:r>
              <w:rPr>
                <w:rFonts w:ascii="Adelle Sans;sans-serif" w:hAnsi="Adelle Sans;sans-serif"/>
                <w:b/>
                <w:color w:val="000000"/>
                <w:sz w:val="18"/>
              </w:rPr>
              <w:t>2026</w:t>
            </w:r>
          </w:p>
        </w:tc>
        <w:tc>
          <w:tcPr>
            <w:tcW w:w="672"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809"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Adelle Sans;sans-serif" w:hAnsi="Adelle Sans;sans-serif"/>
                <w:b/>
                <w:color w:val="000000"/>
                <w:sz w:val="18"/>
              </w:rPr>
            </w:pPr>
            <w:r>
              <w:rPr>
                <w:rFonts w:ascii="Adelle Sans;sans-serif" w:hAnsi="Adelle Sans;sans-serif"/>
                <w:b/>
                <w:color w:val="000000"/>
                <w:sz w:val="18"/>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437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4" w:type="dxa"/>
            <w:gridSpan w:val="21"/>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delle Sans;sans-serif" w:hAnsi="Adelle Sans;sans-serif"/>
                <w:b w:val="false"/>
                <w:color w:val="000000"/>
                <w:sz w:val="18"/>
              </w:rPr>
            </w:pPr>
            <w:r>
              <w:rPr>
                <w:rFonts w:ascii="Adelle Sans;sans-serif" w:hAnsi="Adelle Sans;sans-serif"/>
                <w:b w:val="false"/>
                <w:color w:val="000000"/>
                <w:sz w:val="18"/>
              </w:rPr>
              <w:t>(in US $ millions)</w:t>
            </w:r>
          </w:p>
        </w:tc>
        <w:tc>
          <w:tcPr>
            <w:tcW w:w="490" w:type="dxa"/>
            <w:gridSpan w:val="4"/>
            <w:tcBorders/>
          </w:tcPr>
          <w:p>
            <w:pPr>
              <w:pStyle w:val="TableContents"/>
              <w:bidi w:val="0"/>
              <w:spacing w:before="0" w:after="283"/>
              <w:jc w:val="left"/>
              <w:rPr>
                <w:sz w:val="4"/>
                <w:szCs w:val="4"/>
              </w:rPr>
            </w:pPr>
            <w:r>
              <w:rPr>
                <w:sz w:val="4"/>
                <w:szCs w:val="4"/>
              </w:rPr>
            </w:r>
          </w:p>
        </w:tc>
      </w:tr>
      <w:tr>
        <w:trPr/>
        <w:tc>
          <w:tcPr>
            <w:tcW w:w="4371" w:type="dxa"/>
            <w:gridSpan w:val="3"/>
            <w:tcBorders/>
            <w:shd w:fill="F7F7F7" w:val="clear"/>
            <w:tcMar>
              <w:top w:w="0" w:type="dxa"/>
              <w:left w:w="0" w:type="dxa"/>
              <w:bottom w:w="0" w:type="dxa"/>
              <w:right w:w="0" w:type="dxa"/>
            </w:tcMar>
            <w:vAlign w:val="center"/>
          </w:tcPr>
          <w:p>
            <w:pPr>
              <w:pStyle w:val="TableContents"/>
              <w:bidi w:val="0"/>
              <w:spacing w:lineRule="auto" w:line="240" w:before="0" w:after="283"/>
              <w:jc w:val="left"/>
              <w:rPr>
                <w:rFonts w:ascii="Adelle Sans;sans-serif" w:hAnsi="Adelle Sans;sans-serif"/>
                <w:b w:val="false"/>
                <w:color w:val="000000"/>
                <w:sz w:val="18"/>
              </w:rPr>
            </w:pPr>
            <w:r>
              <w:rPr>
                <w:rFonts w:ascii="Adelle Sans;sans-serif" w:hAnsi="Adelle Sans;sans-serif"/>
                <w:b w:val="false"/>
                <w:color w:val="000000"/>
                <w:sz w:val="18"/>
              </w:rPr>
              <w:t>Balance, beginning of the period</w:t>
            </w:r>
          </w:p>
        </w:tc>
        <w:tc>
          <w:tcPr>
            <w:tcW w:w="764" w:type="dxa"/>
            <w:gridSpan w:val="2"/>
            <w:tcBorders/>
            <w:shd w:fill="F7F7F7"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970 </w:t>
            </w:r>
          </w:p>
        </w:tc>
        <w:tc>
          <w:tcPr>
            <w:tcW w:w="241" w:type="dxa"/>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2"/>
            <w:tcBorders/>
            <w:shd w:fill="F7F7F7"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709 </w:t>
            </w:r>
          </w:p>
        </w:tc>
        <w:tc>
          <w:tcPr>
            <w:tcW w:w="241" w:type="dxa"/>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2"/>
            <w:tcBorders/>
            <w:shd w:fill="F7F7F7"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963 </w:t>
            </w:r>
          </w:p>
        </w:tc>
        <w:tc>
          <w:tcPr>
            <w:tcW w:w="224" w:type="dxa"/>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7F7F7"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717 </w:t>
            </w:r>
          </w:p>
        </w:tc>
        <w:tc>
          <w:tcPr>
            <w:tcW w:w="224" w:type="dxa"/>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4371" w:type="dxa"/>
            <w:gridSpan w:val="3"/>
            <w:tcBorders/>
            <w:vAlign w:val="center"/>
          </w:tcPr>
          <w:p>
            <w:pPr>
              <w:pStyle w:val="TableContents"/>
              <w:bidi w:val="0"/>
              <w:spacing w:before="0" w:after="283"/>
              <w:jc w:val="left"/>
              <w:rPr>
                <w:sz w:val="4"/>
                <w:szCs w:val="4"/>
              </w:rPr>
            </w:pPr>
            <w:r>
              <w:rPr>
                <w:sz w:val="4"/>
                <w:szCs w:val="4"/>
              </w:rPr>
            </w:r>
          </w:p>
        </w:tc>
        <w:tc>
          <w:tcPr>
            <w:tcW w:w="1005" w:type="dxa"/>
            <w:gridSpan w:val="3"/>
            <w:tcBorders/>
            <w:vAlign w:val="center"/>
          </w:tcPr>
          <w:p>
            <w:pPr>
              <w:pStyle w:val="TableContents"/>
              <w:bidi w:val="0"/>
              <w:spacing w:before="0" w:after="283"/>
              <w:jc w:val="left"/>
              <w:rPr>
                <w:sz w:val="4"/>
                <w:szCs w:val="4"/>
              </w:rPr>
            </w:pPr>
            <w:r>
              <w:rPr>
                <w:sz w:val="4"/>
                <w:szCs w:val="4"/>
              </w:rPr>
            </w:r>
          </w:p>
        </w:tc>
        <w:tc>
          <w:tcPr>
            <w:tcW w:w="723" w:type="dxa"/>
            <w:gridSpan w:val="3"/>
            <w:tcBorders/>
            <w:vAlign w:val="center"/>
          </w:tcPr>
          <w:p>
            <w:pPr>
              <w:pStyle w:val="TableContents"/>
              <w:bidi w:val="0"/>
              <w:spacing w:before="0" w:after="283"/>
              <w:jc w:val="left"/>
              <w:rPr>
                <w:sz w:val="4"/>
                <w:szCs w:val="4"/>
              </w:rPr>
            </w:pPr>
            <w:r>
              <w:rPr>
                <w:sz w:val="4"/>
                <w:szCs w:val="4"/>
              </w:rPr>
            </w:r>
          </w:p>
        </w:tc>
        <w:tc>
          <w:tcPr>
            <w:tcW w:w="8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9" w:type="dxa"/>
            <w:gridSpan w:val="3"/>
            <w:tcBorders/>
            <w:vAlign w:val="center"/>
          </w:tcPr>
          <w:p>
            <w:pPr>
              <w:pStyle w:val="TableContents"/>
              <w:bidi w:val="0"/>
              <w:spacing w:before="0" w:after="283"/>
              <w:jc w:val="left"/>
              <w:rPr>
                <w:sz w:val="4"/>
                <w:szCs w:val="4"/>
              </w:rPr>
            </w:pPr>
            <w:r>
              <w:rPr>
                <w:sz w:val="4"/>
                <w:szCs w:val="4"/>
              </w:rPr>
            </w:r>
          </w:p>
        </w:tc>
        <w:tc>
          <w:tcPr>
            <w:tcW w:w="672" w:type="dxa"/>
            <w:gridSpan w:val="3"/>
            <w:tcBorders/>
            <w:vAlign w:val="center"/>
          </w:tcPr>
          <w:p>
            <w:pPr>
              <w:pStyle w:val="TableContents"/>
              <w:bidi w:val="0"/>
              <w:spacing w:before="0" w:after="283"/>
              <w:jc w:val="left"/>
              <w:rPr>
                <w:sz w:val="4"/>
                <w:szCs w:val="4"/>
              </w:rPr>
            </w:pPr>
            <w:r>
              <w:rPr>
                <w:sz w:val="4"/>
                <w:szCs w:val="4"/>
              </w:rPr>
            </w:r>
          </w:p>
        </w:tc>
        <w:tc>
          <w:tcPr>
            <w:tcW w:w="80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4371" w:type="dxa"/>
            <w:gridSpan w:val="3"/>
            <w:tcBorders/>
            <w:vAlign w:val="center"/>
          </w:tcPr>
          <w:p>
            <w:pPr>
              <w:pStyle w:val="TableContents"/>
              <w:bidi w:val="0"/>
              <w:spacing w:before="0" w:after="283"/>
              <w:jc w:val="left"/>
              <w:rPr>
                <w:sz w:val="4"/>
                <w:szCs w:val="4"/>
              </w:rPr>
            </w:pPr>
            <w:r>
              <w:rPr>
                <w:sz w:val="4"/>
                <w:szCs w:val="4"/>
              </w:rPr>
            </w:r>
          </w:p>
        </w:tc>
        <w:tc>
          <w:tcPr>
            <w:tcW w:w="1005" w:type="dxa"/>
            <w:gridSpan w:val="3"/>
            <w:tcBorders/>
            <w:vAlign w:val="center"/>
          </w:tcPr>
          <w:p>
            <w:pPr>
              <w:pStyle w:val="TableContents"/>
              <w:bidi w:val="0"/>
              <w:spacing w:before="0" w:after="283"/>
              <w:jc w:val="left"/>
              <w:rPr>
                <w:sz w:val="4"/>
                <w:szCs w:val="4"/>
              </w:rPr>
            </w:pPr>
            <w:r>
              <w:rPr>
                <w:sz w:val="4"/>
                <w:szCs w:val="4"/>
              </w:rPr>
            </w:r>
          </w:p>
        </w:tc>
        <w:tc>
          <w:tcPr>
            <w:tcW w:w="723" w:type="dxa"/>
            <w:gridSpan w:val="3"/>
            <w:tcBorders/>
            <w:vAlign w:val="center"/>
          </w:tcPr>
          <w:p>
            <w:pPr>
              <w:pStyle w:val="TableContents"/>
              <w:bidi w:val="0"/>
              <w:spacing w:before="0" w:after="283"/>
              <w:jc w:val="left"/>
              <w:rPr>
                <w:sz w:val="4"/>
                <w:szCs w:val="4"/>
              </w:rPr>
            </w:pPr>
            <w:r>
              <w:rPr>
                <w:sz w:val="4"/>
                <w:szCs w:val="4"/>
              </w:rPr>
            </w:r>
          </w:p>
        </w:tc>
        <w:tc>
          <w:tcPr>
            <w:tcW w:w="8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9" w:type="dxa"/>
            <w:gridSpan w:val="3"/>
            <w:tcBorders/>
            <w:vAlign w:val="center"/>
          </w:tcPr>
          <w:p>
            <w:pPr>
              <w:pStyle w:val="TableContents"/>
              <w:bidi w:val="0"/>
              <w:spacing w:before="0" w:after="283"/>
              <w:jc w:val="left"/>
              <w:rPr>
                <w:sz w:val="4"/>
                <w:szCs w:val="4"/>
              </w:rPr>
            </w:pPr>
            <w:r>
              <w:rPr>
                <w:sz w:val="4"/>
                <w:szCs w:val="4"/>
              </w:rPr>
            </w:r>
          </w:p>
        </w:tc>
        <w:tc>
          <w:tcPr>
            <w:tcW w:w="672" w:type="dxa"/>
            <w:gridSpan w:val="3"/>
            <w:tcBorders/>
            <w:vAlign w:val="center"/>
          </w:tcPr>
          <w:p>
            <w:pPr>
              <w:pStyle w:val="TableContents"/>
              <w:bidi w:val="0"/>
              <w:spacing w:before="0" w:after="283"/>
              <w:jc w:val="left"/>
              <w:rPr>
                <w:sz w:val="4"/>
                <w:szCs w:val="4"/>
              </w:rPr>
            </w:pPr>
            <w:r>
              <w:rPr>
                <w:sz w:val="4"/>
                <w:szCs w:val="4"/>
              </w:rPr>
            </w:r>
          </w:p>
        </w:tc>
        <w:tc>
          <w:tcPr>
            <w:tcW w:w="80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4371" w:type="dxa"/>
            <w:gridSpan w:val="3"/>
            <w:tcBorders/>
            <w:vAlign w:val="center"/>
          </w:tcPr>
          <w:p>
            <w:pPr>
              <w:pStyle w:val="TableContents"/>
              <w:bidi w:val="0"/>
              <w:spacing w:before="0" w:after="283"/>
              <w:jc w:val="left"/>
              <w:rPr>
                <w:sz w:val="4"/>
                <w:szCs w:val="4"/>
              </w:rPr>
            </w:pPr>
            <w:r>
              <w:rPr>
                <w:sz w:val="4"/>
                <w:szCs w:val="4"/>
              </w:rPr>
            </w:r>
          </w:p>
        </w:tc>
        <w:tc>
          <w:tcPr>
            <w:tcW w:w="1005" w:type="dxa"/>
            <w:gridSpan w:val="3"/>
            <w:tcBorders/>
            <w:vAlign w:val="center"/>
          </w:tcPr>
          <w:p>
            <w:pPr>
              <w:pStyle w:val="TableContents"/>
              <w:bidi w:val="0"/>
              <w:spacing w:before="0" w:after="283"/>
              <w:jc w:val="left"/>
              <w:rPr>
                <w:sz w:val="4"/>
                <w:szCs w:val="4"/>
              </w:rPr>
            </w:pPr>
            <w:r>
              <w:rPr>
                <w:sz w:val="4"/>
                <w:szCs w:val="4"/>
              </w:rPr>
            </w:r>
          </w:p>
        </w:tc>
        <w:tc>
          <w:tcPr>
            <w:tcW w:w="723" w:type="dxa"/>
            <w:gridSpan w:val="3"/>
            <w:tcBorders/>
            <w:vAlign w:val="center"/>
          </w:tcPr>
          <w:p>
            <w:pPr>
              <w:pStyle w:val="TableContents"/>
              <w:bidi w:val="0"/>
              <w:spacing w:before="0" w:after="283"/>
              <w:jc w:val="left"/>
              <w:rPr>
                <w:sz w:val="4"/>
                <w:szCs w:val="4"/>
              </w:rPr>
            </w:pPr>
            <w:r>
              <w:rPr>
                <w:sz w:val="4"/>
                <w:szCs w:val="4"/>
              </w:rPr>
            </w:r>
          </w:p>
        </w:tc>
        <w:tc>
          <w:tcPr>
            <w:tcW w:w="8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9" w:type="dxa"/>
            <w:gridSpan w:val="3"/>
            <w:tcBorders/>
            <w:vAlign w:val="center"/>
          </w:tcPr>
          <w:p>
            <w:pPr>
              <w:pStyle w:val="TableContents"/>
              <w:bidi w:val="0"/>
              <w:spacing w:before="0" w:after="283"/>
              <w:jc w:val="left"/>
              <w:rPr>
                <w:sz w:val="4"/>
                <w:szCs w:val="4"/>
              </w:rPr>
            </w:pPr>
            <w:r>
              <w:rPr>
                <w:sz w:val="4"/>
                <w:szCs w:val="4"/>
              </w:rPr>
            </w:r>
          </w:p>
        </w:tc>
        <w:tc>
          <w:tcPr>
            <w:tcW w:w="672" w:type="dxa"/>
            <w:gridSpan w:val="3"/>
            <w:tcBorders/>
            <w:vAlign w:val="center"/>
          </w:tcPr>
          <w:p>
            <w:pPr>
              <w:pStyle w:val="TableContents"/>
              <w:bidi w:val="0"/>
              <w:spacing w:before="0" w:after="283"/>
              <w:jc w:val="left"/>
              <w:rPr>
                <w:sz w:val="4"/>
                <w:szCs w:val="4"/>
              </w:rPr>
            </w:pPr>
            <w:r>
              <w:rPr>
                <w:sz w:val="4"/>
                <w:szCs w:val="4"/>
              </w:rPr>
            </w:r>
          </w:p>
        </w:tc>
        <w:tc>
          <w:tcPr>
            <w:tcW w:w="80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4371" w:type="dxa"/>
            <w:gridSpan w:val="3"/>
            <w:tcBorders/>
            <w:vAlign w:val="center"/>
          </w:tcPr>
          <w:p>
            <w:pPr>
              <w:pStyle w:val="TableContents"/>
              <w:bidi w:val="0"/>
              <w:spacing w:before="0" w:after="283"/>
              <w:jc w:val="left"/>
              <w:rPr>
                <w:sz w:val="4"/>
                <w:szCs w:val="4"/>
              </w:rPr>
            </w:pPr>
            <w:r>
              <w:rPr>
                <w:sz w:val="4"/>
                <w:szCs w:val="4"/>
              </w:rPr>
            </w:r>
          </w:p>
        </w:tc>
        <w:tc>
          <w:tcPr>
            <w:tcW w:w="1005" w:type="dxa"/>
            <w:gridSpan w:val="3"/>
            <w:tcBorders/>
            <w:vAlign w:val="center"/>
          </w:tcPr>
          <w:p>
            <w:pPr>
              <w:pStyle w:val="TableContents"/>
              <w:bidi w:val="0"/>
              <w:spacing w:before="0" w:after="283"/>
              <w:jc w:val="left"/>
              <w:rPr>
                <w:sz w:val="4"/>
                <w:szCs w:val="4"/>
              </w:rPr>
            </w:pPr>
            <w:r>
              <w:rPr>
                <w:sz w:val="4"/>
                <w:szCs w:val="4"/>
              </w:rPr>
            </w:r>
          </w:p>
        </w:tc>
        <w:tc>
          <w:tcPr>
            <w:tcW w:w="723" w:type="dxa"/>
            <w:gridSpan w:val="3"/>
            <w:tcBorders/>
            <w:vAlign w:val="center"/>
          </w:tcPr>
          <w:p>
            <w:pPr>
              <w:pStyle w:val="TableContents"/>
              <w:bidi w:val="0"/>
              <w:spacing w:before="0" w:after="283"/>
              <w:jc w:val="left"/>
              <w:rPr>
                <w:sz w:val="4"/>
                <w:szCs w:val="4"/>
              </w:rPr>
            </w:pPr>
            <w:r>
              <w:rPr>
                <w:sz w:val="4"/>
                <w:szCs w:val="4"/>
              </w:rPr>
            </w:r>
          </w:p>
        </w:tc>
        <w:tc>
          <w:tcPr>
            <w:tcW w:w="8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9" w:type="dxa"/>
            <w:gridSpan w:val="3"/>
            <w:tcBorders/>
            <w:vAlign w:val="center"/>
          </w:tcPr>
          <w:p>
            <w:pPr>
              <w:pStyle w:val="TableContents"/>
              <w:bidi w:val="0"/>
              <w:spacing w:before="0" w:after="283"/>
              <w:jc w:val="left"/>
              <w:rPr>
                <w:sz w:val="4"/>
                <w:szCs w:val="4"/>
              </w:rPr>
            </w:pPr>
            <w:r>
              <w:rPr>
                <w:sz w:val="4"/>
                <w:szCs w:val="4"/>
              </w:rPr>
            </w:r>
          </w:p>
        </w:tc>
        <w:tc>
          <w:tcPr>
            <w:tcW w:w="672" w:type="dxa"/>
            <w:gridSpan w:val="3"/>
            <w:tcBorders/>
            <w:vAlign w:val="center"/>
          </w:tcPr>
          <w:p>
            <w:pPr>
              <w:pStyle w:val="TableContents"/>
              <w:bidi w:val="0"/>
              <w:spacing w:before="0" w:after="283"/>
              <w:jc w:val="left"/>
              <w:rPr>
                <w:sz w:val="4"/>
                <w:szCs w:val="4"/>
              </w:rPr>
            </w:pPr>
            <w:r>
              <w:rPr>
                <w:sz w:val="4"/>
                <w:szCs w:val="4"/>
              </w:rPr>
            </w:r>
          </w:p>
        </w:tc>
        <w:tc>
          <w:tcPr>
            <w:tcW w:w="80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4371" w:type="dxa"/>
            <w:gridSpan w:val="3"/>
            <w:tcBorders/>
            <w:vAlign w:val="center"/>
          </w:tcPr>
          <w:p>
            <w:pPr>
              <w:pStyle w:val="TableContents"/>
              <w:bidi w:val="0"/>
              <w:spacing w:before="0" w:after="283"/>
              <w:jc w:val="left"/>
              <w:rPr>
                <w:sz w:val="4"/>
                <w:szCs w:val="4"/>
              </w:rPr>
            </w:pPr>
            <w:r>
              <w:rPr>
                <w:sz w:val="4"/>
                <w:szCs w:val="4"/>
              </w:rPr>
            </w:r>
          </w:p>
        </w:tc>
        <w:tc>
          <w:tcPr>
            <w:tcW w:w="1005" w:type="dxa"/>
            <w:gridSpan w:val="3"/>
            <w:tcBorders/>
            <w:vAlign w:val="center"/>
          </w:tcPr>
          <w:p>
            <w:pPr>
              <w:pStyle w:val="TableContents"/>
              <w:bidi w:val="0"/>
              <w:spacing w:before="0" w:after="283"/>
              <w:jc w:val="left"/>
              <w:rPr>
                <w:sz w:val="4"/>
                <w:szCs w:val="4"/>
              </w:rPr>
            </w:pPr>
            <w:r>
              <w:rPr>
                <w:sz w:val="4"/>
                <w:szCs w:val="4"/>
              </w:rPr>
            </w:r>
          </w:p>
        </w:tc>
        <w:tc>
          <w:tcPr>
            <w:tcW w:w="723" w:type="dxa"/>
            <w:gridSpan w:val="3"/>
            <w:tcBorders/>
            <w:vAlign w:val="center"/>
          </w:tcPr>
          <w:p>
            <w:pPr>
              <w:pStyle w:val="TableContents"/>
              <w:bidi w:val="0"/>
              <w:spacing w:before="0" w:after="283"/>
              <w:jc w:val="left"/>
              <w:rPr>
                <w:sz w:val="4"/>
                <w:szCs w:val="4"/>
              </w:rPr>
            </w:pPr>
            <w:r>
              <w:rPr>
                <w:sz w:val="4"/>
                <w:szCs w:val="4"/>
              </w:rPr>
            </w:r>
          </w:p>
        </w:tc>
        <w:tc>
          <w:tcPr>
            <w:tcW w:w="8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9" w:type="dxa"/>
            <w:gridSpan w:val="3"/>
            <w:tcBorders/>
            <w:vAlign w:val="center"/>
          </w:tcPr>
          <w:p>
            <w:pPr>
              <w:pStyle w:val="TableContents"/>
              <w:bidi w:val="0"/>
              <w:spacing w:before="0" w:after="283"/>
              <w:jc w:val="left"/>
              <w:rPr>
                <w:sz w:val="4"/>
                <w:szCs w:val="4"/>
              </w:rPr>
            </w:pPr>
            <w:r>
              <w:rPr>
                <w:sz w:val="4"/>
                <w:szCs w:val="4"/>
              </w:rPr>
            </w:r>
          </w:p>
        </w:tc>
        <w:tc>
          <w:tcPr>
            <w:tcW w:w="672" w:type="dxa"/>
            <w:gridSpan w:val="3"/>
            <w:tcBorders/>
            <w:vAlign w:val="center"/>
          </w:tcPr>
          <w:p>
            <w:pPr>
              <w:pStyle w:val="TableContents"/>
              <w:bidi w:val="0"/>
              <w:spacing w:before="0" w:after="283"/>
              <w:jc w:val="left"/>
              <w:rPr>
                <w:sz w:val="4"/>
                <w:szCs w:val="4"/>
              </w:rPr>
            </w:pPr>
            <w:r>
              <w:rPr>
                <w:sz w:val="4"/>
                <w:szCs w:val="4"/>
              </w:rPr>
            </w:r>
          </w:p>
        </w:tc>
        <w:tc>
          <w:tcPr>
            <w:tcW w:w="80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4371" w:type="dxa"/>
            <w:gridSpan w:val="3"/>
            <w:tcBorders/>
            <w:vAlign w:val="center"/>
          </w:tcPr>
          <w:p>
            <w:pPr>
              <w:pStyle w:val="TableContents"/>
              <w:bidi w:val="0"/>
              <w:spacing w:before="0" w:after="283"/>
              <w:jc w:val="left"/>
              <w:rPr>
                <w:sz w:val="4"/>
                <w:szCs w:val="4"/>
              </w:rPr>
            </w:pPr>
            <w:r>
              <w:rPr>
                <w:sz w:val="4"/>
                <w:szCs w:val="4"/>
              </w:rPr>
            </w:r>
          </w:p>
        </w:tc>
        <w:tc>
          <w:tcPr>
            <w:tcW w:w="1005" w:type="dxa"/>
            <w:gridSpan w:val="3"/>
            <w:tcBorders/>
            <w:vAlign w:val="center"/>
          </w:tcPr>
          <w:p>
            <w:pPr>
              <w:pStyle w:val="TableContents"/>
              <w:bidi w:val="0"/>
              <w:spacing w:before="0" w:after="283"/>
              <w:jc w:val="left"/>
              <w:rPr>
                <w:sz w:val="4"/>
                <w:szCs w:val="4"/>
              </w:rPr>
            </w:pPr>
            <w:r>
              <w:rPr>
                <w:sz w:val="4"/>
                <w:szCs w:val="4"/>
              </w:rPr>
            </w:r>
          </w:p>
        </w:tc>
        <w:tc>
          <w:tcPr>
            <w:tcW w:w="723" w:type="dxa"/>
            <w:gridSpan w:val="3"/>
            <w:tcBorders/>
            <w:vAlign w:val="center"/>
          </w:tcPr>
          <w:p>
            <w:pPr>
              <w:pStyle w:val="TableContents"/>
              <w:bidi w:val="0"/>
              <w:spacing w:before="0" w:after="283"/>
              <w:jc w:val="left"/>
              <w:rPr>
                <w:sz w:val="4"/>
                <w:szCs w:val="4"/>
              </w:rPr>
            </w:pPr>
            <w:r>
              <w:rPr>
                <w:sz w:val="4"/>
                <w:szCs w:val="4"/>
              </w:rPr>
            </w:r>
          </w:p>
        </w:tc>
        <w:tc>
          <w:tcPr>
            <w:tcW w:w="8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9" w:type="dxa"/>
            <w:gridSpan w:val="3"/>
            <w:tcBorders/>
            <w:vAlign w:val="center"/>
          </w:tcPr>
          <w:p>
            <w:pPr>
              <w:pStyle w:val="TableContents"/>
              <w:bidi w:val="0"/>
              <w:spacing w:before="0" w:after="283"/>
              <w:jc w:val="left"/>
              <w:rPr>
                <w:sz w:val="4"/>
                <w:szCs w:val="4"/>
              </w:rPr>
            </w:pPr>
            <w:r>
              <w:rPr>
                <w:sz w:val="4"/>
                <w:szCs w:val="4"/>
              </w:rPr>
            </w:r>
          </w:p>
        </w:tc>
        <w:tc>
          <w:tcPr>
            <w:tcW w:w="672" w:type="dxa"/>
            <w:gridSpan w:val="3"/>
            <w:tcBorders/>
            <w:vAlign w:val="center"/>
          </w:tcPr>
          <w:p>
            <w:pPr>
              <w:pStyle w:val="TableContents"/>
              <w:bidi w:val="0"/>
              <w:spacing w:before="0" w:after="283"/>
              <w:jc w:val="left"/>
              <w:rPr>
                <w:sz w:val="4"/>
                <w:szCs w:val="4"/>
              </w:rPr>
            </w:pPr>
            <w:r>
              <w:rPr>
                <w:sz w:val="4"/>
                <w:szCs w:val="4"/>
              </w:rPr>
            </w:r>
          </w:p>
        </w:tc>
        <w:tc>
          <w:tcPr>
            <w:tcW w:w="80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43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delle Sans;sans-serif" w:hAnsi="Adelle Sans;sans-serif"/>
                <w:b w:val="false"/>
                <w:color w:val="000000"/>
                <w:sz w:val="18"/>
              </w:rPr>
            </w:pPr>
            <w:r>
              <w:rPr>
                <w:rFonts w:ascii="Adelle Sans;sans-serif" w:hAnsi="Adelle Sans;sans-serif"/>
                <w:b w:val="false"/>
                <w:color w:val="000000"/>
                <w:sz w:val="18"/>
              </w:rPr>
              <w:t>Purchases of equity and other investments</w:t>
            </w:r>
          </w:p>
        </w:tc>
        <w:tc>
          <w:tcPr>
            <w:tcW w:w="7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55 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71 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65 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75 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4371" w:type="dxa"/>
            <w:gridSpan w:val="3"/>
            <w:tcBorders/>
            <w:shd w:fill="F7F7F7" w:val="clear"/>
            <w:tcMar>
              <w:top w:w="0" w:type="dxa"/>
              <w:left w:w="0" w:type="dxa"/>
              <w:bottom w:w="0" w:type="dxa"/>
              <w:right w:w="0" w:type="dxa"/>
            </w:tcMar>
            <w:vAlign w:val="center"/>
          </w:tcPr>
          <w:p>
            <w:pPr>
              <w:pStyle w:val="TableContents"/>
              <w:bidi w:val="0"/>
              <w:spacing w:lineRule="auto" w:line="240" w:before="0" w:after="283"/>
              <w:jc w:val="left"/>
              <w:rPr>
                <w:rFonts w:ascii="Adelle Sans;sans-serif" w:hAnsi="Adelle Sans;sans-serif"/>
                <w:b w:val="false"/>
                <w:color w:val="000000"/>
                <w:sz w:val="18"/>
              </w:rPr>
            </w:pPr>
            <w:r>
              <w:rPr>
                <w:rFonts w:ascii="Adelle Sans;sans-serif" w:hAnsi="Adelle Sans;sans-serif"/>
                <w:b w:val="false"/>
                <w:color w:val="000000"/>
                <w:sz w:val="18"/>
              </w:rPr>
              <w:t>Investments received as non-cash consideration in exchange for services</w:t>
            </w:r>
          </w:p>
        </w:tc>
        <w:tc>
          <w:tcPr>
            <w:tcW w:w="764" w:type="dxa"/>
            <w:gridSpan w:val="2"/>
            <w:tcBorders/>
            <w:shd w:fill="F7F7F7"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8 </w:t>
            </w:r>
          </w:p>
        </w:tc>
        <w:tc>
          <w:tcPr>
            <w:tcW w:w="241" w:type="dxa"/>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2"/>
            <w:tcBorders/>
            <w:shd w:fill="F7F7F7"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2"/>
            <w:tcBorders/>
            <w:shd w:fill="F7F7F7"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8 </w:t>
            </w:r>
          </w:p>
        </w:tc>
        <w:tc>
          <w:tcPr>
            <w:tcW w:w="224" w:type="dxa"/>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7F7F7"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4" w:type="dxa"/>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437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delle Sans;sans-serif" w:hAnsi="Adelle Sans;sans-serif"/>
                <w:b w:val="false"/>
                <w:color w:val="000000"/>
                <w:sz w:val="18"/>
              </w:rPr>
              <w:t>Gross unrealized gains</w:t>
            </w:r>
            <w:r>
              <w:rPr>
                <w:rFonts w:ascii="Adelle Sans;sans-serif" w:hAnsi="Adelle Sans;sans-serif"/>
                <w:b w:val="false"/>
                <w:color w:val="000000"/>
                <w:sz w:val="12"/>
              </w:rPr>
              <w:t>(1)</w:t>
            </w:r>
          </w:p>
        </w:tc>
        <w:tc>
          <w:tcPr>
            <w:tcW w:w="7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522 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165 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524 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165 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4371" w:type="dxa"/>
            <w:gridSpan w:val="3"/>
            <w:tcBorders/>
            <w:shd w:fill="F7F7F7" w:val="clear"/>
            <w:tcMar>
              <w:top w:w="0" w:type="dxa"/>
              <w:left w:w="0" w:type="dxa"/>
              <w:bottom w:w="0" w:type="dxa"/>
              <w:right w:w="0" w:type="dxa"/>
            </w:tcMar>
            <w:vAlign w:val="center"/>
          </w:tcPr>
          <w:p>
            <w:pPr>
              <w:pStyle w:val="TableContents"/>
              <w:bidi w:val="0"/>
              <w:spacing w:lineRule="auto" w:line="240" w:before="0" w:after="0"/>
              <w:jc w:val="left"/>
              <w:rPr/>
            </w:pPr>
            <w:r>
              <w:rPr>
                <w:rFonts w:ascii="Adelle Sans;sans-serif" w:hAnsi="Adelle Sans;sans-serif"/>
                <w:b w:val="false"/>
                <w:color w:val="000000"/>
                <w:sz w:val="18"/>
              </w:rPr>
              <w:t>Sales of equity and other investments</w:t>
            </w:r>
            <w:r>
              <w:rPr>
                <w:rFonts w:ascii="Adelle Sans;sans-serif" w:hAnsi="Adelle Sans;sans-serif"/>
                <w:b w:val="false"/>
                <w:color w:val="000000"/>
                <w:sz w:val="12"/>
              </w:rPr>
              <w:t>(2)</w:t>
            </w:r>
          </w:p>
        </w:tc>
        <w:tc>
          <w:tcPr>
            <w:tcW w:w="764" w:type="dxa"/>
            <w:gridSpan w:val="2"/>
            <w:tcBorders/>
            <w:shd w:fill="F7F7F7"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2"/>
            <w:tcBorders/>
            <w:shd w:fill="F7F7F7"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(1)</w:t>
            </w:r>
          </w:p>
        </w:tc>
        <w:tc>
          <w:tcPr>
            <w:tcW w:w="241" w:type="dxa"/>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2"/>
            <w:tcBorders/>
            <w:shd w:fill="F7F7F7"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(5)</w:t>
            </w:r>
          </w:p>
        </w:tc>
        <w:tc>
          <w:tcPr>
            <w:tcW w:w="224" w:type="dxa"/>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7F7F7"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(1)</w:t>
            </w:r>
          </w:p>
        </w:tc>
        <w:tc>
          <w:tcPr>
            <w:tcW w:w="224" w:type="dxa"/>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437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delle Sans;sans-serif" w:hAnsi="Adelle Sans;sans-serif"/>
                <w:b w:val="false"/>
                <w:color w:val="000000"/>
                <w:sz w:val="18"/>
              </w:rPr>
              <w:t>Gross unrealized losses and impairments</w:t>
            </w:r>
            <w:r>
              <w:rPr>
                <w:rFonts w:ascii="Adelle Sans;sans-serif" w:hAnsi="Adelle Sans;sans-serif"/>
                <w:b w:val="false"/>
                <w:color w:val="000000"/>
                <w:sz w:val="12"/>
              </w:rPr>
              <w:t>(3)</w:t>
            </w:r>
          </w:p>
        </w:tc>
        <w:tc>
          <w:tcPr>
            <w:tcW w:w="7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(3)</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(15)</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4371" w:type="dxa"/>
            <w:gridSpan w:val="3"/>
            <w:tcBorders/>
            <w:shd w:fill="F7F7F7" w:val="clear"/>
            <w:tcMar>
              <w:top w:w="0" w:type="dxa"/>
              <w:left w:w="0" w:type="dxa"/>
              <w:bottom w:w="0" w:type="dxa"/>
              <w:right w:w="0" w:type="dxa"/>
            </w:tcMar>
            <w:vAlign w:val="center"/>
          </w:tcPr>
          <w:p>
            <w:pPr>
              <w:pStyle w:val="TableContents"/>
              <w:bidi w:val="0"/>
              <w:spacing w:lineRule="auto" w:line="240" w:before="0" w:after="0"/>
              <w:jc w:val="left"/>
              <w:rPr/>
            </w:pPr>
            <w:r>
              <w:rPr>
                <w:rFonts w:ascii="Adelle Sans;sans-serif" w:hAnsi="Adelle Sans;sans-serif"/>
                <w:b w:val="false"/>
                <w:color w:val="000000"/>
                <w:sz w:val="18"/>
              </w:rPr>
              <w:t>Transfers into measurement alternative</w:t>
            </w:r>
            <w:r>
              <w:rPr>
                <w:rFonts w:ascii="Adelle Sans;sans-serif" w:hAnsi="Adelle Sans;sans-serif"/>
                <w:b w:val="false"/>
                <w:color w:val="000000"/>
                <w:sz w:val="12"/>
              </w:rPr>
              <w:t>(4)</w:t>
            </w:r>
          </w:p>
        </w:tc>
        <w:tc>
          <w:tcPr>
            <w:tcW w:w="764" w:type="dxa"/>
            <w:gridSpan w:val="2"/>
            <w:tcBorders/>
            <w:shd w:fill="F7F7F7"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2"/>
            <w:tcBorders/>
            <w:shd w:fill="F7F7F7"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47 </w:t>
            </w:r>
          </w:p>
        </w:tc>
        <w:tc>
          <w:tcPr>
            <w:tcW w:w="241" w:type="dxa"/>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2"/>
            <w:tcBorders/>
            <w:shd w:fill="F7F7F7"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4" w:type="dxa"/>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7F7F7"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47 </w:t>
            </w:r>
          </w:p>
        </w:tc>
        <w:tc>
          <w:tcPr>
            <w:tcW w:w="224" w:type="dxa"/>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4371" w:type="dxa"/>
            <w:gridSpan w:val="3"/>
            <w:tcBorders/>
            <w:vAlign w:val="center"/>
          </w:tcPr>
          <w:p>
            <w:pPr>
              <w:pStyle w:val="TableContents"/>
              <w:bidi w:val="0"/>
              <w:spacing w:before="0" w:after="283"/>
              <w:jc w:val="left"/>
              <w:rPr>
                <w:sz w:val="4"/>
                <w:szCs w:val="4"/>
              </w:rPr>
            </w:pPr>
            <w:r>
              <w:rPr>
                <w:sz w:val="4"/>
                <w:szCs w:val="4"/>
              </w:rPr>
            </w:r>
          </w:p>
        </w:tc>
        <w:tc>
          <w:tcPr>
            <w:tcW w:w="1005" w:type="dxa"/>
            <w:gridSpan w:val="3"/>
            <w:tcBorders/>
            <w:vAlign w:val="center"/>
          </w:tcPr>
          <w:p>
            <w:pPr>
              <w:pStyle w:val="TableContents"/>
              <w:bidi w:val="0"/>
              <w:spacing w:before="0" w:after="283"/>
              <w:jc w:val="left"/>
              <w:rPr>
                <w:sz w:val="4"/>
                <w:szCs w:val="4"/>
              </w:rPr>
            </w:pPr>
            <w:r>
              <w:rPr>
                <w:sz w:val="4"/>
                <w:szCs w:val="4"/>
              </w:rPr>
            </w:r>
          </w:p>
        </w:tc>
        <w:tc>
          <w:tcPr>
            <w:tcW w:w="723" w:type="dxa"/>
            <w:gridSpan w:val="3"/>
            <w:tcBorders/>
            <w:vAlign w:val="center"/>
          </w:tcPr>
          <w:p>
            <w:pPr>
              <w:pStyle w:val="TableContents"/>
              <w:bidi w:val="0"/>
              <w:spacing w:before="0" w:after="283"/>
              <w:jc w:val="left"/>
              <w:rPr>
                <w:sz w:val="4"/>
                <w:szCs w:val="4"/>
              </w:rPr>
            </w:pPr>
            <w:r>
              <w:rPr>
                <w:sz w:val="4"/>
                <w:szCs w:val="4"/>
              </w:rPr>
            </w:r>
          </w:p>
        </w:tc>
        <w:tc>
          <w:tcPr>
            <w:tcW w:w="8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9" w:type="dxa"/>
            <w:gridSpan w:val="3"/>
            <w:tcBorders/>
            <w:vAlign w:val="center"/>
          </w:tcPr>
          <w:p>
            <w:pPr>
              <w:pStyle w:val="TableContents"/>
              <w:bidi w:val="0"/>
              <w:spacing w:before="0" w:after="283"/>
              <w:jc w:val="left"/>
              <w:rPr>
                <w:sz w:val="4"/>
                <w:szCs w:val="4"/>
              </w:rPr>
            </w:pPr>
            <w:r>
              <w:rPr>
                <w:sz w:val="4"/>
                <w:szCs w:val="4"/>
              </w:rPr>
            </w:r>
          </w:p>
        </w:tc>
        <w:tc>
          <w:tcPr>
            <w:tcW w:w="672" w:type="dxa"/>
            <w:gridSpan w:val="3"/>
            <w:tcBorders/>
            <w:vAlign w:val="center"/>
          </w:tcPr>
          <w:p>
            <w:pPr>
              <w:pStyle w:val="TableContents"/>
              <w:bidi w:val="0"/>
              <w:spacing w:before="0" w:after="283"/>
              <w:jc w:val="left"/>
              <w:rPr>
                <w:sz w:val="4"/>
                <w:szCs w:val="4"/>
              </w:rPr>
            </w:pPr>
            <w:r>
              <w:rPr>
                <w:sz w:val="4"/>
                <w:szCs w:val="4"/>
              </w:rPr>
            </w:r>
          </w:p>
        </w:tc>
        <w:tc>
          <w:tcPr>
            <w:tcW w:w="80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4371" w:type="dxa"/>
            <w:gridSpan w:val="3"/>
            <w:tcBorders/>
            <w:vAlign w:val="center"/>
          </w:tcPr>
          <w:p>
            <w:pPr>
              <w:pStyle w:val="TableContents"/>
              <w:bidi w:val="0"/>
              <w:spacing w:before="0" w:after="283"/>
              <w:jc w:val="left"/>
              <w:rPr>
                <w:sz w:val="4"/>
                <w:szCs w:val="4"/>
              </w:rPr>
            </w:pPr>
            <w:r>
              <w:rPr>
                <w:sz w:val="4"/>
                <w:szCs w:val="4"/>
              </w:rPr>
            </w:r>
          </w:p>
        </w:tc>
        <w:tc>
          <w:tcPr>
            <w:tcW w:w="1005" w:type="dxa"/>
            <w:gridSpan w:val="3"/>
            <w:tcBorders/>
            <w:vAlign w:val="center"/>
          </w:tcPr>
          <w:p>
            <w:pPr>
              <w:pStyle w:val="TableContents"/>
              <w:bidi w:val="0"/>
              <w:spacing w:before="0" w:after="283"/>
              <w:jc w:val="left"/>
              <w:rPr>
                <w:sz w:val="4"/>
                <w:szCs w:val="4"/>
              </w:rPr>
            </w:pPr>
            <w:r>
              <w:rPr>
                <w:sz w:val="4"/>
                <w:szCs w:val="4"/>
              </w:rPr>
            </w:r>
          </w:p>
        </w:tc>
        <w:tc>
          <w:tcPr>
            <w:tcW w:w="723" w:type="dxa"/>
            <w:gridSpan w:val="3"/>
            <w:tcBorders/>
            <w:vAlign w:val="center"/>
          </w:tcPr>
          <w:p>
            <w:pPr>
              <w:pStyle w:val="TableContents"/>
              <w:bidi w:val="0"/>
              <w:spacing w:before="0" w:after="283"/>
              <w:jc w:val="left"/>
              <w:rPr>
                <w:sz w:val="4"/>
                <w:szCs w:val="4"/>
              </w:rPr>
            </w:pPr>
            <w:r>
              <w:rPr>
                <w:sz w:val="4"/>
                <w:szCs w:val="4"/>
              </w:rPr>
            </w:r>
          </w:p>
        </w:tc>
        <w:tc>
          <w:tcPr>
            <w:tcW w:w="8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9" w:type="dxa"/>
            <w:gridSpan w:val="3"/>
            <w:tcBorders/>
            <w:vAlign w:val="center"/>
          </w:tcPr>
          <w:p>
            <w:pPr>
              <w:pStyle w:val="TableContents"/>
              <w:bidi w:val="0"/>
              <w:spacing w:before="0" w:after="283"/>
              <w:jc w:val="left"/>
              <w:rPr>
                <w:sz w:val="4"/>
                <w:szCs w:val="4"/>
              </w:rPr>
            </w:pPr>
            <w:r>
              <w:rPr>
                <w:sz w:val="4"/>
                <w:szCs w:val="4"/>
              </w:rPr>
            </w:r>
          </w:p>
        </w:tc>
        <w:tc>
          <w:tcPr>
            <w:tcW w:w="672" w:type="dxa"/>
            <w:gridSpan w:val="3"/>
            <w:tcBorders/>
            <w:vAlign w:val="center"/>
          </w:tcPr>
          <w:p>
            <w:pPr>
              <w:pStyle w:val="TableContents"/>
              <w:bidi w:val="0"/>
              <w:spacing w:before="0" w:after="283"/>
              <w:jc w:val="left"/>
              <w:rPr>
                <w:sz w:val="4"/>
                <w:szCs w:val="4"/>
              </w:rPr>
            </w:pPr>
            <w:r>
              <w:rPr>
                <w:sz w:val="4"/>
                <w:szCs w:val="4"/>
              </w:rPr>
            </w:r>
          </w:p>
        </w:tc>
        <w:tc>
          <w:tcPr>
            <w:tcW w:w="80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43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delle Sans;sans-serif" w:hAnsi="Adelle Sans;sans-serif"/>
                <w:b w:val="false"/>
                <w:color w:val="000000"/>
                <w:sz w:val="18"/>
              </w:rPr>
            </w:pPr>
            <w:r>
              <w:rPr>
                <w:rFonts w:ascii="Adelle Sans;sans-serif" w:hAnsi="Adelle Sans;sans-serif"/>
                <w:b w:val="false"/>
                <w:color w:val="000000"/>
                <w:sz w:val="18"/>
              </w:rPr>
              <w:t>Balance, end of the period</w:t>
            </w:r>
          </w:p>
        </w:tc>
        <w:tc>
          <w:tcPr>
            <w:tcW w:w="76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1,555 </w:t>
            </w:r>
          </w:p>
        </w:tc>
        <w:tc>
          <w:tcPr>
            <w:tcW w:w="24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988 </w:t>
            </w:r>
          </w:p>
        </w:tc>
        <w:tc>
          <w:tcPr>
            <w:tcW w:w="24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1,555 </w:t>
            </w:r>
          </w:p>
        </w:tc>
        <w:tc>
          <w:tcPr>
            <w:tcW w:w="22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988 </w:t>
            </w:r>
          </w:p>
        </w:tc>
        <w:tc>
          <w:tcPr>
            <w:tcW w:w="22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jc w:val="both"/>
        <w:rPr/>
      </w:pPr>
      <w:bookmarkStart w:id="30" w:name="i809e09b9199c4361b465ff3acc72a80c"/>
      <w:bookmarkEnd w:id="30"/>
      <w:r>
        <w:rPr>
          <w:rFonts w:ascii="Adelle Sans Light;sans-serif" w:hAnsi="Adelle Sans Light;sans-serif"/>
          <w:b w:val="false"/>
          <w:color w:val="000000"/>
          <w:sz w:val="10"/>
        </w:rPr>
        <w:t xml:space="preserve">(1) </w:t>
      </w:r>
      <w:r>
        <w:rPr>
          <w:rFonts w:ascii="Adelle Sans Light;sans-serif" w:hAnsi="Adelle Sans Light;sans-serif"/>
          <w:b w:val="false"/>
          <w:color w:val="000000"/>
          <w:sz w:val="16"/>
        </w:rPr>
        <w:t>During the three and six months ended June 30, 2026</w:t>
      </w:r>
      <w:bookmarkStart w:id="31" w:name="iabc0ebca424a47d380befc6e48a173a2"/>
      <w:bookmarkEnd w:id="31"/>
      <w:r>
        <w:rPr>
          <w:rFonts w:ascii="Adelle Sans Light;sans-serif" w:hAnsi="Adelle Sans Light;sans-serif"/>
          <w:b w:val="false"/>
          <w:color w:val="000000"/>
          <w:sz w:val="16"/>
        </w:rPr>
        <w:t>, the Company identified an observable price change resulting in the remeasurement of a private investment at fair value on a non-recurring basis. The resulting unrealized gains of $511 million and $511 million (June 30, 2025 - $163 million and $163 million), respectively, were presented as "Net unrealized gain (loss) on equity and other investments" in the condensed consolidated statements of operations and comprehensive income.</w:t>
      </w:r>
    </w:p>
    <w:p>
      <w:pPr>
        <w:pStyle w:val="TextBody"/>
        <w:bidi w:val="0"/>
        <w:spacing w:lineRule="auto" w:line="288" w:before="0" w:after="160"/>
        <w:jc w:val="both"/>
        <w:rPr/>
      </w:pPr>
      <w:bookmarkStart w:id="32" w:name="iffc3c0397bf043a4a3b13563a45f6ee0"/>
      <w:bookmarkEnd w:id="32"/>
      <w:r>
        <w:rPr>
          <w:rFonts w:ascii="Adelle Sans Light;sans-serif" w:hAnsi="Adelle Sans Light;sans-serif"/>
          <w:b w:val="false"/>
          <w:color w:val="000000"/>
          <w:sz w:val="10"/>
        </w:rPr>
        <w:t xml:space="preserve">(2) </w:t>
      </w:r>
      <w:r>
        <w:rPr>
          <w:rFonts w:ascii="Adelle Sans Light;sans-serif" w:hAnsi="Adelle Sans Light;sans-serif"/>
          <w:b w:val="false"/>
          <w:color w:val="000000"/>
          <w:sz w:val="16"/>
        </w:rPr>
        <w:t>During the six months ended June 30, 2026</w:t>
      </w:r>
      <w:bookmarkStart w:id="33" w:name="ib57e38614f6148a0bb3551c1f5f5ff7c"/>
      <w:bookmarkEnd w:id="33"/>
      <w:r>
        <w:rPr>
          <w:rFonts w:ascii="Adelle Sans Light;sans-serif" w:hAnsi="Adelle Sans Light;sans-serif"/>
          <w:b w:val="false"/>
          <w:color w:val="000000"/>
          <w:sz w:val="16"/>
        </w:rPr>
        <w:t>, the Company held an investment in a private company, which was acquired by third parties, resulting in the deemed sale of equity and other investments. The resulting realized gain is presented as "Net realized gain on equity and other investments" in the condensed consolidated statements of operations and comprehensive income.</w:t>
      </w:r>
    </w:p>
    <w:p>
      <w:pPr>
        <w:pStyle w:val="TextBody"/>
        <w:bidi w:val="0"/>
        <w:spacing w:lineRule="auto" w:line="288" w:before="0" w:after="160"/>
        <w:jc w:val="both"/>
        <w:rPr/>
      </w:pPr>
      <w:bookmarkStart w:id="34" w:name="i48fd3e9970974a33ac6de7bb2fbe7f90"/>
      <w:bookmarkEnd w:id="34"/>
      <w:r>
        <w:rPr>
          <w:rFonts w:ascii="Adelle Sans Light;sans-serif" w:hAnsi="Adelle Sans Light;sans-serif"/>
          <w:b w:val="false"/>
          <w:color w:val="000000"/>
          <w:sz w:val="10"/>
        </w:rPr>
        <w:t xml:space="preserve">(3) </w:t>
      </w:r>
      <w:r>
        <w:rPr>
          <w:rFonts w:ascii="Adelle Sans Light;sans-serif" w:hAnsi="Adelle Sans Light;sans-serif"/>
          <w:b w:val="false"/>
          <w:color w:val="000000"/>
          <w:sz w:val="16"/>
        </w:rPr>
        <w:t>During the three and six months ended June 30, 2025</w:t>
      </w:r>
      <w:bookmarkStart w:id="35" w:name="i483785e435db442e8ef69c92a64e1283"/>
      <w:bookmarkEnd w:id="35"/>
      <w:r>
        <w:rPr>
          <w:rFonts w:ascii="Adelle Sans Light;sans-serif" w:hAnsi="Adelle Sans Light;sans-serif"/>
          <w:b w:val="false"/>
          <w:color w:val="000000"/>
          <w:sz w:val="16"/>
        </w:rPr>
        <w:t xml:space="preserve">, the Company applied certain valuation methods based on information available, including the market approach and option pricing models in order to quantify the level of impairment recognized. The resulting unrealized losses and impairments were presented as "Net unrealized gain (loss) on equity and other investments" in the condensed consolidated statements of operations and comprehensive income. </w:t>
      </w:r>
    </w:p>
    <w:p>
      <w:pPr>
        <w:pStyle w:val="TextBody"/>
        <w:bidi w:val="0"/>
        <w:spacing w:lineRule="auto" w:line="288" w:before="0" w:after="160"/>
        <w:jc w:val="both"/>
        <w:rPr/>
      </w:pPr>
      <w:bookmarkStart w:id="36" w:name="i234e89e2b1a04094a0c0bddba55318bd"/>
      <w:bookmarkEnd w:id="36"/>
      <w:r>
        <w:rPr>
          <w:rFonts w:ascii="Adelle Sans Light;sans-serif" w:hAnsi="Adelle Sans Light;sans-serif"/>
          <w:b w:val="false"/>
          <w:color w:val="000000"/>
          <w:sz w:val="10"/>
        </w:rPr>
        <w:t xml:space="preserve">(4) </w:t>
      </w:r>
      <w:r>
        <w:rPr>
          <w:rFonts w:ascii="Adelle Sans Light;sans-serif" w:hAnsi="Adelle Sans Light;sans-serif"/>
          <w:b w:val="false"/>
          <w:color w:val="000000"/>
          <w:sz w:val="16"/>
        </w:rPr>
        <w:t>In the three and six months ended June 30, 2025</w:t>
      </w:r>
      <w:bookmarkStart w:id="37" w:name="i19217a379b7d40aead5833390f33ba2b"/>
      <w:bookmarkEnd w:id="37"/>
      <w:r>
        <w:rPr>
          <w:rFonts w:ascii="Adelle Sans Light;sans-serif" w:hAnsi="Adelle Sans Light;sans-serif"/>
          <w:b w:val="false"/>
          <w:color w:val="000000"/>
          <w:sz w:val="16"/>
        </w:rPr>
        <w:t>, convertible notes in private companies with a fair value of $45 million and accrued interest of $2 million were converted and transferred from debt securities to equity investments without readily determinable fair values.</w:t>
      </w:r>
    </w:p>
    <w:p>
      <w:pPr>
        <w:pStyle w:val="TextBody"/>
        <w:bidi w:val="0"/>
        <w:spacing w:lineRule="auto" w:line="288" w:before="0" w:after="200"/>
        <w:jc w:val="both"/>
        <w:rPr>
          <w:rFonts w:ascii="Adelle Sans Light;sans-serif" w:hAnsi="Adelle Sans Light;sans-serif"/>
          <w:b w:val="false"/>
          <w:color w:val="000000"/>
          <w:sz w:val="20"/>
        </w:rPr>
      </w:pPr>
      <w:r>
        <w:rPr>
          <w:rFonts w:ascii="Adelle Sans Light;sans-serif" w:hAnsi="Adelle Sans Light;sans-serif"/>
          <w:b w:val="false"/>
          <w:color w:val="000000"/>
          <w:sz w:val="20"/>
        </w:rPr>
        <w:t>As of June 30, 2026, included in the total $1,555 million of equity and other investments without readily determinable fair values, $1,376 million was remeasured at fair value and was classified within Level 3 of the fair value measurement hierarchy on a non-recurring basis.</w:t>
      </w:r>
    </w:p>
    <w:p>
      <w:pPr>
        <w:pStyle w:val="TextBody"/>
        <w:bidi w:val="0"/>
        <w:spacing w:lineRule="auto" w:line="288" w:before="0" w:after="200"/>
        <w:jc w:val="left"/>
        <w:rPr>
          <w:rFonts w:ascii="Adelle Sans;sans-serif" w:hAnsi="Adelle Sans;sans-serif"/>
          <w:b/>
          <w:i/>
          <w:color w:val="000000"/>
          <w:sz w:val="20"/>
        </w:rPr>
      </w:pPr>
      <w:bookmarkStart w:id="38" w:name="i4993ef55cfe14065bd2bc095ed7a2f74"/>
      <w:bookmarkEnd w:id="38"/>
      <w:r>
        <w:rPr>
          <w:rFonts w:ascii="Adelle Sans;sans-serif" w:hAnsi="Adelle Sans;sans-serif"/>
          <w:b/>
          <w:i/>
          <w:color w:val="000000"/>
          <w:sz w:val="20"/>
        </w:rPr>
        <w:t>Equity Method Investment</w:t>
      </w:r>
    </w:p>
    <w:p>
      <w:pPr>
        <w:pStyle w:val="TextBody"/>
        <w:bidi w:val="0"/>
        <w:spacing w:lineRule="auto" w:line="288" w:before="0" w:after="200"/>
        <w:jc w:val="both"/>
        <w:rPr>
          <w:rFonts w:ascii="Adelle Sans Light;sans-serif" w:hAnsi="Adelle Sans Light;sans-serif"/>
          <w:b w:val="false"/>
          <w:color w:val="000000"/>
          <w:sz w:val="20"/>
        </w:rPr>
      </w:pPr>
      <w:r>
        <w:rPr>
          <w:rFonts w:ascii="Adelle Sans Light;sans-serif" w:hAnsi="Adelle Sans Light;sans-serif"/>
          <w:b w:val="false"/>
          <w:color w:val="000000"/>
          <w:sz w:val="20"/>
        </w:rPr>
        <w:t>The Company holds an equity method investment in Flexport which is presented within "Equity method investment" in the condensed consolidated balance sheets and is carried at the amount of Shopify’s original investment, as adjusted each period for Shopify’s share of the investee’s income or loss and the basis difference amortization, which is the difference between the fair value of our investment in the company and the underlying equity in the net assets of the investee. Results are reported with a one-quarter delay due to the timing of financial information availability from the investee. For the three and six months ended June 30, 2026, our share of the loss in the investee was $22 million and $43 million, respectively (June 30, 2025 - $24 million and $47 million), and is presented within "Net loss on equity method investment" in the condensed consolidated statements of operations and comprehensive income.</w:t>
      </w:r>
    </w:p>
    <w:p>
      <w:pPr>
        <w:pStyle w:val="TextBody"/>
        <w:bidi w:val="0"/>
        <w:spacing w:lineRule="auto" w:line="288" w:before="0" w:after="200"/>
        <w:jc w:val="left"/>
        <w:rPr>
          <w:rFonts w:ascii="Adelle Sans;sans-serif" w:hAnsi="Adelle Sans;sans-serif"/>
          <w:b/>
          <w:i/>
          <w:color w:val="000000"/>
          <w:sz w:val="20"/>
        </w:rPr>
      </w:pPr>
      <w:bookmarkStart w:id="39" w:name="idf99051e5aa044dab89f76feeff76859"/>
      <w:bookmarkEnd w:id="39"/>
      <w:r>
        <w:rPr>
          <w:rFonts w:ascii="Adelle Sans;sans-serif" w:hAnsi="Adelle Sans;sans-serif"/>
          <w:b/>
          <w:i/>
          <w:color w:val="000000"/>
          <w:sz w:val="20"/>
        </w:rPr>
        <w:t>Derivative Instruments and Hedging</w:t>
      </w:r>
    </w:p>
    <w:p>
      <w:pPr>
        <w:pStyle w:val="TextBody"/>
        <w:bidi w:val="0"/>
        <w:spacing w:lineRule="auto" w:line="288" w:before="0" w:after="200"/>
        <w:jc w:val="both"/>
        <w:rPr>
          <w:rFonts w:ascii="Adelle Sans Light;sans-serif" w:hAnsi="Adelle Sans Light;sans-serif"/>
          <w:b w:val="false"/>
          <w:color w:val="000000"/>
          <w:sz w:val="20"/>
        </w:rPr>
      </w:pPr>
      <w:r>
        <w:rPr>
          <w:rFonts w:ascii="Adelle Sans Light;sans-serif" w:hAnsi="Adelle Sans Light;sans-serif"/>
          <w:b w:val="false"/>
          <w:color w:val="000000"/>
          <w:sz w:val="20"/>
        </w:rPr>
        <w:t>As of June 30, 2026, the Company held foreign exchange forward contracts and options for USD, CAD, GBP, EUR and Australian dollars ("AUD") with a total notional value of $777 million (December 31, 2025 - $702 million), to fund a portion of its operations. The fair value of foreign exchange forward contracts and options was based upon Level 2 inputs, which included period-end mid-market quotations for each underlying contract as calculated by the financial institution with which the Company has transacted. The quotations are based on bid/ask quotations and represent the discounted future settlement amounts based on current market rates.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7955"/>
                <wp:effectExtent l="0" t="0" r="0" b="0"/>
                <wp:wrapNone/>
                <wp:docPr id="16" name="Frame15"/>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200"/>
                              <w:jc w:val="center"/>
                              <w:rPr>
                                <w:rFonts w:ascii="Adelle Sans Light;sans-serif" w:hAnsi="Adelle Sans Light;sans-serif"/>
                                <w:b w:val="false"/>
                                <w:color w:val="000000"/>
                                <w:sz w:val="20"/>
                              </w:rPr>
                            </w:pPr>
                            <w:r>
                              <w:rPr>
                                <w:rFonts w:ascii="Adelle Sans Light;sans-serif" w:hAnsi="Adelle Sans Light;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Adelle Sans Light;sans-serif" w:hAnsi="Adelle Sans Light;sans-serif"/>
                          <w:b w:val="false"/>
                          <w:color w:val="000000"/>
                          <w:sz w:val="20"/>
                        </w:rPr>
                      </w:pPr>
                      <w:r>
                        <w:rPr>
                          <w:rFonts w:ascii="Adelle Sans Light;sans-serif" w:hAnsi="Adelle Sans Light;sans-serif"/>
                          <w:b w:val="false"/>
                          <w:color w:val="000000"/>
                          <w:sz w:val="20"/>
                        </w:rPr>
                        <w:t>15</w:t>
                      </w:r>
                    </w:p>
                  </w:txbxContent>
                </v:textbox>
                <w10:wrap type="none"/>
              </v:rect>
            </w:pict>
          </mc:Fallback>
        </mc:AlternateContent>
      </w:r>
    </w:p>
    <w:p>
      <w:pPr>
        <w:pStyle w:val="TextBody"/>
        <w:bidi w:val="0"/>
        <w:spacing w:lineRule="auto" w:line="288" w:before="0" w:after="200"/>
        <w:jc w:val="both"/>
        <w:rPr/>
      </w:pPr>
      <w:hyperlink w:anchor="iccccf23fa31e44f0aa82c99ca0859db8_7">
        <w:r>
          <w:rPr>
            <w:rStyle w:val="InternetLink"/>
            <w:rFonts w:ascii="Adelle Sans Light;sans-serif" w:hAnsi="Adelle Sans Light;sans-serif"/>
            <w:b w:val="false"/>
            <w:color w:val="0000FF"/>
            <w:sz w:val="20"/>
            <w:u w:val="single"/>
          </w:rPr>
          <w:t>Table of Contents</w:t>
        </w:r>
      </w:hyperlink>
    </w:p>
    <w:p>
      <w:pPr>
        <w:pStyle w:val="TextBody"/>
        <w:bidi w:val="0"/>
        <w:spacing w:lineRule="auto" w:line="288" w:before="0" w:after="200"/>
        <w:jc w:val="left"/>
        <w:rPr>
          <w:rFonts w:ascii="Adelle Sans;sans-serif" w:hAnsi="Adelle Sans;sans-serif"/>
          <w:b w:val="false"/>
          <w:i/>
          <w:color w:val="000000"/>
          <w:sz w:val="20"/>
        </w:rPr>
      </w:pPr>
      <w:bookmarkStart w:id="40" w:name="i5cd20d47342342fab6ab7dec65077314"/>
      <w:bookmarkEnd w:id="40"/>
      <w:r>
        <w:rPr>
          <w:rFonts w:ascii="Adelle Sans;sans-serif" w:hAnsi="Adelle Sans;sans-serif"/>
          <w:b w:val="false"/>
          <w:i/>
          <w:color w:val="000000"/>
          <w:sz w:val="20"/>
        </w:rPr>
        <w:t>Derivative Instruments Designated as Hedges</w:t>
      </w:r>
    </w:p>
    <w:p>
      <w:pPr>
        <w:pStyle w:val="TextBody"/>
        <w:bidi w:val="0"/>
        <w:spacing w:lineRule="auto" w:line="288" w:before="0" w:after="200"/>
        <w:jc w:val="both"/>
        <w:rPr>
          <w:rFonts w:ascii="Adelle Sans Light;sans-serif" w:hAnsi="Adelle Sans Light;sans-serif"/>
          <w:b w:val="false"/>
          <w:color w:val="000000"/>
          <w:sz w:val="20"/>
        </w:rPr>
      </w:pPr>
      <w:r>
        <w:rPr>
          <w:rFonts w:ascii="Adelle Sans Light;sans-serif" w:hAnsi="Adelle Sans Light;sans-serif"/>
          <w:b w:val="false"/>
          <w:color w:val="000000"/>
          <w:sz w:val="20"/>
        </w:rPr>
        <w:t>The Company has a hedging program to mitigate the impact of foreign currency fluctuations on future cash flows and earnings. Under this program, the Company has entered into foreign exchange forward contracts and options with certain financial institutions and designated those hedges as cash flow hedges. The Company is hedging cash flows associated with payroll and facility costs.</w:t>
      </w:r>
    </w:p>
    <w:p>
      <w:pPr>
        <w:pStyle w:val="TextBody"/>
        <w:bidi w:val="0"/>
        <w:spacing w:lineRule="auto" w:line="288" w:before="0" w:after="200"/>
        <w:jc w:val="both"/>
        <w:rPr>
          <w:rFonts w:ascii="Adelle Sans Light;sans-serif" w:hAnsi="Adelle Sans Light;sans-serif"/>
          <w:b w:val="false"/>
          <w:color w:val="000000"/>
          <w:sz w:val="20"/>
        </w:rPr>
      </w:pPr>
      <w:r>
        <w:rPr>
          <w:rFonts w:ascii="Adelle Sans Light;sans-serif" w:hAnsi="Adelle Sans Light;sans-serif"/>
          <w:b w:val="false"/>
          <w:color w:val="000000"/>
          <w:sz w:val="20"/>
        </w:rPr>
        <w:t>The fair values of outstanding derivative instruments were as follows:</w:t>
      </w:r>
    </w:p>
    <w:tbl>
      <w:tblPr>
        <w:tblW w:w="10205" w:type="dxa"/>
        <w:jc w:val="left"/>
        <w:tblInd w:w="0" w:type="dxa"/>
        <w:tblLayout w:type="fixed"/>
        <w:tblCellMar>
          <w:top w:w="28" w:type="dxa"/>
          <w:left w:w="28" w:type="dxa"/>
          <w:bottom w:w="28" w:type="dxa"/>
          <w:right w:w="28" w:type="dxa"/>
        </w:tblCellMar>
      </w:tblPr>
      <w:tblGrid>
        <w:gridCol w:w="2462"/>
        <w:gridCol w:w="2161"/>
        <w:gridCol w:w="2188"/>
        <w:gridCol w:w="413"/>
        <w:gridCol w:w="403"/>
        <w:gridCol w:w="406"/>
        <w:gridCol w:w="109"/>
        <w:gridCol w:w="109"/>
        <w:gridCol w:w="109"/>
        <w:gridCol w:w="539"/>
        <w:gridCol w:w="539"/>
        <w:gridCol w:w="767"/>
      </w:tblGrid>
      <w:tr>
        <w:trPr/>
        <w:tc>
          <w:tcPr>
            <w:tcW w:w="2462" w:type="dxa"/>
            <w:tcBorders/>
            <w:vAlign w:val="center"/>
          </w:tcPr>
          <w:p>
            <w:pPr>
              <w:pStyle w:val="TableContents"/>
              <w:bidi w:val="0"/>
              <w:spacing w:before="0" w:after="283"/>
              <w:jc w:val="left"/>
              <w:rPr>
                <w:sz w:val="4"/>
                <w:szCs w:val="4"/>
              </w:rPr>
            </w:pPr>
            <w:r>
              <w:rPr>
                <w:sz w:val="4"/>
                <w:szCs w:val="4"/>
              </w:rPr>
            </w:r>
          </w:p>
        </w:tc>
        <w:tc>
          <w:tcPr>
            <w:tcW w:w="2161" w:type="dxa"/>
            <w:tcBorders/>
            <w:vAlign w:val="center"/>
          </w:tcPr>
          <w:p>
            <w:pPr>
              <w:pStyle w:val="TableContents"/>
              <w:bidi w:val="0"/>
              <w:spacing w:before="0" w:after="283"/>
              <w:jc w:val="left"/>
              <w:rPr>
                <w:sz w:val="4"/>
                <w:szCs w:val="4"/>
              </w:rPr>
            </w:pPr>
            <w:r>
              <w:rPr>
                <w:sz w:val="4"/>
                <w:szCs w:val="4"/>
              </w:rPr>
            </w:r>
          </w:p>
        </w:tc>
        <w:tc>
          <w:tcPr>
            <w:tcW w:w="2188"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r>
      <w:tr>
        <w:trPr/>
        <w:tc>
          <w:tcPr>
            <w:tcW w:w="6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delle Sans;sans-serif" w:hAnsi="Adelle Sans;sans-serif"/>
                <w:b/>
                <w:color w:val="000000"/>
                <w:sz w:val="18"/>
              </w:rPr>
            </w:pPr>
            <w:r>
              <w:rPr>
                <w:rFonts w:ascii="Adelle Sans;sans-serif" w:hAnsi="Adelle Sans;sans-serif"/>
                <w:b/>
                <w:color w:val="000000"/>
                <w:sz w:val="18"/>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delle Sans;sans-serif" w:hAnsi="Adelle Sans;sans-serif"/>
                <w:b/>
                <w:color w:val="000000"/>
                <w:sz w:val="18"/>
              </w:rPr>
            </w:pPr>
            <w:r>
              <w:rPr>
                <w:rFonts w:ascii="Adelle Sans;sans-serif" w:hAnsi="Adelle Sans;sans-serif"/>
                <w:b/>
                <w:color w:val="000000"/>
                <w:sz w:val="18"/>
              </w:rPr>
              <w:t>December 31, 2025</w:t>
            </w:r>
          </w:p>
        </w:tc>
      </w:tr>
      <w:tr>
        <w:trPr/>
        <w:tc>
          <w:tcPr>
            <w:tcW w:w="6811"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45" w:type="dxa"/>
            <w:gridSpan w:val="3"/>
            <w:tcBorders/>
            <w:vAlign w:val="center"/>
          </w:tcPr>
          <w:p>
            <w:pPr>
              <w:pStyle w:val="TableContents"/>
              <w:bidi w:val="0"/>
              <w:spacing w:before="0" w:after="283"/>
              <w:jc w:val="left"/>
              <w:rPr>
                <w:sz w:val="4"/>
                <w:szCs w:val="4"/>
              </w:rPr>
            </w:pPr>
            <w:r>
              <w:rPr>
                <w:sz w:val="4"/>
                <w:szCs w:val="4"/>
              </w:rPr>
            </w:r>
          </w:p>
        </w:tc>
      </w:tr>
      <w:tr>
        <w:trPr/>
        <w:tc>
          <w:tcPr>
            <w:tcW w:w="681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4" w:type="dxa"/>
            <w:gridSpan w:val="9"/>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Adelle Sans;sans-serif" w:hAnsi="Adelle Sans;sans-serif"/>
                <w:b w:val="false"/>
                <w:color w:val="000000"/>
                <w:sz w:val="18"/>
              </w:rPr>
            </w:pPr>
            <w:r>
              <w:rPr>
                <w:rFonts w:ascii="Adelle Sans;sans-serif" w:hAnsi="Adelle Sans;sans-serif"/>
                <w:b w:val="false"/>
                <w:color w:val="000000"/>
                <w:sz w:val="18"/>
              </w:rPr>
              <w:t>(in US $ millions)</w:t>
            </w:r>
          </w:p>
        </w:tc>
      </w:tr>
      <w:tr>
        <w:trPr/>
        <w:tc>
          <w:tcPr>
            <w:tcW w:w="6811" w:type="dxa"/>
            <w:gridSpan w:val="3"/>
            <w:tcBorders/>
            <w:shd w:fill="F7F7F7" w:val="clear"/>
            <w:tcMar>
              <w:top w:w="0" w:type="dxa"/>
              <w:left w:w="0" w:type="dxa"/>
              <w:bottom w:w="0" w:type="dxa"/>
              <w:right w:w="0" w:type="dxa"/>
            </w:tcMar>
            <w:vAlign w:val="center"/>
          </w:tcPr>
          <w:p>
            <w:pPr>
              <w:pStyle w:val="TableContents"/>
              <w:bidi w:val="0"/>
              <w:spacing w:lineRule="auto" w:line="240" w:before="0" w:after="283"/>
              <w:jc w:val="left"/>
              <w:rPr>
                <w:rFonts w:ascii="Adelle Sans;sans-serif" w:hAnsi="Adelle Sans;sans-serif"/>
                <w:b/>
                <w:color w:val="000000"/>
                <w:sz w:val="18"/>
              </w:rPr>
            </w:pPr>
            <w:r>
              <w:rPr>
                <w:rFonts w:ascii="Adelle Sans;sans-serif" w:hAnsi="Adelle Sans;sans-serif"/>
                <w:b/>
                <w:color w:val="000000"/>
                <w:sz w:val="18"/>
              </w:rPr>
              <w:t>Level 2:</w:t>
            </w:r>
          </w:p>
        </w:tc>
        <w:tc>
          <w:tcPr>
            <w:tcW w:w="1222"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5"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delle Sans;sans-serif" w:hAnsi="Adelle Sans;sans-serif"/>
                <w:b w:val="false"/>
                <w:color w:val="000000"/>
                <w:sz w:val="18"/>
              </w:rPr>
            </w:pPr>
            <w:r>
              <w:rPr>
                <w:rFonts w:ascii="Adelle Sans;sans-serif" w:hAnsi="Adelle Sans;sans-serif"/>
                <w:b w:val="false"/>
                <w:color w:val="000000"/>
                <w:sz w:val="18"/>
              </w:rPr>
              <w:t>Foreign exchange forward contracts and options assets (classified in other current assets)</w:t>
            </w:r>
          </w:p>
        </w:tc>
        <w:tc>
          <w:tcPr>
            <w:tcW w:w="8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4 </w:t>
            </w:r>
          </w:p>
        </w:tc>
        <w:tc>
          <w:tcPr>
            <w:tcW w:w="7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1" w:type="dxa"/>
            <w:gridSpan w:val="3"/>
            <w:tcBorders/>
            <w:shd w:fill="F7F7F7" w:val="clear"/>
            <w:tcMar>
              <w:top w:w="0" w:type="dxa"/>
              <w:left w:w="0" w:type="dxa"/>
              <w:bottom w:w="0" w:type="dxa"/>
              <w:right w:w="0" w:type="dxa"/>
            </w:tcMar>
            <w:vAlign w:val="center"/>
          </w:tcPr>
          <w:p>
            <w:pPr>
              <w:pStyle w:val="TableContents"/>
              <w:bidi w:val="0"/>
              <w:spacing w:lineRule="auto" w:line="240" w:before="0" w:after="283"/>
              <w:jc w:val="left"/>
              <w:rPr>
                <w:rFonts w:ascii="Adelle Sans;sans-serif" w:hAnsi="Adelle Sans;sans-serif"/>
                <w:b w:val="false"/>
                <w:color w:val="000000"/>
                <w:sz w:val="18"/>
              </w:rPr>
            </w:pPr>
            <w:r>
              <w:rPr>
                <w:rFonts w:ascii="Adelle Sans;sans-serif" w:hAnsi="Adelle Sans;sans-serif"/>
                <w:b w:val="false"/>
                <w:color w:val="000000"/>
                <w:sz w:val="18"/>
              </w:rPr>
              <w:t>Foreign exchange forward contract liabilities (classified in accounts payable and accrued liabilities)</w:t>
            </w:r>
          </w:p>
        </w:tc>
        <w:tc>
          <w:tcPr>
            <w:tcW w:w="816" w:type="dxa"/>
            <w:gridSpan w:val="2"/>
            <w:tcBorders/>
            <w:shd w:fill="F7F7F7"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11 </w:t>
            </w:r>
          </w:p>
        </w:tc>
        <w:tc>
          <w:tcPr>
            <w:tcW w:w="406" w:type="dxa"/>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F7F7F7"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1 </w:t>
            </w:r>
          </w:p>
        </w:tc>
        <w:tc>
          <w:tcPr>
            <w:tcW w:w="767" w:type="dxa"/>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jc w:val="both"/>
        <w:rPr>
          <w:rFonts w:ascii="Adelle Sans Light;sans-serif" w:hAnsi="Adelle Sans Light;sans-serif"/>
          <w:b w:val="false"/>
          <w:color w:val="000000"/>
          <w:sz w:val="20"/>
        </w:rPr>
      </w:pPr>
      <w:r>
        <w:rPr>
          <w:rFonts w:ascii="Adelle Sans Light;sans-serif" w:hAnsi="Adelle Sans Light;sans-serif"/>
          <w:b w:val="false"/>
          <w:color w:val="000000"/>
          <w:sz w:val="20"/>
        </w:rPr>
        <w:t>Unrealized gains and losses related to changes in the fair value of foreign exchange forward contracts and options designated as cash flow hedges were as follows:</w:t>
      </w:r>
    </w:p>
    <w:tbl>
      <w:tblPr>
        <w:tblW w:w="6490" w:type="dxa"/>
        <w:jc w:val="left"/>
        <w:tblInd w:w="0" w:type="dxa"/>
        <w:tblLayout w:type="fixed"/>
        <w:tblCellMar>
          <w:top w:w="28" w:type="dxa"/>
          <w:left w:w="28" w:type="dxa"/>
          <w:bottom w:w="28" w:type="dxa"/>
          <w:right w:w="28" w:type="dxa"/>
        </w:tblCellMar>
      </w:tblPr>
      <w:tblGrid>
        <w:gridCol w:w="1152"/>
        <w:gridCol w:w="1010"/>
        <w:gridCol w:w="1017"/>
        <w:gridCol w:w="489"/>
        <w:gridCol w:w="489"/>
        <w:gridCol w:w="492"/>
        <w:gridCol w:w="109"/>
        <w:gridCol w:w="109"/>
        <w:gridCol w:w="109"/>
        <w:gridCol w:w="443"/>
        <w:gridCol w:w="443"/>
        <w:gridCol w:w="628"/>
      </w:tblGrid>
      <w:tr>
        <w:trPr/>
        <w:tc>
          <w:tcPr>
            <w:tcW w:w="1152" w:type="dxa"/>
            <w:tcBorders/>
            <w:vAlign w:val="center"/>
          </w:tcPr>
          <w:p>
            <w:pPr>
              <w:pStyle w:val="TableContents"/>
              <w:bidi w:val="0"/>
              <w:spacing w:before="0" w:after="283"/>
              <w:jc w:val="left"/>
              <w:rPr>
                <w:sz w:val="4"/>
                <w:szCs w:val="4"/>
              </w:rPr>
            </w:pPr>
            <w:r>
              <w:rPr>
                <w:sz w:val="4"/>
                <w:szCs w:val="4"/>
              </w:rPr>
            </w:r>
          </w:p>
        </w:tc>
        <w:tc>
          <w:tcPr>
            <w:tcW w:w="1010" w:type="dxa"/>
            <w:tcBorders/>
            <w:vAlign w:val="center"/>
          </w:tcPr>
          <w:p>
            <w:pPr>
              <w:pStyle w:val="TableContents"/>
              <w:bidi w:val="0"/>
              <w:spacing w:before="0" w:after="283"/>
              <w:jc w:val="left"/>
              <w:rPr>
                <w:sz w:val="4"/>
                <w:szCs w:val="4"/>
              </w:rPr>
            </w:pPr>
            <w:r>
              <w:rPr>
                <w:sz w:val="4"/>
                <w:szCs w:val="4"/>
              </w:rPr>
            </w:r>
          </w:p>
        </w:tc>
        <w:tc>
          <w:tcPr>
            <w:tcW w:w="1017"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r>
      <w:tr>
        <w:trPr/>
        <w:tc>
          <w:tcPr>
            <w:tcW w:w="31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delle Sans;sans-serif" w:hAnsi="Adelle Sans;sans-serif"/>
                <w:b/>
                <w:color w:val="000000"/>
                <w:sz w:val="18"/>
              </w:rPr>
            </w:pPr>
            <w:r>
              <w:rPr>
                <w:rFonts w:ascii="Adelle Sans;sans-serif" w:hAnsi="Adelle Sans;sans-serif"/>
                <w:b/>
                <w:color w:val="000000"/>
                <w:sz w:val="18"/>
              </w:rPr>
              <w:t>June 30, 2026</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delle Sans;sans-serif" w:hAnsi="Adelle Sans;sans-serif"/>
                <w:b/>
                <w:color w:val="000000"/>
                <w:sz w:val="18"/>
              </w:rPr>
            </w:pPr>
            <w:r>
              <w:rPr>
                <w:rFonts w:ascii="Adelle Sans;sans-serif" w:hAnsi="Adelle Sans;sans-serif"/>
                <w:b/>
                <w:color w:val="000000"/>
                <w:sz w:val="18"/>
              </w:rPr>
              <w:t>June 30, 2025</w:t>
            </w:r>
          </w:p>
        </w:tc>
      </w:tr>
      <w:tr>
        <w:trPr/>
        <w:tc>
          <w:tcPr>
            <w:tcW w:w="317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1" w:type="dxa"/>
            <w:gridSpan w:val="9"/>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Adelle Sans;sans-serif" w:hAnsi="Adelle Sans;sans-serif"/>
                <w:b w:val="false"/>
                <w:color w:val="000000"/>
                <w:sz w:val="18"/>
              </w:rPr>
            </w:pPr>
            <w:r>
              <w:rPr>
                <w:rFonts w:ascii="Adelle Sans;sans-serif" w:hAnsi="Adelle Sans;sans-serif"/>
                <w:b w:val="false"/>
                <w:color w:val="000000"/>
                <w:sz w:val="18"/>
              </w:rPr>
              <w:t>(in US $ millions)</w:t>
            </w:r>
          </w:p>
        </w:tc>
      </w:tr>
      <w:tr>
        <w:trPr/>
        <w:tc>
          <w:tcPr>
            <w:tcW w:w="3179" w:type="dxa"/>
            <w:gridSpan w:val="3"/>
            <w:tcBorders/>
            <w:shd w:fill="F7F7F7" w:val="clear"/>
            <w:tcMar>
              <w:top w:w="0" w:type="dxa"/>
              <w:left w:w="0" w:type="dxa"/>
              <w:bottom w:w="0" w:type="dxa"/>
              <w:right w:w="0" w:type="dxa"/>
            </w:tcMar>
            <w:vAlign w:val="center"/>
          </w:tcPr>
          <w:p>
            <w:pPr>
              <w:pStyle w:val="TableContents"/>
              <w:bidi w:val="0"/>
              <w:spacing w:lineRule="auto" w:line="240" w:before="0" w:after="283"/>
              <w:jc w:val="left"/>
              <w:rPr>
                <w:rFonts w:ascii="Adelle Sans;sans-serif" w:hAnsi="Adelle Sans;sans-serif"/>
                <w:b w:val="false"/>
                <w:color w:val="000000"/>
                <w:sz w:val="18"/>
              </w:rPr>
            </w:pPr>
            <w:r>
              <w:rPr>
                <w:rFonts w:ascii="Adelle Sans;sans-serif" w:hAnsi="Adelle Sans;sans-serif"/>
                <w:b w:val="false"/>
                <w:color w:val="000000"/>
                <w:sz w:val="18"/>
              </w:rPr>
              <w:t>Unrealized gains</w:t>
            </w:r>
          </w:p>
        </w:tc>
        <w:tc>
          <w:tcPr>
            <w:tcW w:w="978" w:type="dxa"/>
            <w:gridSpan w:val="2"/>
            <w:tcBorders/>
            <w:shd w:fill="F7F7F7"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92" w:type="dxa"/>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7F7F7"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8 </w:t>
            </w:r>
          </w:p>
        </w:tc>
        <w:tc>
          <w:tcPr>
            <w:tcW w:w="628" w:type="dxa"/>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delle Sans;sans-serif" w:hAnsi="Adelle Sans;sans-serif"/>
                <w:b w:val="false"/>
                <w:color w:val="000000"/>
                <w:sz w:val="18"/>
              </w:rPr>
            </w:pPr>
            <w:r>
              <w:rPr>
                <w:rFonts w:ascii="Adelle Sans;sans-serif" w:hAnsi="Adelle Sans;sans-serif"/>
                <w:b w:val="false"/>
                <w:color w:val="000000"/>
                <w:sz w:val="18"/>
              </w:rPr>
              <w:t>Unrealized losses</w:t>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(9)</w:t>
            </w:r>
          </w:p>
        </w:tc>
        <w:tc>
          <w:tcPr>
            <w:tcW w:w="4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9" w:type="dxa"/>
            <w:gridSpan w:val="3"/>
            <w:tcBorders/>
            <w:shd w:fill="F7F7F7" w:val="clear"/>
            <w:tcMar>
              <w:top w:w="0" w:type="dxa"/>
              <w:left w:w="0" w:type="dxa"/>
              <w:bottom w:w="0" w:type="dxa"/>
              <w:right w:w="0" w:type="dxa"/>
            </w:tcMar>
            <w:vAlign w:val="center"/>
          </w:tcPr>
          <w:p>
            <w:pPr>
              <w:pStyle w:val="TableContents"/>
              <w:bidi w:val="0"/>
              <w:spacing w:lineRule="auto" w:line="240" w:before="0" w:after="283"/>
              <w:jc w:val="left"/>
              <w:rPr>
                <w:rFonts w:ascii="Adelle Sans;sans-serif" w:hAnsi="Adelle Sans;sans-serif"/>
                <w:b w:val="false"/>
                <w:color w:val="000000"/>
                <w:sz w:val="18"/>
              </w:rPr>
            </w:pPr>
            <w:r>
              <w:rPr>
                <w:rFonts w:ascii="Adelle Sans;sans-serif" w:hAnsi="Adelle Sans;sans-serif"/>
                <w:b w:val="false"/>
                <w:color w:val="000000"/>
                <w:sz w:val="18"/>
              </w:rPr>
              <w:t>Total net unrealized (losses) gains</w:t>
            </w:r>
          </w:p>
        </w:tc>
        <w:tc>
          <w:tcPr>
            <w:tcW w:w="978" w:type="dxa"/>
            <w:gridSpan w:val="2"/>
            <w:tcBorders>
              <w:top w:val="single" w:sz="8" w:space="0" w:color="000000"/>
            </w:tcBorders>
            <w:shd w:fill="F7F7F7" w:val="clear"/>
            <w:tcMar>
              <w:top w:w="52"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(9)</w:t>
            </w:r>
          </w:p>
        </w:tc>
        <w:tc>
          <w:tcPr>
            <w:tcW w:w="492" w:type="dxa"/>
            <w:tcBorders>
              <w:top w:val="single" w:sz="8" w:space="0" w:color="000000"/>
            </w:tcBorders>
            <w:shd w:fill="F7F7F7"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7F7F7"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top w:val="single" w:sz="8" w:space="0" w:color="000000"/>
            </w:tcBorders>
            <w:shd w:fill="F7F7F7" w:val="clear"/>
            <w:tcMar>
              <w:top w:w="52"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8 </w:t>
            </w:r>
          </w:p>
        </w:tc>
        <w:tc>
          <w:tcPr>
            <w:tcW w:w="628" w:type="dxa"/>
            <w:tcBorders>
              <w:top w:val="single" w:sz="8" w:space="0" w:color="000000"/>
            </w:tcBorders>
            <w:shd w:fill="F7F7F7"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jc w:val="both"/>
        <w:rPr>
          <w:rFonts w:ascii="Adelle Sans Light;sans-serif" w:hAnsi="Adelle Sans Light;sans-serif"/>
          <w:b w:val="false"/>
          <w:color w:val="000000"/>
          <w:sz w:val="20"/>
        </w:rPr>
      </w:pPr>
      <w:r>
        <w:rPr>
          <w:rFonts w:ascii="Adelle Sans Light;sans-serif" w:hAnsi="Adelle Sans Light;sans-serif"/>
          <w:b w:val="false"/>
          <w:color w:val="000000"/>
          <w:sz w:val="20"/>
        </w:rPr>
        <w:t>These unrealized losses were included in "Accumulated other comprehensive (loss) income", "Other current assets" and "Accounts payable and accrued liabilities" in the condensed consolidated balance sheets. These amounts are expected to be reclassified into earnings over the next twelve months.</w:t>
      </w:r>
    </w:p>
    <w:p>
      <w:pPr>
        <w:pStyle w:val="TextBody"/>
        <w:bidi w:val="0"/>
        <w:spacing w:lineRule="auto" w:line="288" w:before="0" w:after="200"/>
        <w:jc w:val="both"/>
        <w:rPr>
          <w:rFonts w:ascii="Adelle Sans Light;sans-serif" w:hAnsi="Adelle Sans Light;sans-serif"/>
          <w:b w:val="false"/>
          <w:color w:val="000000"/>
          <w:sz w:val="20"/>
        </w:rPr>
      </w:pPr>
      <w:r>
        <w:rPr>
          <w:rFonts w:ascii="Adelle Sans Light;sans-serif" w:hAnsi="Adelle Sans Light;sans-serif"/>
          <w:b w:val="false"/>
          <w:color w:val="000000"/>
          <w:sz w:val="20"/>
        </w:rPr>
        <w:t>Realized losses related to the maturity of foreign exchange forward contracts and options designated as cash flow hedges were as follows:</w:t>
      </w:r>
    </w:p>
    <w:tbl>
      <w:tblPr>
        <w:tblW w:w="10205" w:type="dxa"/>
        <w:jc w:val="left"/>
        <w:tblInd w:w="0" w:type="dxa"/>
        <w:tblLayout w:type="fixed"/>
        <w:tblCellMar>
          <w:top w:w="28" w:type="dxa"/>
          <w:left w:w="28" w:type="dxa"/>
          <w:bottom w:w="28" w:type="dxa"/>
          <w:right w:w="28" w:type="dxa"/>
        </w:tblCellMar>
      </w:tblPr>
      <w:tblGrid>
        <w:gridCol w:w="1375"/>
        <w:gridCol w:w="1206"/>
        <w:gridCol w:w="1215"/>
        <w:gridCol w:w="346"/>
        <w:gridCol w:w="319"/>
        <w:gridCol w:w="317"/>
        <w:gridCol w:w="317"/>
        <w:gridCol w:w="317"/>
        <w:gridCol w:w="317"/>
        <w:gridCol w:w="346"/>
        <w:gridCol w:w="319"/>
        <w:gridCol w:w="317"/>
        <w:gridCol w:w="109"/>
        <w:gridCol w:w="109"/>
        <w:gridCol w:w="109"/>
        <w:gridCol w:w="316"/>
        <w:gridCol w:w="297"/>
        <w:gridCol w:w="290"/>
        <w:gridCol w:w="290"/>
        <w:gridCol w:w="290"/>
        <w:gridCol w:w="290"/>
        <w:gridCol w:w="316"/>
        <w:gridCol w:w="297"/>
        <w:gridCol w:w="290"/>
        <w:gridCol w:w="109"/>
        <w:gridCol w:w="109"/>
        <w:gridCol w:w="109"/>
        <w:gridCol w:w="164"/>
      </w:tblGrid>
      <w:tr>
        <w:trPr/>
        <w:tc>
          <w:tcPr>
            <w:tcW w:w="1375" w:type="dxa"/>
            <w:tcBorders/>
            <w:vAlign w:val="center"/>
          </w:tcPr>
          <w:p>
            <w:pPr>
              <w:pStyle w:val="TableContents"/>
              <w:bidi w:val="0"/>
              <w:spacing w:before="0" w:after="283"/>
              <w:jc w:val="left"/>
              <w:rPr>
                <w:sz w:val="4"/>
                <w:szCs w:val="4"/>
              </w:rPr>
            </w:pPr>
            <w:r>
              <w:rPr>
                <w:sz w:val="4"/>
                <w:szCs w:val="4"/>
              </w:rPr>
            </w:r>
          </w:p>
        </w:tc>
        <w:tc>
          <w:tcPr>
            <w:tcW w:w="1206" w:type="dxa"/>
            <w:tcBorders/>
            <w:vAlign w:val="center"/>
          </w:tcPr>
          <w:p>
            <w:pPr>
              <w:pStyle w:val="TableContents"/>
              <w:bidi w:val="0"/>
              <w:spacing w:before="0" w:after="283"/>
              <w:jc w:val="left"/>
              <w:rPr>
                <w:sz w:val="4"/>
                <w:szCs w:val="4"/>
              </w:rPr>
            </w:pPr>
            <w:r>
              <w:rPr>
                <w:sz w:val="4"/>
                <w:szCs w:val="4"/>
              </w:rPr>
            </w:r>
          </w:p>
        </w:tc>
        <w:tc>
          <w:tcPr>
            <w:tcW w:w="1215"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3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delle Sans;sans-serif" w:hAnsi="Adelle Sans;sans-serif"/>
                <w:b/>
                <w:color w:val="000000"/>
                <w:sz w:val="18"/>
              </w:rPr>
            </w:pPr>
            <w:r>
              <w:rPr>
                <w:rFonts w:ascii="Adelle Sans;sans-serif" w:hAnsi="Adelle Sans;sans-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delle Sans;sans-serif" w:hAnsi="Adelle Sans;sans-serif"/>
                <w:b/>
                <w:color w:val="000000"/>
                <w:sz w:val="18"/>
              </w:rPr>
            </w:pPr>
            <w:r>
              <w:rPr>
                <w:rFonts w:ascii="Adelle Sans;sans-serif" w:hAnsi="Adelle Sans;sans-serif"/>
                <w:b/>
                <w:color w:val="000000"/>
                <w:sz w:val="18"/>
              </w:rPr>
              <w:t>Six months ended June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 w:type="dxa"/>
            <w:gridSpan w:val="2"/>
            <w:tcBorders/>
          </w:tcPr>
          <w:p>
            <w:pPr>
              <w:pStyle w:val="TableContents"/>
              <w:bidi w:val="0"/>
              <w:spacing w:before="0" w:after="283"/>
              <w:jc w:val="left"/>
              <w:rPr>
                <w:sz w:val="4"/>
                <w:szCs w:val="4"/>
              </w:rPr>
            </w:pPr>
            <w:r>
              <w:rPr>
                <w:sz w:val="4"/>
                <w:szCs w:val="4"/>
              </w:rPr>
            </w:r>
          </w:p>
        </w:tc>
      </w:tr>
      <w:tr>
        <w:trPr/>
        <w:tc>
          <w:tcPr>
            <w:tcW w:w="3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Adelle Sans;sans-serif" w:hAnsi="Adelle Sans;sans-serif"/>
                <w:b/>
                <w:color w:val="000000"/>
                <w:sz w:val="18"/>
              </w:rPr>
            </w:pPr>
            <w:r>
              <w:rPr>
                <w:rFonts w:ascii="Adelle Sans;sans-serif" w:hAnsi="Adelle Sans;sans-serif"/>
                <w:b/>
                <w:color w:val="000000"/>
                <w:sz w:val="18"/>
              </w:rPr>
              <w:t>2026</w:t>
            </w:r>
          </w:p>
        </w:tc>
        <w:tc>
          <w:tcPr>
            <w:tcW w:w="951"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Adelle Sans;sans-serif" w:hAnsi="Adelle Sans;sans-serif"/>
                <w:b/>
                <w:color w:val="000000"/>
                <w:sz w:val="18"/>
              </w:rPr>
            </w:pPr>
            <w:r>
              <w:rPr>
                <w:rFonts w:ascii="Adelle Sans;sans-serif" w:hAnsi="Adelle Sans;sans-serif"/>
                <w:b/>
                <w:color w:val="000000"/>
                <w:sz w:val="18"/>
              </w:rPr>
              <w:t>2025</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Adelle Sans;sans-serif" w:hAnsi="Adelle Sans;sans-serif"/>
                <w:b/>
                <w:color w:val="000000"/>
                <w:sz w:val="18"/>
              </w:rPr>
            </w:pPr>
            <w:r>
              <w:rPr>
                <w:rFonts w:ascii="Adelle Sans;sans-serif" w:hAnsi="Adelle Sans;sans-serif"/>
                <w:b/>
                <w:color w:val="000000"/>
                <w:sz w:val="18"/>
              </w:rPr>
              <w:t>2026</w:t>
            </w:r>
          </w:p>
        </w:tc>
        <w:tc>
          <w:tcPr>
            <w:tcW w:w="870"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Adelle Sans;sans-serif" w:hAnsi="Adelle Sans;sans-serif"/>
                <w:b/>
                <w:color w:val="000000"/>
                <w:sz w:val="18"/>
              </w:rPr>
            </w:pPr>
            <w:r>
              <w:rPr>
                <w:rFonts w:ascii="Adelle Sans;sans-serif" w:hAnsi="Adelle Sans;sans-serif"/>
                <w:b/>
                <w:color w:val="000000"/>
                <w:sz w:val="18"/>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37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8" w:type="dxa"/>
            <w:gridSpan w:val="21"/>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delle Sans;sans-serif" w:hAnsi="Adelle Sans;sans-serif"/>
                <w:b w:val="false"/>
                <w:color w:val="000000"/>
                <w:sz w:val="18"/>
              </w:rPr>
            </w:pPr>
            <w:r>
              <w:rPr>
                <w:rFonts w:ascii="Adelle Sans;sans-serif" w:hAnsi="Adelle Sans;sans-serif"/>
                <w:b w:val="false"/>
                <w:color w:val="000000"/>
                <w:sz w:val="18"/>
              </w:rPr>
              <w:t>(in US $ millions)</w:t>
            </w:r>
          </w:p>
        </w:tc>
        <w:tc>
          <w:tcPr>
            <w:tcW w:w="491" w:type="dxa"/>
            <w:gridSpan w:val="4"/>
            <w:tcBorders/>
          </w:tcPr>
          <w:p>
            <w:pPr>
              <w:pStyle w:val="TableContents"/>
              <w:bidi w:val="0"/>
              <w:spacing w:before="0" w:after="283"/>
              <w:jc w:val="left"/>
              <w:rPr>
                <w:sz w:val="4"/>
                <w:szCs w:val="4"/>
              </w:rPr>
            </w:pPr>
            <w:r>
              <w:rPr>
                <w:sz w:val="4"/>
                <w:szCs w:val="4"/>
              </w:rPr>
            </w:r>
          </w:p>
        </w:tc>
      </w:tr>
      <w:tr>
        <w:trPr/>
        <w:tc>
          <w:tcPr>
            <w:tcW w:w="3796" w:type="dxa"/>
            <w:gridSpan w:val="3"/>
            <w:tcBorders/>
            <w:vAlign w:val="center"/>
          </w:tcPr>
          <w:p>
            <w:pPr>
              <w:pStyle w:val="TableContents"/>
              <w:bidi w:val="0"/>
              <w:spacing w:before="0" w:after="283"/>
              <w:jc w:val="left"/>
              <w:rPr>
                <w:sz w:val="4"/>
                <w:szCs w:val="4"/>
              </w:rPr>
            </w:pPr>
            <w:r>
              <w:rPr>
                <w:sz w:val="4"/>
                <w:szCs w:val="4"/>
              </w:rPr>
            </w:r>
          </w:p>
        </w:tc>
        <w:tc>
          <w:tcPr>
            <w:tcW w:w="982"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9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3" w:type="dxa"/>
            <w:gridSpan w:val="3"/>
            <w:tcBorders/>
            <w:vAlign w:val="center"/>
          </w:tcPr>
          <w:p>
            <w:pPr>
              <w:pStyle w:val="TableContents"/>
              <w:bidi w:val="0"/>
              <w:spacing w:before="0" w:after="283"/>
              <w:jc w:val="left"/>
              <w:rPr>
                <w:sz w:val="4"/>
                <w:szCs w:val="4"/>
              </w:rPr>
            </w:pPr>
            <w:r>
              <w:rPr>
                <w:sz w:val="4"/>
                <w:szCs w:val="4"/>
              </w:rPr>
            </w:r>
          </w:p>
        </w:tc>
        <w:tc>
          <w:tcPr>
            <w:tcW w:w="870" w:type="dxa"/>
            <w:gridSpan w:val="3"/>
            <w:tcBorders/>
            <w:vAlign w:val="center"/>
          </w:tcPr>
          <w:p>
            <w:pPr>
              <w:pStyle w:val="TableContents"/>
              <w:bidi w:val="0"/>
              <w:spacing w:before="0" w:after="283"/>
              <w:jc w:val="left"/>
              <w:rPr>
                <w:sz w:val="4"/>
                <w:szCs w:val="4"/>
              </w:rPr>
            </w:pPr>
            <w:r>
              <w:rPr>
                <w:sz w:val="4"/>
                <w:szCs w:val="4"/>
              </w:rPr>
            </w:r>
          </w:p>
        </w:tc>
        <w:tc>
          <w:tcPr>
            <w:tcW w:w="90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3796" w:type="dxa"/>
            <w:gridSpan w:val="3"/>
            <w:tcBorders/>
            <w:shd w:fill="F7F7F7" w:val="clear"/>
            <w:tcMar>
              <w:top w:w="0" w:type="dxa"/>
              <w:left w:w="0" w:type="dxa"/>
              <w:bottom w:w="0" w:type="dxa"/>
              <w:right w:w="0" w:type="dxa"/>
            </w:tcMar>
            <w:vAlign w:val="center"/>
          </w:tcPr>
          <w:p>
            <w:pPr>
              <w:pStyle w:val="TableContents"/>
              <w:bidi w:val="0"/>
              <w:spacing w:lineRule="auto" w:line="240" w:before="0" w:after="0"/>
              <w:jc w:val="left"/>
              <w:rPr>
                <w:rFonts w:ascii="Adelle Sans;sans-serif" w:hAnsi="Adelle Sans;sans-serif"/>
                <w:b w:val="false"/>
                <w:color w:val="000000"/>
                <w:sz w:val="18"/>
              </w:rPr>
            </w:pPr>
            <w:r>
              <w:rPr>
                <w:rFonts w:ascii="Adelle Sans;sans-serif" w:hAnsi="Adelle Sans;sans-serif"/>
                <w:b w:val="false"/>
                <w:color w:val="000000"/>
                <w:sz w:val="18"/>
              </w:rPr>
              <w:t>Realized (losses) gains in operating expenses</w:t>
            </w:r>
          </w:p>
        </w:tc>
        <w:tc>
          <w:tcPr>
            <w:tcW w:w="665" w:type="dxa"/>
            <w:gridSpan w:val="2"/>
            <w:tcBorders/>
            <w:shd w:fill="F7F7F7"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(1)</w:t>
            </w:r>
          </w:p>
        </w:tc>
        <w:tc>
          <w:tcPr>
            <w:tcW w:w="317" w:type="dxa"/>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2"/>
            <w:tcBorders/>
            <w:shd w:fill="F7F7F7"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7" w:type="dxa"/>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 w:type="dxa"/>
            <w:gridSpan w:val="2"/>
            <w:tcBorders/>
            <w:shd w:fill="F7F7F7"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0" w:type="dxa"/>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 w:type="dxa"/>
            <w:gridSpan w:val="2"/>
            <w:tcBorders/>
            <w:shd w:fill="F7F7F7"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6 </w:t>
            </w:r>
          </w:p>
        </w:tc>
        <w:tc>
          <w:tcPr>
            <w:tcW w:w="290" w:type="dxa"/>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3796" w:type="dxa"/>
            <w:gridSpan w:val="3"/>
            <w:tcBorders/>
            <w:vAlign w:val="center"/>
          </w:tcPr>
          <w:p>
            <w:pPr>
              <w:pStyle w:val="TableContents"/>
              <w:bidi w:val="0"/>
              <w:spacing w:before="0" w:after="283"/>
              <w:jc w:val="left"/>
              <w:rPr>
                <w:sz w:val="4"/>
                <w:szCs w:val="4"/>
              </w:rPr>
            </w:pPr>
            <w:r>
              <w:rPr>
                <w:sz w:val="4"/>
                <w:szCs w:val="4"/>
              </w:rPr>
            </w:r>
          </w:p>
        </w:tc>
        <w:tc>
          <w:tcPr>
            <w:tcW w:w="982"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9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3" w:type="dxa"/>
            <w:gridSpan w:val="3"/>
            <w:tcBorders/>
            <w:vAlign w:val="center"/>
          </w:tcPr>
          <w:p>
            <w:pPr>
              <w:pStyle w:val="TableContents"/>
              <w:bidi w:val="0"/>
              <w:spacing w:before="0" w:after="283"/>
              <w:jc w:val="left"/>
              <w:rPr>
                <w:sz w:val="4"/>
                <w:szCs w:val="4"/>
              </w:rPr>
            </w:pPr>
            <w:r>
              <w:rPr>
                <w:sz w:val="4"/>
                <w:szCs w:val="4"/>
              </w:rPr>
            </w:r>
          </w:p>
        </w:tc>
        <w:tc>
          <w:tcPr>
            <w:tcW w:w="870" w:type="dxa"/>
            <w:gridSpan w:val="3"/>
            <w:tcBorders/>
            <w:vAlign w:val="center"/>
          </w:tcPr>
          <w:p>
            <w:pPr>
              <w:pStyle w:val="TableContents"/>
              <w:bidi w:val="0"/>
              <w:spacing w:before="0" w:after="283"/>
              <w:jc w:val="left"/>
              <w:rPr>
                <w:sz w:val="4"/>
                <w:szCs w:val="4"/>
              </w:rPr>
            </w:pPr>
            <w:r>
              <w:rPr>
                <w:sz w:val="4"/>
                <w:szCs w:val="4"/>
              </w:rPr>
            </w:r>
          </w:p>
        </w:tc>
        <w:tc>
          <w:tcPr>
            <w:tcW w:w="90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jc w:val="left"/>
        <w:rPr>
          <w:rFonts w:ascii="Adelle Sans;sans-serif" w:hAnsi="Adelle Sans;sans-serif"/>
          <w:b w:val="false"/>
          <w:i/>
          <w:color w:val="000000"/>
          <w:sz w:val="20"/>
        </w:rPr>
      </w:pPr>
      <w:bookmarkStart w:id="41" w:name="ief1748b1bf694367925f8f0561496633"/>
      <w:bookmarkEnd w:id="41"/>
      <w:r>
        <w:rPr>
          <w:rFonts w:ascii="Adelle Sans;sans-serif" w:hAnsi="Adelle Sans;sans-serif"/>
          <w:b w:val="false"/>
          <w:i/>
          <w:color w:val="000000"/>
          <w:sz w:val="20"/>
        </w:rPr>
        <w:t>Derivative Instruments Not Designated as Hedges</w:t>
      </w:r>
    </w:p>
    <w:p>
      <w:pPr>
        <w:pStyle w:val="TextBody"/>
        <w:bidi w:val="0"/>
        <w:spacing w:lineRule="auto" w:line="288" w:before="0" w:after="200"/>
        <w:jc w:val="both"/>
        <w:rPr>
          <w:rFonts w:ascii="Adelle Sans Light;sans-serif" w:hAnsi="Adelle Sans Light;sans-serif"/>
          <w:b w:val="false"/>
          <w:color w:val="000000"/>
          <w:sz w:val="20"/>
        </w:rPr>
      </w:pPr>
      <w:r>
        <w:rPr>
          <w:rFonts w:ascii="Adelle Sans Light;sans-serif" w:hAnsi="Adelle Sans Light;sans-serif"/>
          <w:b w:val="false"/>
          <w:color w:val="000000"/>
          <w:sz w:val="20"/>
        </w:rPr>
        <w:t>The Company holds an investment option to purchase 15,743,174 of Series B common shares of Klaviyo, Inc. at an exercise price of $88.93 with an expiration date of July 28, 2030. The options are fair valued quarterly under Level 3 of the fair value hierarchy as certain unobservable inputs are used within the Black-Scholes model as well as a discount for lack of marketability. The fair value of the options as of June 30, 2026, utilizing a discount for lack of marketability of 19%, was $9 million (December 31, 2025 - 21% and $75 million) and is presented within "Equity and other investments" in the condensed consolidated balance sheets. The Company recognized an unrealized loss of $11 million and $65 million for the three and six months ended June 30, 2026, respectively (June 30, 2025 - unrealized gain of $14 million and unrealized loss of $72 million) and is presented as a component of "Net unrealized gain (loss) on equity and other investments".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7955"/>
                <wp:effectExtent l="0" t="0" r="0" b="0"/>
                <wp:wrapNone/>
                <wp:docPr id="17" name="Frame16"/>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200"/>
                              <w:jc w:val="center"/>
                              <w:rPr>
                                <w:rFonts w:ascii="Adelle Sans Light;sans-serif" w:hAnsi="Adelle Sans Light;sans-serif"/>
                                <w:b w:val="false"/>
                                <w:color w:val="000000"/>
                                <w:sz w:val="20"/>
                              </w:rPr>
                            </w:pPr>
                            <w:r>
                              <w:rPr>
                                <w:rFonts w:ascii="Adelle Sans Light;sans-serif" w:hAnsi="Adelle Sans Light;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Adelle Sans Light;sans-serif" w:hAnsi="Adelle Sans Light;sans-serif"/>
                          <w:b w:val="false"/>
                          <w:color w:val="000000"/>
                          <w:sz w:val="20"/>
                        </w:rPr>
                      </w:pPr>
                      <w:r>
                        <w:rPr>
                          <w:rFonts w:ascii="Adelle Sans Light;sans-serif" w:hAnsi="Adelle Sans Light;sans-serif"/>
                          <w:b w:val="false"/>
                          <w:color w:val="000000"/>
                          <w:sz w:val="20"/>
                        </w:rPr>
                        <w:t>16</w:t>
                      </w:r>
                    </w:p>
                  </w:txbxContent>
                </v:textbox>
                <w10:wrap type="none"/>
              </v:rect>
            </w:pict>
          </mc:Fallback>
        </mc:AlternateContent>
      </w:r>
    </w:p>
    <w:p>
      <w:pPr>
        <w:pStyle w:val="TextBody"/>
        <w:bidi w:val="0"/>
        <w:spacing w:lineRule="auto" w:line="288" w:before="0" w:after="200"/>
        <w:jc w:val="both"/>
        <w:rPr/>
      </w:pPr>
      <w:hyperlink w:anchor="iccccf23fa31e44f0aa82c99ca0859db8_7">
        <w:r>
          <w:rPr>
            <w:rStyle w:val="InternetLink"/>
            <w:rFonts w:ascii="Adelle Sans Light;sans-serif" w:hAnsi="Adelle Sans Light;sans-serif"/>
            <w:b w:val="false"/>
            <w:color w:val="0000FF"/>
            <w:sz w:val="20"/>
            <w:u w:val="single"/>
          </w:rPr>
          <w:t>Table of Contents</w:t>
        </w:r>
      </w:hyperlink>
    </w:p>
    <w:p>
      <w:pPr>
        <w:pStyle w:val="TextBody"/>
        <w:bidi w:val="0"/>
        <w:spacing w:lineRule="auto" w:line="288" w:before="0" w:after="200"/>
        <w:ind w:left="0" w:right="0" w:hanging="360"/>
        <w:jc w:val="left"/>
        <w:rPr>
          <w:rFonts w:ascii="Adelle Sans;sans-serif" w:hAnsi="Adelle Sans;sans-serif"/>
          <w:b/>
          <w:color w:val="000000"/>
          <w:sz w:val="20"/>
        </w:rPr>
      </w:pPr>
      <w:bookmarkStart w:id="42" w:name="ief9f56160f264f2a9139289e39c60b13"/>
      <w:bookmarkEnd w:id="42"/>
      <w:r>
        <w:rPr>
          <w:rFonts w:ascii="Adelle Sans;sans-serif" w:hAnsi="Adelle Sans;sans-serif"/>
          <w:b/>
          <w:color w:val="000000"/>
          <w:sz w:val="20"/>
        </w:rPr>
        <w:t>5.Trade and Other Receivables</w:t>
      </w:r>
    </w:p>
    <w:p>
      <w:pPr>
        <w:pStyle w:val="TextBody"/>
        <w:bidi w:val="0"/>
        <w:spacing w:lineRule="auto" w:line="288" w:before="0" w:after="200"/>
        <w:jc w:val="both"/>
        <w:rPr>
          <w:rFonts w:ascii="Adelle Sans Light;sans-serif" w:hAnsi="Adelle Sans Light;sans-serif"/>
          <w:b w:val="false"/>
          <w:color w:val="000000"/>
          <w:sz w:val="20"/>
        </w:rPr>
      </w:pPr>
      <w:r>
        <w:rPr>
          <w:rFonts w:ascii="Adelle Sans Light;sans-serif" w:hAnsi="Adelle Sans Light;sans-serif"/>
          <w:b w:val="false"/>
          <w:color w:val="000000"/>
          <w:sz w:val="20"/>
        </w:rPr>
        <w:t>Trade receivables and unbilled revenues, net of allowance for credit losses, were as follows:</w:t>
      </w:r>
    </w:p>
    <w:tbl>
      <w:tblPr>
        <w:tblW w:w="6453" w:type="dxa"/>
        <w:jc w:val="left"/>
        <w:tblInd w:w="0" w:type="dxa"/>
        <w:tblLayout w:type="fixed"/>
        <w:tblCellMar>
          <w:top w:w="28" w:type="dxa"/>
          <w:left w:w="28" w:type="dxa"/>
          <w:bottom w:w="28" w:type="dxa"/>
          <w:right w:w="28" w:type="dxa"/>
        </w:tblCellMar>
      </w:tblPr>
      <w:tblGrid>
        <w:gridCol w:w="846"/>
        <w:gridCol w:w="744"/>
        <w:gridCol w:w="749"/>
        <w:gridCol w:w="489"/>
        <w:gridCol w:w="489"/>
        <w:gridCol w:w="492"/>
        <w:gridCol w:w="109"/>
        <w:gridCol w:w="109"/>
        <w:gridCol w:w="109"/>
        <w:gridCol w:w="684"/>
        <w:gridCol w:w="684"/>
        <w:gridCol w:w="686"/>
        <w:gridCol w:w="109"/>
        <w:gridCol w:w="154"/>
      </w:tblGrid>
      <w:tr>
        <w:trPr/>
        <w:tc>
          <w:tcPr>
            <w:tcW w:w="846"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delle Sans;sans-serif" w:hAnsi="Adelle Sans;sans-serif"/>
                <w:b/>
                <w:color w:val="000000"/>
                <w:sz w:val="18"/>
              </w:rPr>
            </w:pPr>
            <w:r>
              <w:rPr>
                <w:rFonts w:ascii="Adelle Sans;sans-serif" w:hAnsi="Adelle Sans;sans-serif"/>
                <w:b/>
                <w:color w:val="000000"/>
                <w:sz w:val="18"/>
              </w:rPr>
              <w:t>June 30,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delle Sans;sans-serif" w:hAnsi="Adelle Sans;sans-serif"/>
                <w:b/>
                <w:color w:val="000000"/>
                <w:sz w:val="18"/>
              </w:rPr>
            </w:pPr>
            <w:r>
              <w:rPr>
                <w:rFonts w:ascii="Adelle Sans;sans-serif" w:hAnsi="Adelle Sans;sans-serif"/>
                <w:b/>
                <w:color w:val="000000"/>
                <w:sz w:val="18"/>
              </w:rPr>
              <w:t>December 31, 2025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39" w:type="dxa"/>
            <w:gridSpan w:val="3"/>
            <w:tcBorders/>
            <w:vAlign w:val="center"/>
          </w:tcPr>
          <w:p>
            <w:pPr>
              <w:pStyle w:val="TableContents"/>
              <w:bidi w:val="0"/>
              <w:spacing w:before="0" w:after="283"/>
              <w:jc w:val="left"/>
              <w:rPr>
                <w:sz w:val="4"/>
                <w:szCs w:val="4"/>
              </w:rPr>
            </w:pPr>
            <w:r>
              <w:rPr>
                <w:sz w:val="4"/>
                <w:szCs w:val="4"/>
              </w:rPr>
            </w:r>
          </w:p>
        </w:tc>
        <w:tc>
          <w:tcPr>
            <w:tcW w:w="14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5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3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1" w:type="dxa"/>
            <w:gridSpan w:val="9"/>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Adelle Sans;sans-serif" w:hAnsi="Adelle Sans;sans-serif"/>
                <w:b w:val="false"/>
                <w:color w:val="000000"/>
                <w:sz w:val="18"/>
              </w:rPr>
            </w:pPr>
            <w:r>
              <w:rPr>
                <w:rFonts w:ascii="Adelle Sans;sans-serif" w:hAnsi="Adelle Sans;sans-serif"/>
                <w:b w:val="false"/>
                <w:color w:val="000000"/>
                <w:sz w:val="18"/>
              </w:rPr>
              <w:t>(in US $ millions)</w:t>
            </w:r>
          </w:p>
        </w:tc>
        <w:tc>
          <w:tcPr>
            <w:tcW w:w="263" w:type="dxa"/>
            <w:gridSpan w:val="2"/>
            <w:tcBorders/>
          </w:tcPr>
          <w:p>
            <w:pPr>
              <w:pStyle w:val="TableContents"/>
              <w:bidi w:val="0"/>
              <w:spacing w:before="0" w:after="283"/>
              <w:jc w:val="left"/>
              <w:rPr>
                <w:sz w:val="4"/>
                <w:szCs w:val="4"/>
              </w:rPr>
            </w:pPr>
            <w:r>
              <w:rPr>
                <w:sz w:val="4"/>
                <w:szCs w:val="4"/>
              </w:rPr>
            </w:r>
          </w:p>
        </w:tc>
      </w:tr>
      <w:tr>
        <w:trPr/>
        <w:tc>
          <w:tcPr>
            <w:tcW w:w="2339" w:type="dxa"/>
            <w:gridSpan w:val="3"/>
            <w:tcBorders/>
            <w:shd w:fill="F7F7F7" w:val="clear"/>
            <w:tcMar>
              <w:top w:w="0" w:type="dxa"/>
              <w:left w:w="0" w:type="dxa"/>
              <w:bottom w:w="0" w:type="dxa"/>
              <w:right w:w="0" w:type="dxa"/>
            </w:tcMar>
            <w:vAlign w:val="center"/>
          </w:tcPr>
          <w:p>
            <w:pPr>
              <w:pStyle w:val="TableContents"/>
              <w:bidi w:val="0"/>
              <w:spacing w:lineRule="auto" w:line="240" w:before="0" w:after="283"/>
              <w:jc w:val="left"/>
              <w:rPr>
                <w:rFonts w:ascii="Adelle Sans;sans-serif" w:hAnsi="Adelle Sans;sans-serif"/>
                <w:b w:val="false"/>
                <w:color w:val="000000"/>
                <w:sz w:val="18"/>
              </w:rPr>
            </w:pPr>
            <w:r>
              <w:rPr>
                <w:rFonts w:ascii="Adelle Sans;sans-serif" w:hAnsi="Adelle Sans;sans-serif"/>
                <w:b w:val="false"/>
                <w:color w:val="000000"/>
                <w:sz w:val="18"/>
              </w:rPr>
              <w:t>Unbilled revenues, net</w:t>
            </w:r>
          </w:p>
        </w:tc>
        <w:tc>
          <w:tcPr>
            <w:tcW w:w="978" w:type="dxa"/>
            <w:gridSpan w:val="2"/>
            <w:tcBorders/>
            <w:shd w:fill="F7F7F7"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250 </w:t>
            </w:r>
          </w:p>
        </w:tc>
        <w:tc>
          <w:tcPr>
            <w:tcW w:w="492" w:type="dxa"/>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F7F7F7"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229 </w:t>
            </w:r>
          </w:p>
        </w:tc>
        <w:tc>
          <w:tcPr>
            <w:tcW w:w="686" w:type="dxa"/>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delle Sans;sans-serif" w:hAnsi="Adelle Sans;sans-serif"/>
                <w:b w:val="false"/>
                <w:color w:val="000000"/>
                <w:sz w:val="18"/>
              </w:rPr>
            </w:pPr>
            <w:r>
              <w:rPr>
                <w:rFonts w:ascii="Adelle Sans;sans-serif" w:hAnsi="Adelle Sans;sans-serif"/>
                <w:b w:val="false"/>
                <w:color w:val="000000"/>
                <w:sz w:val="18"/>
              </w:rPr>
              <w:t>Trade receivables, net</w:t>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98 </w:t>
            </w:r>
          </w:p>
        </w:tc>
        <w:tc>
          <w:tcPr>
            <w:tcW w:w="4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98 </w:t>
            </w:r>
          </w:p>
        </w:tc>
        <w:tc>
          <w:tcPr>
            <w:tcW w:w="6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39" w:type="dxa"/>
            <w:gridSpan w:val="3"/>
            <w:tcBorders/>
            <w:shd w:fill="F7F7F7" w:val="clear"/>
            <w:tcMar>
              <w:top w:w="0" w:type="dxa"/>
              <w:left w:w="0" w:type="dxa"/>
              <w:bottom w:w="0" w:type="dxa"/>
              <w:right w:w="0" w:type="dxa"/>
            </w:tcMar>
            <w:vAlign w:val="center"/>
          </w:tcPr>
          <w:p>
            <w:pPr>
              <w:pStyle w:val="TableContents"/>
              <w:bidi w:val="0"/>
              <w:spacing w:lineRule="auto" w:line="240" w:before="0" w:after="283"/>
              <w:jc w:val="left"/>
              <w:rPr>
                <w:rFonts w:ascii="Adelle Sans;sans-serif" w:hAnsi="Adelle Sans;sans-serif"/>
                <w:b w:val="false"/>
                <w:color w:val="000000"/>
                <w:sz w:val="18"/>
              </w:rPr>
            </w:pPr>
            <w:r>
              <w:rPr>
                <w:rFonts w:ascii="Adelle Sans;sans-serif" w:hAnsi="Adelle Sans;sans-serif"/>
                <w:b w:val="false"/>
                <w:color w:val="000000"/>
                <w:sz w:val="18"/>
              </w:rPr>
              <w:t>Indirect taxes receivable</w:t>
            </w:r>
          </w:p>
        </w:tc>
        <w:tc>
          <w:tcPr>
            <w:tcW w:w="978" w:type="dxa"/>
            <w:gridSpan w:val="2"/>
            <w:tcBorders/>
            <w:shd w:fill="F7F7F7"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57 </w:t>
            </w:r>
          </w:p>
        </w:tc>
        <w:tc>
          <w:tcPr>
            <w:tcW w:w="492" w:type="dxa"/>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F7F7F7"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109 </w:t>
            </w:r>
          </w:p>
        </w:tc>
        <w:tc>
          <w:tcPr>
            <w:tcW w:w="686" w:type="dxa"/>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delle Sans;sans-serif" w:hAnsi="Adelle Sans;sans-serif"/>
                <w:b w:val="false"/>
                <w:color w:val="000000"/>
                <w:sz w:val="18"/>
              </w:rPr>
            </w:pPr>
            <w:r>
              <w:rPr>
                <w:rFonts w:ascii="Adelle Sans;sans-serif" w:hAnsi="Adelle Sans;sans-serif"/>
                <w:b w:val="false"/>
                <w:color w:val="000000"/>
                <w:sz w:val="18"/>
              </w:rPr>
              <w:t>Accrued interest</w:t>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34 </w:t>
            </w:r>
          </w:p>
        </w:tc>
        <w:tc>
          <w:tcPr>
            <w:tcW w:w="4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39 </w:t>
            </w:r>
          </w:p>
        </w:tc>
        <w:tc>
          <w:tcPr>
            <w:tcW w:w="6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39" w:type="dxa"/>
            <w:gridSpan w:val="3"/>
            <w:tcBorders/>
            <w:shd w:fill="F7F7F7" w:val="clear"/>
            <w:tcMar>
              <w:top w:w="0" w:type="dxa"/>
              <w:left w:w="0" w:type="dxa"/>
              <w:bottom w:w="0" w:type="dxa"/>
              <w:right w:w="0" w:type="dxa"/>
            </w:tcMar>
            <w:vAlign w:val="center"/>
          </w:tcPr>
          <w:p>
            <w:pPr>
              <w:pStyle w:val="TableContents"/>
              <w:bidi w:val="0"/>
              <w:spacing w:lineRule="auto" w:line="240" w:before="0" w:after="283"/>
              <w:jc w:val="left"/>
              <w:rPr>
                <w:rFonts w:ascii="Adelle Sans;sans-serif" w:hAnsi="Adelle Sans;sans-serif"/>
                <w:b w:val="false"/>
                <w:color w:val="000000"/>
                <w:sz w:val="18"/>
              </w:rPr>
            </w:pPr>
            <w:r>
              <w:rPr>
                <w:rFonts w:ascii="Adelle Sans;sans-serif" w:hAnsi="Adelle Sans;sans-serif"/>
                <w:b w:val="false"/>
                <w:color w:val="000000"/>
                <w:sz w:val="18"/>
              </w:rPr>
              <w:t>Other receivables</w:t>
            </w:r>
          </w:p>
        </w:tc>
        <w:tc>
          <w:tcPr>
            <w:tcW w:w="978" w:type="dxa"/>
            <w:gridSpan w:val="2"/>
            <w:tcBorders/>
            <w:shd w:fill="F7F7F7"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27 </w:t>
            </w:r>
          </w:p>
        </w:tc>
        <w:tc>
          <w:tcPr>
            <w:tcW w:w="492" w:type="dxa"/>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F7F7F7"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25 </w:t>
            </w:r>
          </w:p>
        </w:tc>
        <w:tc>
          <w:tcPr>
            <w:tcW w:w="686" w:type="dxa"/>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466 </w:t>
            </w:r>
          </w:p>
        </w:tc>
        <w:tc>
          <w:tcPr>
            <w:tcW w:w="49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500 </w:t>
            </w:r>
          </w:p>
        </w:tc>
        <w:tc>
          <w:tcPr>
            <w:tcW w:w="68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jc w:val="both"/>
        <w:rPr>
          <w:rFonts w:ascii="Adelle Sans Light;sans-serif" w:hAnsi="Adelle Sans Light;sans-serif"/>
          <w:b w:val="false"/>
          <w:color w:val="000000"/>
          <w:sz w:val="20"/>
        </w:rPr>
      </w:pPr>
      <w:r>
        <w:rPr>
          <w:rFonts w:ascii="Adelle Sans Light;sans-serif" w:hAnsi="Adelle Sans Light;sans-serif"/>
          <w:b w:val="false"/>
          <w:color w:val="000000"/>
          <w:sz w:val="20"/>
        </w:rPr>
        <w:t xml:space="preserve">Unbilled revenues represent amounts not yet billed related to partner referral fees, subscription fees for Plus merchants, shipping charges and transaction fees as of the condensed consolidated balance sheet dates. </w:t>
      </w:r>
    </w:p>
    <w:p>
      <w:pPr>
        <w:pStyle w:val="TextBody"/>
        <w:bidi w:val="0"/>
        <w:spacing w:lineRule="auto" w:line="288" w:before="0" w:after="200"/>
        <w:jc w:val="both"/>
        <w:rPr>
          <w:rFonts w:ascii="Adelle Sans Light;sans-serif" w:hAnsi="Adelle Sans Light;sans-serif"/>
          <w:b w:val="false"/>
          <w:color w:val="000000"/>
          <w:sz w:val="20"/>
        </w:rPr>
      </w:pPr>
      <w:r>
        <w:rPr>
          <w:rFonts w:ascii="Adelle Sans Light;sans-serif" w:hAnsi="Adelle Sans Light;sans-serif"/>
          <w:b w:val="false"/>
          <w:color w:val="000000"/>
          <w:sz w:val="20"/>
        </w:rPr>
        <w:t>The allowance for credit losses reflects the Company's best estimate of probable losses inherent in the unbilled revenues and trade receivables accounts. The Company determined the provision based on known troubled accounts, historical experience, supportable forecasts of collectibility and other currently available evidence.</w:t>
      </w:r>
    </w:p>
    <w:p>
      <w:pPr>
        <w:pStyle w:val="TextBody"/>
        <w:bidi w:val="0"/>
        <w:spacing w:lineRule="auto" w:line="288" w:before="0" w:after="200"/>
        <w:jc w:val="both"/>
        <w:rPr>
          <w:rFonts w:ascii="Adelle Sans Light;sans-serif" w:hAnsi="Adelle Sans Light;sans-serif"/>
          <w:b w:val="false"/>
          <w:color w:val="000000"/>
          <w:sz w:val="20"/>
        </w:rPr>
      </w:pPr>
      <w:r>
        <w:rPr>
          <w:rFonts w:ascii="Adelle Sans Light;sans-serif" w:hAnsi="Adelle Sans Light;sans-serif"/>
          <w:b w:val="false"/>
          <w:color w:val="000000"/>
          <w:sz w:val="20"/>
        </w:rPr>
        <w:t>Activity in the allowance for credit losses was as follows for the three and six months ended:</w:t>
      </w:r>
    </w:p>
    <w:tbl>
      <w:tblPr>
        <w:tblW w:w="10205" w:type="dxa"/>
        <w:jc w:val="left"/>
        <w:tblInd w:w="0" w:type="dxa"/>
        <w:tblLayout w:type="fixed"/>
        <w:tblCellMar>
          <w:top w:w="28" w:type="dxa"/>
          <w:left w:w="28" w:type="dxa"/>
          <w:bottom w:w="28" w:type="dxa"/>
          <w:right w:w="28" w:type="dxa"/>
        </w:tblCellMar>
      </w:tblPr>
      <w:tblGrid>
        <w:gridCol w:w="1631"/>
        <w:gridCol w:w="1336"/>
        <w:gridCol w:w="1341"/>
        <w:gridCol w:w="346"/>
        <w:gridCol w:w="282"/>
        <w:gridCol w:w="276"/>
        <w:gridCol w:w="276"/>
        <w:gridCol w:w="276"/>
        <w:gridCol w:w="276"/>
        <w:gridCol w:w="346"/>
        <w:gridCol w:w="282"/>
        <w:gridCol w:w="276"/>
        <w:gridCol w:w="109"/>
        <w:gridCol w:w="109"/>
        <w:gridCol w:w="109"/>
        <w:gridCol w:w="316"/>
        <w:gridCol w:w="270"/>
        <w:gridCol w:w="255"/>
        <w:gridCol w:w="255"/>
        <w:gridCol w:w="255"/>
        <w:gridCol w:w="255"/>
        <w:gridCol w:w="316"/>
        <w:gridCol w:w="270"/>
        <w:gridCol w:w="255"/>
        <w:gridCol w:w="109"/>
        <w:gridCol w:w="109"/>
        <w:gridCol w:w="109"/>
        <w:gridCol w:w="160"/>
      </w:tblGrid>
      <w:tr>
        <w:trPr/>
        <w:tc>
          <w:tcPr>
            <w:tcW w:w="1631"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c>
          <w:tcPr>
            <w:tcW w:w="134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3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delle Sans;sans-serif" w:hAnsi="Adelle Sans;sans-serif"/>
                <w:b/>
                <w:color w:val="000000"/>
                <w:sz w:val="18"/>
              </w:rPr>
            </w:pPr>
            <w:r>
              <w:rPr>
                <w:rFonts w:ascii="Adelle Sans;sans-serif" w:hAnsi="Adelle Sans;sans-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delle Sans;sans-serif" w:hAnsi="Adelle Sans;sans-serif"/>
                <w:b/>
                <w:color w:val="000000"/>
                <w:sz w:val="18"/>
              </w:rPr>
            </w:pPr>
            <w:r>
              <w:rPr>
                <w:rFonts w:ascii="Adelle Sans;sans-serif" w:hAnsi="Adelle Sans;sans-serif"/>
                <w:b/>
                <w:color w:val="000000"/>
                <w:sz w:val="18"/>
              </w:rPr>
              <w:t>Six months ended June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gridSpan w:val="2"/>
            <w:tcBorders/>
          </w:tcPr>
          <w:p>
            <w:pPr>
              <w:pStyle w:val="TableContents"/>
              <w:bidi w:val="0"/>
              <w:spacing w:before="0" w:after="283"/>
              <w:jc w:val="left"/>
              <w:rPr>
                <w:sz w:val="4"/>
                <w:szCs w:val="4"/>
              </w:rPr>
            </w:pPr>
            <w:r>
              <w:rPr>
                <w:sz w:val="4"/>
                <w:szCs w:val="4"/>
              </w:rPr>
            </w:r>
          </w:p>
        </w:tc>
      </w:tr>
      <w:tr>
        <w:trPr/>
        <w:tc>
          <w:tcPr>
            <w:tcW w:w="43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delle Sans;sans-serif" w:hAnsi="Adelle Sans;sans-serif"/>
                <w:b/>
                <w:color w:val="000000"/>
                <w:sz w:val="18"/>
              </w:rPr>
            </w:pPr>
            <w:r>
              <w:rPr>
                <w:rFonts w:ascii="Adelle Sans;sans-serif" w:hAnsi="Adelle Sans;sans-serif"/>
                <w:b/>
                <w:color w:val="000000"/>
                <w:sz w:val="18"/>
              </w:rPr>
              <w:t>2026</w:t>
            </w:r>
          </w:p>
        </w:tc>
        <w:tc>
          <w:tcPr>
            <w:tcW w:w="82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delle Sans;sans-serif" w:hAnsi="Adelle Sans;sans-serif"/>
                <w:b/>
                <w:color w:val="000000"/>
                <w:sz w:val="18"/>
              </w:rPr>
            </w:pPr>
            <w:r>
              <w:rPr>
                <w:rFonts w:ascii="Adelle Sans;sans-serif" w:hAnsi="Adelle Sans;sans-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delle Sans;sans-serif" w:hAnsi="Adelle Sans;sans-serif"/>
                <w:b/>
                <w:color w:val="000000"/>
                <w:sz w:val="18"/>
              </w:rPr>
            </w:pPr>
            <w:r>
              <w:rPr>
                <w:rFonts w:ascii="Adelle Sans;sans-serif" w:hAnsi="Adelle Sans;sans-serif"/>
                <w:b/>
                <w:color w:val="000000"/>
                <w:sz w:val="18"/>
              </w:rPr>
              <w:t>2026</w:t>
            </w:r>
          </w:p>
        </w:tc>
        <w:tc>
          <w:tcPr>
            <w:tcW w:w="76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delle Sans;sans-serif" w:hAnsi="Adelle Sans;sans-serif"/>
                <w:b/>
                <w:color w:val="000000"/>
                <w:sz w:val="18"/>
              </w:rPr>
            </w:pPr>
            <w:r>
              <w:rPr>
                <w:rFonts w:ascii="Adelle Sans;sans-serif" w:hAnsi="Adelle Sans;sans-serif"/>
                <w:b/>
                <w:color w:val="000000"/>
                <w:sz w:val="18"/>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308" w:type="dxa"/>
            <w:gridSpan w:val="3"/>
            <w:tcBorders/>
            <w:vAlign w:val="center"/>
          </w:tcPr>
          <w:p>
            <w:pPr>
              <w:pStyle w:val="TableContents"/>
              <w:bidi w:val="0"/>
              <w:spacing w:before="0" w:after="283"/>
              <w:jc w:val="left"/>
              <w:rPr>
                <w:sz w:val="4"/>
                <w:szCs w:val="4"/>
              </w:rPr>
            </w:pPr>
            <w:r>
              <w:rPr>
                <w:sz w:val="4"/>
                <w:szCs w:val="4"/>
              </w:rPr>
            </w:r>
          </w:p>
        </w:tc>
        <w:tc>
          <w:tcPr>
            <w:tcW w:w="904" w:type="dxa"/>
            <w:gridSpan w:val="3"/>
            <w:tcBorders/>
            <w:vAlign w:val="center"/>
          </w:tcPr>
          <w:p>
            <w:pPr>
              <w:pStyle w:val="TableContents"/>
              <w:bidi w:val="0"/>
              <w:spacing w:before="0" w:after="283"/>
              <w:jc w:val="left"/>
              <w:rPr>
                <w:sz w:val="4"/>
                <w:szCs w:val="4"/>
              </w:rPr>
            </w:pPr>
            <w:r>
              <w:rPr>
                <w:sz w:val="4"/>
                <w:szCs w:val="4"/>
              </w:rPr>
            </w:r>
          </w:p>
        </w:tc>
        <w:tc>
          <w:tcPr>
            <w:tcW w:w="828" w:type="dxa"/>
            <w:gridSpan w:val="3"/>
            <w:tcBorders/>
            <w:vAlign w:val="center"/>
          </w:tcPr>
          <w:p>
            <w:pPr>
              <w:pStyle w:val="TableContents"/>
              <w:bidi w:val="0"/>
              <w:spacing w:before="0" w:after="283"/>
              <w:jc w:val="left"/>
              <w:rPr>
                <w:sz w:val="4"/>
                <w:szCs w:val="4"/>
              </w:rPr>
            </w:pPr>
            <w:r>
              <w:rPr>
                <w:sz w:val="4"/>
                <w:szCs w:val="4"/>
              </w:rPr>
            </w:r>
          </w:p>
        </w:tc>
        <w:tc>
          <w:tcPr>
            <w:tcW w:w="9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765"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30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0" w:type="dxa"/>
            <w:gridSpan w:val="21"/>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Adelle Sans;sans-serif" w:hAnsi="Adelle Sans;sans-serif"/>
                <w:b w:val="false"/>
                <w:color w:val="000000"/>
                <w:sz w:val="18"/>
              </w:rPr>
            </w:pPr>
            <w:r>
              <w:rPr>
                <w:rFonts w:ascii="Adelle Sans;sans-serif" w:hAnsi="Adelle Sans;sans-serif"/>
                <w:b w:val="false"/>
                <w:color w:val="000000"/>
                <w:sz w:val="18"/>
              </w:rPr>
              <w:t>(in US $ millions)</w:t>
            </w:r>
          </w:p>
        </w:tc>
        <w:tc>
          <w:tcPr>
            <w:tcW w:w="487" w:type="dxa"/>
            <w:gridSpan w:val="4"/>
            <w:tcBorders/>
          </w:tcPr>
          <w:p>
            <w:pPr>
              <w:pStyle w:val="TableContents"/>
              <w:bidi w:val="0"/>
              <w:spacing w:before="0" w:after="283"/>
              <w:jc w:val="left"/>
              <w:rPr>
                <w:sz w:val="4"/>
                <w:szCs w:val="4"/>
              </w:rPr>
            </w:pPr>
            <w:r>
              <w:rPr>
                <w:sz w:val="4"/>
                <w:szCs w:val="4"/>
              </w:rPr>
            </w:r>
          </w:p>
        </w:tc>
      </w:tr>
      <w:tr>
        <w:trPr/>
        <w:tc>
          <w:tcPr>
            <w:tcW w:w="4308" w:type="dxa"/>
            <w:gridSpan w:val="3"/>
            <w:tcBorders/>
            <w:shd w:fill="F7F7F7" w:val="clear"/>
            <w:tcMar>
              <w:top w:w="0" w:type="dxa"/>
              <w:left w:w="0" w:type="dxa"/>
              <w:bottom w:w="0" w:type="dxa"/>
              <w:right w:w="0" w:type="dxa"/>
            </w:tcMar>
            <w:vAlign w:val="center"/>
          </w:tcPr>
          <w:p>
            <w:pPr>
              <w:pStyle w:val="TableContents"/>
              <w:bidi w:val="0"/>
              <w:spacing w:lineRule="auto" w:line="240" w:before="0" w:after="283"/>
              <w:jc w:val="left"/>
              <w:rPr>
                <w:rFonts w:ascii="Adelle Sans;sans-serif" w:hAnsi="Adelle Sans;sans-serif"/>
                <w:b w:val="false"/>
                <w:color w:val="000000"/>
                <w:sz w:val="18"/>
              </w:rPr>
            </w:pPr>
            <w:r>
              <w:rPr>
                <w:rFonts w:ascii="Adelle Sans;sans-serif" w:hAnsi="Adelle Sans;sans-serif"/>
                <w:b w:val="false"/>
                <w:color w:val="000000"/>
                <w:sz w:val="18"/>
              </w:rPr>
              <w:t>Balance, beginning of the period</w:t>
            </w:r>
          </w:p>
        </w:tc>
        <w:tc>
          <w:tcPr>
            <w:tcW w:w="628" w:type="dxa"/>
            <w:gridSpan w:val="2"/>
            <w:tcBorders/>
            <w:shd w:fill="F7F7F7"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19 </w:t>
            </w:r>
          </w:p>
        </w:tc>
        <w:tc>
          <w:tcPr>
            <w:tcW w:w="276" w:type="dxa"/>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3"/>
            <w:tcBorders/>
            <w:shd w:fill="F7F7F7" w:val="clear"/>
            <w:tcMar>
              <w:top w:w="0" w:type="dxa"/>
              <w:left w:w="0" w:type="dxa"/>
              <w:bottom w:w="0" w:type="dxa"/>
              <w:right w:w="0" w:type="dxa"/>
            </w:tcMar>
            <w:vAlign w:val="center"/>
          </w:tcPr>
          <w:p>
            <w:pPr>
              <w:pStyle w:val="TableContents"/>
              <w:bidi w:val="0"/>
              <w:spacing w:before="0" w:after="0"/>
              <w:jc w:val="right"/>
              <w:rPr/>
            </w:pPr>
            <w:r>
              <w:rPr/>
            </w:r>
          </w:p>
        </w:tc>
        <w:tc>
          <w:tcPr>
            <w:tcW w:w="628" w:type="dxa"/>
            <w:gridSpan w:val="2"/>
            <w:tcBorders/>
            <w:shd w:fill="F7F7F7"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16 </w:t>
            </w:r>
          </w:p>
        </w:tc>
        <w:tc>
          <w:tcPr>
            <w:tcW w:w="276" w:type="dxa"/>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F7F7F7"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17 </w:t>
            </w:r>
          </w:p>
        </w:tc>
        <w:tc>
          <w:tcPr>
            <w:tcW w:w="255" w:type="dxa"/>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F7F7F7"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16 </w:t>
            </w:r>
          </w:p>
        </w:tc>
        <w:tc>
          <w:tcPr>
            <w:tcW w:w="255" w:type="dxa"/>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3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delle Sans;sans-serif" w:hAnsi="Adelle Sans;sans-serif"/>
                <w:b w:val="false"/>
                <w:color w:val="000000"/>
                <w:sz w:val="18"/>
              </w:rPr>
            </w:pPr>
            <w:r>
              <w:rPr>
                <w:rFonts w:ascii="Adelle Sans;sans-serif" w:hAnsi="Adelle Sans;sans-serif"/>
                <w:b w:val="false"/>
                <w:color w:val="000000"/>
                <w:sz w:val="18"/>
              </w:rPr>
              <w:t>Provision for credit losses related to uncollectible receivables</w:t>
            </w:r>
          </w:p>
        </w:tc>
        <w:tc>
          <w:tcPr>
            <w:tcW w:w="6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7 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3"/>
            <w:tcBorders/>
            <w:shd w:fill="FFFFFF" w:val="clear"/>
            <w:tcMar>
              <w:top w:w="0" w:type="dxa"/>
              <w:left w:w="0" w:type="dxa"/>
              <w:bottom w:w="0" w:type="dxa"/>
              <w:right w:w="0" w:type="dxa"/>
            </w:tcMar>
            <w:vAlign w:val="center"/>
          </w:tcPr>
          <w:p>
            <w:pPr>
              <w:pStyle w:val="TableContents"/>
              <w:bidi w:val="0"/>
              <w:spacing w:before="0" w:after="0"/>
              <w:jc w:val="right"/>
              <w:rPr/>
            </w:pPr>
            <w:r>
              <w:rPr/>
            </w:r>
          </w:p>
        </w:tc>
        <w:tc>
          <w:tcPr>
            <w:tcW w:w="6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7 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13 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14 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308" w:type="dxa"/>
            <w:gridSpan w:val="3"/>
            <w:tcBorders/>
            <w:shd w:fill="F7F7F7" w:val="clear"/>
            <w:tcMar>
              <w:top w:w="0" w:type="dxa"/>
              <w:left w:w="0" w:type="dxa"/>
              <w:bottom w:w="0" w:type="dxa"/>
              <w:right w:w="0" w:type="dxa"/>
            </w:tcMar>
            <w:vAlign w:val="center"/>
          </w:tcPr>
          <w:p>
            <w:pPr>
              <w:pStyle w:val="TableContents"/>
              <w:bidi w:val="0"/>
              <w:spacing w:lineRule="auto" w:line="240" w:before="0" w:after="283"/>
              <w:jc w:val="left"/>
              <w:rPr>
                <w:rFonts w:ascii="Adelle Sans;sans-serif" w:hAnsi="Adelle Sans;sans-serif"/>
                <w:b w:val="false"/>
                <w:color w:val="000000"/>
                <w:sz w:val="18"/>
              </w:rPr>
            </w:pPr>
            <w:r>
              <w:rPr>
                <w:rFonts w:ascii="Adelle Sans;sans-serif" w:hAnsi="Adelle Sans;sans-serif"/>
                <w:b w:val="false"/>
                <w:color w:val="000000"/>
                <w:sz w:val="18"/>
              </w:rPr>
              <w:t>Write-offs</w:t>
            </w:r>
          </w:p>
        </w:tc>
        <w:tc>
          <w:tcPr>
            <w:tcW w:w="628" w:type="dxa"/>
            <w:gridSpan w:val="2"/>
            <w:tcBorders/>
            <w:shd w:fill="F7F7F7"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(5)</w:t>
            </w:r>
          </w:p>
        </w:tc>
        <w:tc>
          <w:tcPr>
            <w:tcW w:w="276" w:type="dxa"/>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3"/>
            <w:tcBorders/>
            <w:shd w:fill="F7F7F7" w:val="clear"/>
            <w:tcMar>
              <w:top w:w="0" w:type="dxa"/>
              <w:left w:w="0" w:type="dxa"/>
              <w:bottom w:w="0" w:type="dxa"/>
              <w:right w:w="0" w:type="dxa"/>
            </w:tcMar>
            <w:vAlign w:val="center"/>
          </w:tcPr>
          <w:p>
            <w:pPr>
              <w:pStyle w:val="TableContents"/>
              <w:bidi w:val="0"/>
              <w:spacing w:before="0" w:after="0"/>
              <w:jc w:val="right"/>
              <w:rPr/>
            </w:pPr>
            <w:r>
              <w:rPr/>
            </w:r>
          </w:p>
        </w:tc>
        <w:tc>
          <w:tcPr>
            <w:tcW w:w="628" w:type="dxa"/>
            <w:gridSpan w:val="2"/>
            <w:tcBorders/>
            <w:shd w:fill="F7F7F7"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(7)</w:t>
            </w:r>
          </w:p>
        </w:tc>
        <w:tc>
          <w:tcPr>
            <w:tcW w:w="276" w:type="dxa"/>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F7F7F7"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(9)</w:t>
            </w:r>
          </w:p>
        </w:tc>
        <w:tc>
          <w:tcPr>
            <w:tcW w:w="255" w:type="dxa"/>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F7F7F7"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(14)</w:t>
            </w:r>
          </w:p>
        </w:tc>
        <w:tc>
          <w:tcPr>
            <w:tcW w:w="255" w:type="dxa"/>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3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delle Sans;sans-serif" w:hAnsi="Adelle Sans;sans-serif"/>
                <w:b w:val="false"/>
                <w:color w:val="000000"/>
                <w:sz w:val="18"/>
              </w:rPr>
            </w:pPr>
            <w:r>
              <w:rPr>
                <w:rFonts w:ascii="Adelle Sans;sans-serif" w:hAnsi="Adelle Sans;sans-serif"/>
                <w:b w:val="false"/>
                <w:color w:val="000000"/>
                <w:sz w:val="18"/>
              </w:rPr>
              <w:t>Balance, end of the period</w:t>
            </w:r>
          </w:p>
        </w:tc>
        <w:tc>
          <w:tcPr>
            <w:tcW w:w="62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21 </w:t>
            </w:r>
          </w:p>
        </w:tc>
        <w:tc>
          <w:tcPr>
            <w:tcW w:w="27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0"/>
              <w:jc w:val="right"/>
              <w:rPr/>
            </w:pPr>
            <w:r>
              <w:rPr/>
            </w:r>
          </w:p>
        </w:tc>
        <w:tc>
          <w:tcPr>
            <w:tcW w:w="62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16 </w:t>
            </w:r>
          </w:p>
        </w:tc>
        <w:tc>
          <w:tcPr>
            <w:tcW w:w="27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21 </w:t>
            </w:r>
          </w:p>
        </w:tc>
        <w:tc>
          <w:tcPr>
            <w:tcW w:w="25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16 </w:t>
            </w:r>
          </w:p>
        </w:tc>
        <w:tc>
          <w:tcPr>
            <w:tcW w:w="25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ind w:left="0" w:right="0" w:hanging="360"/>
        <w:jc w:val="left"/>
        <w:rPr>
          <w:rFonts w:ascii="Adelle Sans;sans-serif" w:hAnsi="Adelle Sans;sans-serif"/>
          <w:b/>
          <w:color w:val="000000"/>
          <w:sz w:val="20"/>
        </w:rPr>
      </w:pPr>
      <w:bookmarkStart w:id="43" w:name="i312ff1f513d14bf48eac4f8a4571bd9c"/>
      <w:bookmarkEnd w:id="43"/>
      <w:r>
        <w:rPr>
          <w:rFonts w:ascii="Adelle Sans;sans-serif" w:hAnsi="Adelle Sans;sans-serif"/>
          <w:b/>
          <w:color w:val="000000"/>
          <w:sz w:val="20"/>
        </w:rPr>
        <w:t>6.Loans and Merchant Cash Advances</w:t>
      </w:r>
    </w:p>
    <w:tbl>
      <w:tblPr>
        <w:tblW w:w="10205" w:type="dxa"/>
        <w:jc w:val="left"/>
        <w:tblInd w:w="0" w:type="dxa"/>
        <w:tblLayout w:type="fixed"/>
        <w:tblCellMar>
          <w:top w:w="28" w:type="dxa"/>
          <w:left w:w="28" w:type="dxa"/>
          <w:bottom w:w="28" w:type="dxa"/>
          <w:right w:w="28" w:type="dxa"/>
        </w:tblCellMar>
      </w:tblPr>
      <w:tblGrid>
        <w:gridCol w:w="2404"/>
        <w:gridCol w:w="2067"/>
        <w:gridCol w:w="2073"/>
        <w:gridCol w:w="489"/>
        <w:gridCol w:w="406"/>
        <w:gridCol w:w="398"/>
        <w:gridCol w:w="109"/>
        <w:gridCol w:w="109"/>
        <w:gridCol w:w="109"/>
        <w:gridCol w:w="591"/>
        <w:gridCol w:w="591"/>
        <w:gridCol w:w="592"/>
        <w:gridCol w:w="109"/>
        <w:gridCol w:w="158"/>
      </w:tblGrid>
      <w:tr>
        <w:trPr/>
        <w:tc>
          <w:tcPr>
            <w:tcW w:w="2404" w:type="dxa"/>
            <w:tcBorders/>
            <w:vAlign w:val="center"/>
          </w:tcPr>
          <w:p>
            <w:pPr>
              <w:pStyle w:val="TableContents"/>
              <w:bidi w:val="0"/>
              <w:spacing w:before="0" w:after="283"/>
              <w:jc w:val="left"/>
              <w:rPr>
                <w:sz w:val="4"/>
                <w:szCs w:val="4"/>
              </w:rPr>
            </w:pPr>
            <w:r>
              <w:rPr>
                <w:sz w:val="4"/>
                <w:szCs w:val="4"/>
              </w:rPr>
            </w:r>
          </w:p>
        </w:tc>
        <w:tc>
          <w:tcPr>
            <w:tcW w:w="2067" w:type="dxa"/>
            <w:tcBorders/>
            <w:vAlign w:val="center"/>
          </w:tcPr>
          <w:p>
            <w:pPr>
              <w:pStyle w:val="TableContents"/>
              <w:bidi w:val="0"/>
              <w:spacing w:before="0" w:after="283"/>
              <w:jc w:val="left"/>
              <w:rPr>
                <w:sz w:val="4"/>
                <w:szCs w:val="4"/>
              </w:rPr>
            </w:pPr>
            <w:r>
              <w:rPr>
                <w:sz w:val="4"/>
                <w:szCs w:val="4"/>
              </w:rPr>
            </w:r>
          </w:p>
        </w:tc>
        <w:tc>
          <w:tcPr>
            <w:tcW w:w="2073"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5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delle Sans;sans-serif" w:hAnsi="Adelle Sans;sans-serif"/>
                <w:b/>
                <w:color w:val="000000"/>
                <w:sz w:val="18"/>
              </w:rPr>
            </w:pPr>
            <w:r>
              <w:rPr>
                <w:rFonts w:ascii="Adelle Sans;sans-serif" w:hAnsi="Adelle Sans;sans-serif"/>
                <w:b/>
                <w:color w:val="000000"/>
                <w:sz w:val="18"/>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delle Sans;sans-serif" w:hAnsi="Adelle Sans;sans-serif"/>
                <w:b/>
                <w:color w:val="000000"/>
                <w:sz w:val="18"/>
              </w:rPr>
            </w:pPr>
            <w:r>
              <w:rPr>
                <w:rFonts w:ascii="Adelle Sans;sans-serif" w:hAnsi="Adelle Sans;sans-serif"/>
                <w:b/>
                <w:color w:val="000000"/>
                <w:sz w:val="18"/>
              </w:rPr>
              <w:t>December 31, 2025</w:t>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544" w:type="dxa"/>
            <w:gridSpan w:val="3"/>
            <w:tcBorders/>
            <w:vAlign w:val="center"/>
          </w:tcPr>
          <w:p>
            <w:pPr>
              <w:pStyle w:val="TableContents"/>
              <w:bidi w:val="0"/>
              <w:spacing w:before="0" w:after="283"/>
              <w:jc w:val="left"/>
              <w:rPr>
                <w:sz w:val="4"/>
                <w:szCs w:val="4"/>
              </w:rPr>
            </w:pPr>
            <w:r>
              <w:rPr>
                <w:sz w:val="4"/>
                <w:szCs w:val="4"/>
              </w:rPr>
            </w:r>
          </w:p>
        </w:tc>
        <w:tc>
          <w:tcPr>
            <w:tcW w:w="12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7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54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4" w:type="dxa"/>
            <w:gridSpan w:val="9"/>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Adelle Sans;sans-serif" w:hAnsi="Adelle Sans;sans-serif"/>
                <w:b w:val="false"/>
                <w:color w:val="000000"/>
                <w:sz w:val="18"/>
              </w:rPr>
            </w:pPr>
            <w:r>
              <w:rPr>
                <w:rFonts w:ascii="Adelle Sans;sans-serif" w:hAnsi="Adelle Sans;sans-serif"/>
                <w:b w:val="false"/>
                <w:color w:val="000000"/>
                <w:sz w:val="18"/>
              </w:rPr>
              <w:t>(in US $ millions)</w:t>
            </w:r>
          </w:p>
        </w:tc>
        <w:tc>
          <w:tcPr>
            <w:tcW w:w="267" w:type="dxa"/>
            <w:gridSpan w:val="2"/>
            <w:tcBorders/>
          </w:tcPr>
          <w:p>
            <w:pPr>
              <w:pStyle w:val="TableContents"/>
              <w:bidi w:val="0"/>
              <w:spacing w:before="0" w:after="283"/>
              <w:jc w:val="left"/>
              <w:rPr>
                <w:sz w:val="4"/>
                <w:szCs w:val="4"/>
              </w:rPr>
            </w:pPr>
            <w:r>
              <w:rPr>
                <w:sz w:val="4"/>
                <w:szCs w:val="4"/>
              </w:rPr>
            </w:r>
          </w:p>
        </w:tc>
      </w:tr>
      <w:tr>
        <w:trPr/>
        <w:tc>
          <w:tcPr>
            <w:tcW w:w="6544" w:type="dxa"/>
            <w:gridSpan w:val="3"/>
            <w:tcBorders/>
            <w:shd w:fill="F7F7F7" w:val="clear"/>
            <w:tcMar>
              <w:top w:w="0" w:type="dxa"/>
              <w:left w:w="0" w:type="dxa"/>
              <w:bottom w:w="0" w:type="dxa"/>
              <w:right w:w="0" w:type="dxa"/>
            </w:tcMar>
            <w:vAlign w:val="center"/>
          </w:tcPr>
          <w:p>
            <w:pPr>
              <w:pStyle w:val="TableContents"/>
              <w:bidi w:val="0"/>
              <w:spacing w:lineRule="auto" w:line="240" w:before="0" w:after="0"/>
              <w:jc w:val="left"/>
              <w:rPr/>
            </w:pPr>
            <w:r>
              <w:rPr>
                <w:rFonts w:ascii="Adelle Sans;sans-serif" w:hAnsi="Adelle Sans;sans-serif"/>
                <w:b w:val="false"/>
                <w:color w:val="000000"/>
                <w:sz w:val="18"/>
              </w:rPr>
              <w:t>Loans receivable, gross</w:t>
            </w:r>
            <w:r>
              <w:rPr>
                <w:rFonts w:ascii="Adelle Sans;sans-serif" w:hAnsi="Adelle Sans;sans-serif"/>
                <w:b w:val="false"/>
                <w:color w:val="000000"/>
                <w:sz w:val="12"/>
              </w:rPr>
              <w:t>(1)</w:t>
            </w:r>
          </w:p>
        </w:tc>
        <w:tc>
          <w:tcPr>
            <w:tcW w:w="895" w:type="dxa"/>
            <w:gridSpan w:val="2"/>
            <w:tcBorders/>
            <w:shd w:fill="F7F7F7"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2,034 </w:t>
            </w:r>
          </w:p>
        </w:tc>
        <w:tc>
          <w:tcPr>
            <w:tcW w:w="398" w:type="dxa"/>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2"/>
            <w:tcBorders/>
            <w:shd w:fill="F7F7F7"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1,621 </w:t>
            </w:r>
          </w:p>
        </w:tc>
        <w:tc>
          <w:tcPr>
            <w:tcW w:w="592" w:type="dxa"/>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5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delle Sans;sans-serif" w:hAnsi="Adelle Sans;sans-serif"/>
                <w:b w:val="false"/>
                <w:color w:val="000000"/>
                <w:sz w:val="18"/>
              </w:rPr>
            </w:pPr>
            <w:r>
              <w:rPr>
                <w:rFonts w:ascii="Adelle Sans;sans-serif" w:hAnsi="Adelle Sans;sans-serif"/>
                <w:b w:val="false"/>
                <w:color w:val="000000"/>
                <w:sz w:val="18"/>
              </w:rPr>
              <w:t>Merchant cash advances receivable, gross</w:t>
            </w:r>
          </w:p>
        </w:tc>
        <w:tc>
          <w:tcPr>
            <w:tcW w:w="8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392 </w:t>
            </w:r>
          </w:p>
        </w:tc>
        <w:tc>
          <w:tcPr>
            <w:tcW w:w="3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358 </w:t>
            </w:r>
          </w:p>
        </w:tc>
        <w:tc>
          <w:tcPr>
            <w:tcW w:w="5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544" w:type="dxa"/>
            <w:gridSpan w:val="3"/>
            <w:tcBorders/>
            <w:vAlign w:val="center"/>
          </w:tcPr>
          <w:p>
            <w:pPr>
              <w:pStyle w:val="TableContents"/>
              <w:bidi w:val="0"/>
              <w:spacing w:before="0" w:after="283"/>
              <w:jc w:val="left"/>
              <w:rPr>
                <w:sz w:val="4"/>
                <w:szCs w:val="4"/>
              </w:rPr>
            </w:pPr>
            <w:r>
              <w:rPr>
                <w:sz w:val="4"/>
                <w:szCs w:val="4"/>
              </w:rPr>
            </w:r>
          </w:p>
        </w:tc>
        <w:tc>
          <w:tcPr>
            <w:tcW w:w="12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7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544" w:type="dxa"/>
            <w:gridSpan w:val="3"/>
            <w:tcBorders/>
            <w:shd w:fill="F7F7F7" w:val="clear"/>
            <w:tcMar>
              <w:top w:w="0" w:type="dxa"/>
              <w:left w:w="0" w:type="dxa"/>
              <w:bottom w:w="0" w:type="dxa"/>
              <w:right w:w="0" w:type="dxa"/>
            </w:tcMar>
            <w:vAlign w:val="center"/>
          </w:tcPr>
          <w:p>
            <w:pPr>
              <w:pStyle w:val="TableContents"/>
              <w:bidi w:val="0"/>
              <w:spacing w:lineRule="auto" w:line="240" w:before="0" w:after="0"/>
              <w:jc w:val="left"/>
              <w:rPr>
                <w:rFonts w:ascii="Adelle Sans;sans-serif" w:hAnsi="Adelle Sans;sans-serif"/>
                <w:b w:val="false"/>
                <w:color w:val="000000"/>
                <w:sz w:val="18"/>
              </w:rPr>
            </w:pPr>
            <w:r>
              <w:rPr>
                <w:rFonts w:ascii="Adelle Sans;sans-serif" w:hAnsi="Adelle Sans;sans-serif"/>
                <w:b w:val="false"/>
                <w:color w:val="000000"/>
                <w:sz w:val="18"/>
              </w:rPr>
              <w:t>Allowance for credit losses related to uncollectible loans and merchant cash advances receivable</w:t>
            </w:r>
          </w:p>
        </w:tc>
        <w:tc>
          <w:tcPr>
            <w:tcW w:w="895" w:type="dxa"/>
            <w:gridSpan w:val="2"/>
            <w:tcBorders/>
            <w:shd w:fill="F7F7F7"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(242)</w:t>
            </w:r>
          </w:p>
        </w:tc>
        <w:tc>
          <w:tcPr>
            <w:tcW w:w="398" w:type="dxa"/>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2"/>
            <w:tcBorders/>
            <w:shd w:fill="F7F7F7"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(195)</w:t>
            </w:r>
          </w:p>
        </w:tc>
        <w:tc>
          <w:tcPr>
            <w:tcW w:w="592" w:type="dxa"/>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5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delle Sans;sans-serif" w:hAnsi="Adelle Sans;sans-serif"/>
                <w:b w:val="false"/>
                <w:color w:val="000000"/>
                <w:sz w:val="18"/>
              </w:rPr>
            </w:pPr>
            <w:r>
              <w:rPr>
                <w:rFonts w:ascii="Adelle Sans;sans-serif" w:hAnsi="Adelle Sans;sans-serif"/>
                <w:b w:val="false"/>
                <w:color w:val="000000"/>
                <w:sz w:val="18"/>
              </w:rPr>
              <w:t>Loans and merchant cash advances, net</w:t>
            </w:r>
          </w:p>
        </w:tc>
        <w:tc>
          <w:tcPr>
            <w:tcW w:w="89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2,184 </w:t>
            </w:r>
          </w:p>
        </w:tc>
        <w:tc>
          <w:tcPr>
            <w:tcW w:w="39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1,784 </w:t>
            </w:r>
          </w:p>
        </w:tc>
        <w:tc>
          <w:tcPr>
            <w:tcW w:w="59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jc w:val="both"/>
        <w:rPr/>
      </w:pPr>
      <w:bookmarkStart w:id="44" w:name="idffc745a97f546b09620092d57360282"/>
      <w:bookmarkEnd w:id="44"/>
      <w:r>
        <w:rPr>
          <w:rFonts w:ascii="Adelle Sans Light;sans-serif" w:hAnsi="Adelle Sans Light;sans-serif"/>
          <w:b w:val="false"/>
          <w:color w:val="000000"/>
          <w:sz w:val="10"/>
        </w:rPr>
        <w:t xml:space="preserve">(1) </w:t>
      </w:r>
      <w:r>
        <w:rPr>
          <w:rFonts w:ascii="Adelle Sans Light;sans-serif" w:hAnsi="Adelle Sans Light;sans-serif"/>
          <w:b w:val="false"/>
          <w:color w:val="000000"/>
          <w:sz w:val="16"/>
        </w:rPr>
        <w:t>Included in the loans receivable gross balance as of June 30, 2026 is $44 million of interest receivable (December 31, 2025 - $24 million).</w:t>
      </w:r>
    </w:p>
    <w:p>
      <w:pPr>
        <w:pStyle w:val="TextBody"/>
        <w:bidi w:val="0"/>
        <w:spacing w:lineRule="auto" w:line="288" w:before="0" w:after="200"/>
        <w:jc w:val="both"/>
        <w:rPr>
          <w:rFonts w:ascii="Adelle Sans Light;sans-serif" w:hAnsi="Adelle Sans Light;sans-serif"/>
          <w:b w:val="false"/>
          <w:color w:val="000000"/>
          <w:sz w:val="20"/>
        </w:rPr>
      </w:pPr>
      <w:r>
        <w:rPr>
          <w:rFonts w:ascii="Adelle Sans Light;sans-serif" w:hAnsi="Adelle Sans Light;sans-serif"/>
          <w:b w:val="false"/>
          <w:color w:val="000000"/>
          <w:sz w:val="20"/>
        </w:rPr>
        <w:t>Certain loans and merchant cash advances are facilitated by the Company and originated by a bank partner, from whom the Company then purchases the loans and merchant cash advances obtaining all rights, title and interest or discount. In the three and six months ended June 30, 2026, the Company purchased $1.4 billion and $2.8 billion, respectively, of loans and merchant cash advances to Shopify merchants (June 30, 2025 - $1.0 billion and $1.8 billion).</w:t>
      </w:r>
    </w:p>
    <w:p>
      <w:pPr>
        <w:pStyle w:val="TextBody"/>
        <w:bidi w:val="0"/>
        <w:spacing w:lineRule="auto" w:line="288" w:before="0" w:after="200"/>
        <w:jc w:val="both"/>
        <w:rPr>
          <w:rFonts w:ascii="Adelle Sans Light;sans-serif" w:hAnsi="Adelle Sans Light;sans-serif"/>
          <w:b w:val="false"/>
          <w:color w:val="000000"/>
          <w:sz w:val="20"/>
        </w:rPr>
      </w:pPr>
      <w:r>
        <w:rPr>
          <w:rFonts w:ascii="Adelle Sans Light;sans-serif" w:hAnsi="Adelle Sans Light;sans-serif"/>
          <w:b w:val="false"/>
          <w:color w:val="000000"/>
          <w:sz w:val="20"/>
        </w:rPr>
        <w:t xml:space="preserve">In the three and six months ended June 30, 2026, the Company recognized revenue of $91 million and $175 million, respectively, related to interest and fees earned on the Company's loans, which do not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7955"/>
                <wp:effectExtent l="0" t="0" r="0" b="0"/>
                <wp:wrapNone/>
                <wp:docPr id="18" name="Frame17"/>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200"/>
                              <w:jc w:val="center"/>
                              <w:rPr>
                                <w:rFonts w:ascii="Adelle Sans Light;sans-serif" w:hAnsi="Adelle Sans Light;sans-serif"/>
                                <w:b w:val="false"/>
                                <w:color w:val="000000"/>
                                <w:sz w:val="20"/>
                              </w:rPr>
                            </w:pPr>
                            <w:r>
                              <w:rPr>
                                <w:rFonts w:ascii="Adelle Sans Light;sans-serif" w:hAnsi="Adelle Sans Light;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Adelle Sans Light;sans-serif" w:hAnsi="Adelle Sans Light;sans-serif"/>
                          <w:b w:val="false"/>
                          <w:color w:val="000000"/>
                          <w:sz w:val="20"/>
                        </w:rPr>
                      </w:pPr>
                      <w:r>
                        <w:rPr>
                          <w:rFonts w:ascii="Adelle Sans Light;sans-serif" w:hAnsi="Adelle Sans Light;sans-serif"/>
                          <w:b w:val="false"/>
                          <w:color w:val="000000"/>
                          <w:sz w:val="20"/>
                        </w:rPr>
                        <w:t>17</w:t>
                      </w:r>
                    </w:p>
                  </w:txbxContent>
                </v:textbox>
                <w10:wrap type="none"/>
              </v:rect>
            </w:pict>
          </mc:Fallback>
        </mc:AlternateContent>
      </w:r>
    </w:p>
    <w:p>
      <w:pPr>
        <w:pStyle w:val="TextBody"/>
        <w:bidi w:val="0"/>
        <w:spacing w:lineRule="auto" w:line="288" w:before="0" w:after="200"/>
        <w:jc w:val="both"/>
        <w:rPr/>
      </w:pPr>
      <w:hyperlink w:anchor="iccccf23fa31e44f0aa82c99ca0859db8_7">
        <w:r>
          <w:rPr>
            <w:rStyle w:val="InternetLink"/>
            <w:rFonts w:ascii="Adelle Sans Light;sans-serif" w:hAnsi="Adelle Sans Light;sans-serif"/>
            <w:b w:val="false"/>
            <w:color w:val="0000FF"/>
            <w:sz w:val="20"/>
            <w:u w:val="single"/>
          </w:rPr>
          <w:t>Table of Contents</w:t>
        </w:r>
      </w:hyperlink>
    </w:p>
    <w:p>
      <w:pPr>
        <w:pStyle w:val="TextBody"/>
        <w:bidi w:val="0"/>
        <w:spacing w:lineRule="auto" w:line="288" w:before="0" w:after="200"/>
        <w:jc w:val="both"/>
        <w:rPr>
          <w:rFonts w:ascii="Adelle Sans Light;sans-serif" w:hAnsi="Adelle Sans Light;sans-serif"/>
          <w:b w:val="false"/>
          <w:color w:val="000000"/>
          <w:sz w:val="20"/>
        </w:rPr>
      </w:pPr>
      <w:r>
        <w:rPr>
          <w:rFonts w:ascii="Adelle Sans Light;sans-serif" w:hAnsi="Adelle Sans Light;sans-serif"/>
          <w:b w:val="false"/>
          <w:color w:val="000000"/>
          <w:sz w:val="20"/>
        </w:rPr>
        <w:t>represent revenues recognized in the scope of ASC 606, Revenue from Contracts with Customers (June 30, 2025 - $62 million and $119 million).</w:t>
      </w:r>
    </w:p>
    <w:p>
      <w:pPr>
        <w:pStyle w:val="TextBody"/>
        <w:bidi w:val="0"/>
        <w:spacing w:lineRule="auto" w:line="288" w:before="0" w:after="200"/>
        <w:jc w:val="both"/>
        <w:rPr>
          <w:rFonts w:ascii="Adelle Sans Light;sans-serif" w:hAnsi="Adelle Sans Light;sans-serif"/>
          <w:b w:val="false"/>
          <w:color w:val="000000"/>
          <w:sz w:val="20"/>
        </w:rPr>
      </w:pPr>
      <w:r>
        <w:rPr>
          <w:rFonts w:ascii="Adelle Sans Light;sans-serif" w:hAnsi="Adelle Sans Light;sans-serif"/>
          <w:b w:val="false"/>
          <w:color w:val="000000"/>
          <w:sz w:val="20"/>
        </w:rPr>
        <w:t>The following table summarizes the activities of the Company’s allowance for credit losses related to uncollectible loans and merchant cash advances receivable for the three and six months ended June 30, 2026 and 2025:</w:t>
      </w:r>
    </w:p>
    <w:tbl>
      <w:tblPr>
        <w:tblW w:w="10205" w:type="dxa"/>
        <w:jc w:val="left"/>
        <w:tblInd w:w="0" w:type="dxa"/>
        <w:tblLayout w:type="fixed"/>
        <w:tblCellMar>
          <w:top w:w="28" w:type="dxa"/>
          <w:left w:w="28" w:type="dxa"/>
          <w:bottom w:w="28" w:type="dxa"/>
          <w:right w:w="28" w:type="dxa"/>
        </w:tblCellMar>
      </w:tblPr>
      <w:tblGrid>
        <w:gridCol w:w="1847"/>
        <w:gridCol w:w="1544"/>
        <w:gridCol w:w="1553"/>
        <w:gridCol w:w="346"/>
        <w:gridCol w:w="236"/>
        <w:gridCol w:w="225"/>
        <w:gridCol w:w="225"/>
        <w:gridCol w:w="225"/>
        <w:gridCol w:w="225"/>
        <w:gridCol w:w="346"/>
        <w:gridCol w:w="236"/>
        <w:gridCol w:w="225"/>
        <w:gridCol w:w="109"/>
        <w:gridCol w:w="109"/>
        <w:gridCol w:w="109"/>
        <w:gridCol w:w="316"/>
        <w:gridCol w:w="237"/>
        <w:gridCol w:w="210"/>
        <w:gridCol w:w="210"/>
        <w:gridCol w:w="210"/>
        <w:gridCol w:w="210"/>
        <w:gridCol w:w="316"/>
        <w:gridCol w:w="237"/>
        <w:gridCol w:w="210"/>
        <w:gridCol w:w="109"/>
        <w:gridCol w:w="109"/>
        <w:gridCol w:w="109"/>
        <w:gridCol w:w="162"/>
      </w:tblGrid>
      <w:tr>
        <w:trPr/>
        <w:tc>
          <w:tcPr>
            <w:tcW w:w="1847" w:type="dxa"/>
            <w:tcBorders/>
            <w:vAlign w:val="center"/>
          </w:tcPr>
          <w:p>
            <w:pPr>
              <w:pStyle w:val="TableContents"/>
              <w:bidi w:val="0"/>
              <w:spacing w:before="0" w:after="283"/>
              <w:jc w:val="left"/>
              <w:rPr>
                <w:sz w:val="4"/>
                <w:szCs w:val="4"/>
              </w:rPr>
            </w:pPr>
            <w:r>
              <w:rPr>
                <w:sz w:val="4"/>
                <w:szCs w:val="4"/>
              </w:rPr>
            </w:r>
          </w:p>
        </w:tc>
        <w:tc>
          <w:tcPr>
            <w:tcW w:w="1544" w:type="dxa"/>
            <w:tcBorders/>
            <w:vAlign w:val="center"/>
          </w:tcPr>
          <w:p>
            <w:pPr>
              <w:pStyle w:val="TableContents"/>
              <w:bidi w:val="0"/>
              <w:spacing w:before="0" w:after="283"/>
              <w:jc w:val="left"/>
              <w:rPr>
                <w:sz w:val="4"/>
                <w:szCs w:val="4"/>
              </w:rPr>
            </w:pPr>
            <w:r>
              <w:rPr>
                <w:sz w:val="4"/>
                <w:szCs w:val="4"/>
              </w:rPr>
            </w:r>
          </w:p>
        </w:tc>
        <w:tc>
          <w:tcPr>
            <w:tcW w:w="1553"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9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delle Sans;sans-serif" w:hAnsi="Adelle Sans;sans-serif"/>
                <w:b/>
                <w:color w:val="000000"/>
                <w:sz w:val="18"/>
              </w:rPr>
            </w:pPr>
            <w:r>
              <w:rPr>
                <w:rFonts w:ascii="Adelle Sans;sans-serif" w:hAnsi="Adelle Sans;sans-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delle Sans;sans-serif" w:hAnsi="Adelle Sans;sans-serif"/>
                <w:b/>
                <w:color w:val="000000"/>
                <w:sz w:val="18"/>
              </w:rPr>
            </w:pPr>
            <w:r>
              <w:rPr>
                <w:rFonts w:ascii="Adelle Sans;sans-serif" w:hAnsi="Adelle Sans;sans-serif"/>
                <w:b/>
                <w:color w:val="000000"/>
                <w:sz w:val="18"/>
              </w:rPr>
              <w:t>Six months ended June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1" w:type="dxa"/>
            <w:gridSpan w:val="2"/>
            <w:tcBorders/>
          </w:tcPr>
          <w:p>
            <w:pPr>
              <w:pStyle w:val="TableContents"/>
              <w:bidi w:val="0"/>
              <w:spacing w:before="0" w:after="283"/>
              <w:jc w:val="left"/>
              <w:rPr>
                <w:sz w:val="4"/>
                <w:szCs w:val="4"/>
              </w:rPr>
            </w:pPr>
            <w:r>
              <w:rPr>
                <w:sz w:val="4"/>
                <w:szCs w:val="4"/>
              </w:rPr>
            </w:r>
          </w:p>
        </w:tc>
      </w:tr>
      <w:tr>
        <w:trPr/>
        <w:tc>
          <w:tcPr>
            <w:tcW w:w="49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delle Sans;sans-serif" w:hAnsi="Adelle Sans;sans-serif"/>
                <w:b/>
                <w:color w:val="000000"/>
                <w:sz w:val="18"/>
              </w:rPr>
            </w:pPr>
            <w:r>
              <w:rPr>
                <w:rFonts w:ascii="Adelle Sans;sans-serif" w:hAnsi="Adelle Sans;sans-serif"/>
                <w:b/>
                <w:color w:val="000000"/>
                <w:sz w:val="18"/>
              </w:rPr>
              <w:t>2026</w:t>
            </w:r>
          </w:p>
        </w:tc>
        <w:tc>
          <w:tcPr>
            <w:tcW w:w="6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delle Sans;sans-serif" w:hAnsi="Adelle Sans;sans-serif"/>
                <w:b/>
                <w:color w:val="000000"/>
                <w:sz w:val="18"/>
              </w:rPr>
            </w:pPr>
            <w:r>
              <w:rPr>
                <w:rFonts w:ascii="Adelle Sans;sans-serif" w:hAnsi="Adelle Sans;sans-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delle Sans;sans-serif" w:hAnsi="Adelle Sans;sans-serif"/>
                <w:b/>
                <w:color w:val="000000"/>
                <w:sz w:val="18"/>
              </w:rPr>
            </w:pPr>
            <w:r>
              <w:rPr>
                <w:rFonts w:ascii="Adelle Sans;sans-serif" w:hAnsi="Adelle Sans;sans-serif"/>
                <w:b/>
                <w:color w:val="000000"/>
                <w:sz w:val="18"/>
              </w:rPr>
              <w:t>2026</w:t>
            </w:r>
          </w:p>
        </w:tc>
        <w:tc>
          <w:tcPr>
            <w:tcW w:w="6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delle Sans;sans-serif" w:hAnsi="Adelle Sans;sans-serif"/>
                <w:b/>
                <w:color w:val="000000"/>
                <w:sz w:val="18"/>
              </w:rPr>
            </w:pPr>
            <w:r>
              <w:rPr>
                <w:rFonts w:ascii="Adelle Sans;sans-serif" w:hAnsi="Adelle Sans;sans-serif"/>
                <w:b/>
                <w:color w:val="000000"/>
                <w:sz w:val="18"/>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944" w:type="dxa"/>
            <w:gridSpan w:val="3"/>
            <w:tcBorders/>
            <w:vAlign w:val="center"/>
          </w:tcPr>
          <w:p>
            <w:pPr>
              <w:pStyle w:val="TableContents"/>
              <w:bidi w:val="0"/>
              <w:spacing w:before="0" w:after="283"/>
              <w:jc w:val="left"/>
              <w:rPr>
                <w:sz w:val="4"/>
                <w:szCs w:val="4"/>
              </w:rPr>
            </w:pPr>
            <w:r>
              <w:rPr>
                <w:sz w:val="4"/>
                <w:szCs w:val="4"/>
              </w:rPr>
            </w:r>
          </w:p>
        </w:tc>
        <w:tc>
          <w:tcPr>
            <w:tcW w:w="807" w:type="dxa"/>
            <w:gridSpan w:val="3"/>
            <w:tcBorders/>
            <w:vAlign w:val="center"/>
          </w:tcPr>
          <w:p>
            <w:pPr>
              <w:pStyle w:val="TableContents"/>
              <w:bidi w:val="0"/>
              <w:spacing w:before="0" w:after="283"/>
              <w:jc w:val="left"/>
              <w:rPr>
                <w:sz w:val="4"/>
                <w:szCs w:val="4"/>
              </w:rPr>
            </w:pPr>
            <w:r>
              <w:rPr>
                <w:sz w:val="4"/>
                <w:szCs w:val="4"/>
              </w:rPr>
            </w:r>
          </w:p>
        </w:tc>
        <w:tc>
          <w:tcPr>
            <w:tcW w:w="675" w:type="dxa"/>
            <w:gridSpan w:val="3"/>
            <w:tcBorders/>
            <w:vAlign w:val="center"/>
          </w:tcPr>
          <w:p>
            <w:pPr>
              <w:pStyle w:val="TableContents"/>
              <w:bidi w:val="0"/>
              <w:spacing w:before="0" w:after="283"/>
              <w:jc w:val="left"/>
              <w:rPr>
                <w:sz w:val="4"/>
                <w:szCs w:val="4"/>
              </w:rPr>
            </w:pPr>
            <w:r>
              <w:rPr>
                <w:sz w:val="4"/>
                <w:szCs w:val="4"/>
              </w:rPr>
            </w:r>
          </w:p>
        </w:tc>
        <w:tc>
          <w:tcPr>
            <w:tcW w:w="8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3" w:type="dxa"/>
            <w:gridSpan w:val="3"/>
            <w:tcBorders/>
            <w:vAlign w:val="center"/>
          </w:tcPr>
          <w:p>
            <w:pPr>
              <w:pStyle w:val="TableContents"/>
              <w:bidi w:val="0"/>
              <w:spacing w:before="0" w:after="283"/>
              <w:jc w:val="left"/>
              <w:rPr>
                <w:sz w:val="4"/>
                <w:szCs w:val="4"/>
              </w:rPr>
            </w:pPr>
            <w:r>
              <w:rPr>
                <w:sz w:val="4"/>
                <w:szCs w:val="4"/>
              </w:rPr>
            </w:r>
          </w:p>
        </w:tc>
        <w:tc>
          <w:tcPr>
            <w:tcW w:w="630" w:type="dxa"/>
            <w:gridSpan w:val="3"/>
            <w:tcBorders/>
            <w:vAlign w:val="center"/>
          </w:tcPr>
          <w:p>
            <w:pPr>
              <w:pStyle w:val="TableContents"/>
              <w:bidi w:val="0"/>
              <w:spacing w:before="0" w:after="283"/>
              <w:jc w:val="left"/>
              <w:rPr>
                <w:sz w:val="4"/>
                <w:szCs w:val="4"/>
              </w:rPr>
            </w:pPr>
            <w:r>
              <w:rPr>
                <w:sz w:val="4"/>
                <w:szCs w:val="4"/>
              </w:rPr>
            </w:r>
          </w:p>
        </w:tc>
        <w:tc>
          <w:tcPr>
            <w:tcW w:w="76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94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2" w:type="dxa"/>
            <w:gridSpan w:val="21"/>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Adelle Sans;sans-serif" w:hAnsi="Adelle Sans;sans-serif"/>
                <w:b w:val="false"/>
                <w:color w:val="000000"/>
                <w:sz w:val="18"/>
              </w:rPr>
            </w:pPr>
            <w:r>
              <w:rPr>
                <w:rFonts w:ascii="Adelle Sans;sans-serif" w:hAnsi="Adelle Sans;sans-serif"/>
                <w:b w:val="false"/>
                <w:color w:val="000000"/>
                <w:sz w:val="18"/>
              </w:rPr>
              <w:t>(in US $ millions)</w:t>
            </w:r>
          </w:p>
        </w:tc>
        <w:tc>
          <w:tcPr>
            <w:tcW w:w="489" w:type="dxa"/>
            <w:gridSpan w:val="4"/>
            <w:tcBorders/>
          </w:tcPr>
          <w:p>
            <w:pPr>
              <w:pStyle w:val="TableContents"/>
              <w:bidi w:val="0"/>
              <w:spacing w:before="0" w:after="283"/>
              <w:jc w:val="left"/>
              <w:rPr>
                <w:sz w:val="4"/>
                <w:szCs w:val="4"/>
              </w:rPr>
            </w:pPr>
            <w:r>
              <w:rPr>
                <w:sz w:val="4"/>
                <w:szCs w:val="4"/>
              </w:rPr>
            </w:r>
          </w:p>
        </w:tc>
      </w:tr>
      <w:tr>
        <w:trPr/>
        <w:tc>
          <w:tcPr>
            <w:tcW w:w="4944" w:type="dxa"/>
            <w:gridSpan w:val="3"/>
            <w:tcBorders/>
            <w:shd w:fill="F7F7F7" w:val="clear"/>
            <w:tcMar>
              <w:top w:w="0" w:type="dxa"/>
              <w:left w:w="0" w:type="dxa"/>
              <w:bottom w:w="0" w:type="dxa"/>
              <w:right w:w="0" w:type="dxa"/>
            </w:tcMar>
            <w:vAlign w:val="center"/>
          </w:tcPr>
          <w:p>
            <w:pPr>
              <w:pStyle w:val="TableContents"/>
              <w:bidi w:val="0"/>
              <w:spacing w:lineRule="auto" w:line="240" w:before="0" w:after="283"/>
              <w:jc w:val="left"/>
              <w:rPr>
                <w:rFonts w:ascii="Adelle Sans;sans-serif" w:hAnsi="Adelle Sans;sans-serif"/>
                <w:b w:val="false"/>
                <w:color w:val="000000"/>
                <w:sz w:val="18"/>
              </w:rPr>
            </w:pPr>
            <w:r>
              <w:rPr>
                <w:rFonts w:ascii="Adelle Sans;sans-serif" w:hAnsi="Adelle Sans;sans-serif"/>
                <w:b w:val="false"/>
                <w:color w:val="000000"/>
                <w:sz w:val="18"/>
              </w:rPr>
              <w:t>Allowance, beginning of the period</w:t>
            </w:r>
          </w:p>
        </w:tc>
        <w:tc>
          <w:tcPr>
            <w:tcW w:w="807" w:type="dxa"/>
            <w:gridSpan w:val="3"/>
            <w:tcBorders>
              <w:top w:val="single" w:sz="8" w:space="0" w:color="000000"/>
            </w:tcBorders>
            <w:shd w:fill="F7F7F7" w:val="clear"/>
            <w:tcMar>
              <w:top w:w="52"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220</w:t>
            </w:r>
          </w:p>
        </w:tc>
        <w:tc>
          <w:tcPr>
            <w:tcW w:w="675"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3"/>
            <w:tcBorders>
              <w:top w:val="single" w:sz="8" w:space="0" w:color="000000"/>
            </w:tcBorders>
            <w:shd w:fill="F7F7F7" w:val="clear"/>
            <w:tcMar>
              <w:top w:w="52"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162</w:t>
            </w:r>
          </w:p>
        </w:tc>
        <w:tc>
          <w:tcPr>
            <w:tcW w:w="327" w:type="dxa"/>
            <w:gridSpan w:val="3"/>
            <w:tcBorders>
              <w:top w:val="single" w:sz="8" w:space="0" w:color="000000"/>
            </w:tcBorders>
            <w:shd w:fill="F7F7F7"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3" w:type="dxa"/>
            <w:gridSpan w:val="3"/>
            <w:tcBorders>
              <w:top w:val="single" w:sz="8" w:space="0" w:color="000000"/>
            </w:tcBorders>
            <w:shd w:fill="F7F7F7" w:val="clear"/>
            <w:tcMar>
              <w:top w:w="52"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195</w:t>
            </w:r>
          </w:p>
        </w:tc>
        <w:tc>
          <w:tcPr>
            <w:tcW w:w="630"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3" w:type="dxa"/>
            <w:gridSpan w:val="3"/>
            <w:tcBorders>
              <w:top w:val="single" w:sz="8" w:space="0" w:color="000000"/>
            </w:tcBorders>
            <w:shd w:fill="F7F7F7" w:val="clear"/>
            <w:tcMar>
              <w:top w:w="52"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141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9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delle Sans;sans-serif" w:hAnsi="Adelle Sans;sans-serif"/>
                <w:b w:val="false"/>
                <w:color w:val="000000"/>
                <w:sz w:val="18"/>
              </w:rPr>
            </w:pPr>
            <w:r>
              <w:rPr>
                <w:rFonts w:ascii="Adelle Sans;sans-serif" w:hAnsi="Adelle Sans;sans-serif"/>
                <w:b w:val="false"/>
                <w:color w:val="000000"/>
                <w:sz w:val="18"/>
              </w:rPr>
              <w:t>Provision for credit losses related to uncollectible loans and merchant cash advances receivable</w:t>
            </w:r>
          </w:p>
        </w:tc>
        <w:tc>
          <w:tcPr>
            <w:tcW w:w="8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81</w:t>
            </w:r>
          </w:p>
        </w:tc>
        <w:tc>
          <w:tcPr>
            <w:tcW w:w="6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42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154</w:t>
            </w:r>
          </w:p>
        </w:tc>
        <w:tc>
          <w:tcPr>
            <w:tcW w:w="6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88</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944" w:type="dxa"/>
            <w:gridSpan w:val="3"/>
            <w:tcBorders/>
            <w:shd w:fill="F7F7F7" w:val="clear"/>
            <w:tcMar>
              <w:top w:w="0" w:type="dxa"/>
              <w:left w:w="0" w:type="dxa"/>
              <w:bottom w:w="0" w:type="dxa"/>
              <w:right w:w="0" w:type="dxa"/>
            </w:tcMar>
            <w:vAlign w:val="center"/>
          </w:tcPr>
          <w:p>
            <w:pPr>
              <w:pStyle w:val="TableContents"/>
              <w:bidi w:val="0"/>
              <w:spacing w:lineRule="auto" w:line="240" w:before="0" w:after="283"/>
              <w:jc w:val="left"/>
              <w:rPr>
                <w:rFonts w:ascii="Adelle Sans;sans-serif" w:hAnsi="Adelle Sans;sans-serif"/>
                <w:b w:val="false"/>
                <w:color w:val="000000"/>
                <w:sz w:val="18"/>
              </w:rPr>
            </w:pPr>
            <w:r>
              <w:rPr>
                <w:rFonts w:ascii="Adelle Sans;sans-serif" w:hAnsi="Adelle Sans;sans-serif"/>
                <w:b w:val="false"/>
                <w:color w:val="000000"/>
                <w:sz w:val="18"/>
              </w:rPr>
              <w:t>Loans and merchant cash advances receivable charged off, net of recoveries</w:t>
            </w:r>
          </w:p>
        </w:tc>
        <w:tc>
          <w:tcPr>
            <w:tcW w:w="807" w:type="dxa"/>
            <w:gridSpan w:val="3"/>
            <w:tcBorders/>
            <w:shd w:fill="F7F7F7"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(59)</w:t>
            </w:r>
          </w:p>
        </w:tc>
        <w:tc>
          <w:tcPr>
            <w:tcW w:w="675"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3"/>
            <w:tcBorders/>
            <w:shd w:fill="F7F7F7"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(35)</w:t>
            </w:r>
          </w:p>
        </w:tc>
        <w:tc>
          <w:tcPr>
            <w:tcW w:w="327"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3" w:type="dxa"/>
            <w:gridSpan w:val="3"/>
            <w:tcBorders/>
            <w:shd w:fill="F7F7F7"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(107)</w:t>
            </w:r>
          </w:p>
        </w:tc>
        <w:tc>
          <w:tcPr>
            <w:tcW w:w="630"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3" w:type="dxa"/>
            <w:gridSpan w:val="3"/>
            <w:tcBorders/>
            <w:shd w:fill="F7F7F7"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(60)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9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delle Sans;sans-serif" w:hAnsi="Adelle Sans;sans-serif"/>
                <w:b w:val="false"/>
                <w:color w:val="000000"/>
                <w:sz w:val="18"/>
              </w:rPr>
            </w:pPr>
            <w:r>
              <w:rPr>
                <w:rFonts w:ascii="Adelle Sans;sans-serif" w:hAnsi="Adelle Sans;sans-serif"/>
                <w:b w:val="false"/>
                <w:color w:val="000000"/>
                <w:sz w:val="18"/>
              </w:rPr>
              <w:t>Allowance, end of the period</w:t>
            </w:r>
          </w:p>
        </w:tc>
        <w:tc>
          <w:tcPr>
            <w:tcW w:w="807" w:type="dxa"/>
            <w:gridSpan w:val="3"/>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242</w:t>
            </w:r>
          </w:p>
        </w:tc>
        <w:tc>
          <w:tcPr>
            <w:tcW w:w="675"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807" w:type="dxa"/>
            <w:gridSpan w:val="3"/>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169</w:t>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763" w:type="dxa"/>
            <w:gridSpan w:val="3"/>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242</w:t>
            </w:r>
          </w:p>
        </w:tc>
        <w:tc>
          <w:tcPr>
            <w:tcW w:w="630"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763" w:type="dxa"/>
            <w:gridSpan w:val="3"/>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169</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944" w:type="dxa"/>
            <w:gridSpan w:val="3"/>
            <w:tcBorders/>
            <w:vAlign w:val="center"/>
          </w:tcPr>
          <w:p>
            <w:pPr>
              <w:pStyle w:val="TableContents"/>
              <w:bidi w:val="0"/>
              <w:spacing w:before="0" w:after="283"/>
              <w:jc w:val="left"/>
              <w:rPr>
                <w:sz w:val="4"/>
                <w:szCs w:val="4"/>
              </w:rPr>
            </w:pPr>
            <w:r>
              <w:rPr>
                <w:sz w:val="4"/>
                <w:szCs w:val="4"/>
              </w:rPr>
            </w:r>
          </w:p>
        </w:tc>
        <w:tc>
          <w:tcPr>
            <w:tcW w:w="807" w:type="dxa"/>
            <w:gridSpan w:val="3"/>
            <w:tcBorders/>
            <w:vAlign w:val="center"/>
          </w:tcPr>
          <w:p>
            <w:pPr>
              <w:pStyle w:val="TableContents"/>
              <w:bidi w:val="0"/>
              <w:spacing w:before="0" w:after="283"/>
              <w:jc w:val="left"/>
              <w:rPr>
                <w:sz w:val="4"/>
                <w:szCs w:val="4"/>
              </w:rPr>
            </w:pPr>
            <w:r>
              <w:rPr>
                <w:sz w:val="4"/>
                <w:szCs w:val="4"/>
              </w:rPr>
            </w:r>
          </w:p>
        </w:tc>
        <w:tc>
          <w:tcPr>
            <w:tcW w:w="675" w:type="dxa"/>
            <w:gridSpan w:val="3"/>
            <w:tcBorders/>
            <w:vAlign w:val="center"/>
          </w:tcPr>
          <w:p>
            <w:pPr>
              <w:pStyle w:val="TableContents"/>
              <w:bidi w:val="0"/>
              <w:spacing w:before="0" w:after="283"/>
              <w:jc w:val="left"/>
              <w:rPr>
                <w:sz w:val="4"/>
                <w:szCs w:val="4"/>
              </w:rPr>
            </w:pPr>
            <w:r>
              <w:rPr>
                <w:sz w:val="4"/>
                <w:szCs w:val="4"/>
              </w:rPr>
            </w:r>
          </w:p>
        </w:tc>
        <w:tc>
          <w:tcPr>
            <w:tcW w:w="8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3" w:type="dxa"/>
            <w:gridSpan w:val="3"/>
            <w:tcBorders/>
            <w:vAlign w:val="center"/>
          </w:tcPr>
          <w:p>
            <w:pPr>
              <w:pStyle w:val="TableContents"/>
              <w:bidi w:val="0"/>
              <w:spacing w:before="0" w:after="283"/>
              <w:jc w:val="left"/>
              <w:rPr>
                <w:sz w:val="4"/>
                <w:szCs w:val="4"/>
              </w:rPr>
            </w:pPr>
            <w:r>
              <w:rPr>
                <w:sz w:val="4"/>
                <w:szCs w:val="4"/>
              </w:rPr>
            </w:r>
          </w:p>
        </w:tc>
        <w:tc>
          <w:tcPr>
            <w:tcW w:w="630" w:type="dxa"/>
            <w:gridSpan w:val="3"/>
            <w:tcBorders/>
            <w:vAlign w:val="center"/>
          </w:tcPr>
          <w:p>
            <w:pPr>
              <w:pStyle w:val="TableContents"/>
              <w:bidi w:val="0"/>
              <w:spacing w:before="0" w:after="283"/>
              <w:jc w:val="left"/>
              <w:rPr>
                <w:sz w:val="4"/>
                <w:szCs w:val="4"/>
              </w:rPr>
            </w:pPr>
            <w:r>
              <w:rPr>
                <w:sz w:val="4"/>
                <w:szCs w:val="4"/>
              </w:rPr>
            </w:r>
          </w:p>
        </w:tc>
        <w:tc>
          <w:tcPr>
            <w:tcW w:w="76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944" w:type="dxa"/>
            <w:gridSpan w:val="3"/>
            <w:tcBorders/>
            <w:vAlign w:val="center"/>
          </w:tcPr>
          <w:p>
            <w:pPr>
              <w:pStyle w:val="TableContents"/>
              <w:bidi w:val="0"/>
              <w:spacing w:before="0" w:after="283"/>
              <w:jc w:val="left"/>
              <w:rPr>
                <w:sz w:val="4"/>
                <w:szCs w:val="4"/>
              </w:rPr>
            </w:pPr>
            <w:r>
              <w:rPr>
                <w:sz w:val="4"/>
                <w:szCs w:val="4"/>
              </w:rPr>
            </w:r>
          </w:p>
        </w:tc>
        <w:tc>
          <w:tcPr>
            <w:tcW w:w="807" w:type="dxa"/>
            <w:gridSpan w:val="3"/>
            <w:tcBorders/>
            <w:vAlign w:val="center"/>
          </w:tcPr>
          <w:p>
            <w:pPr>
              <w:pStyle w:val="TableContents"/>
              <w:bidi w:val="0"/>
              <w:spacing w:before="0" w:after="283"/>
              <w:jc w:val="left"/>
              <w:rPr>
                <w:sz w:val="4"/>
                <w:szCs w:val="4"/>
              </w:rPr>
            </w:pPr>
            <w:r>
              <w:rPr>
                <w:sz w:val="4"/>
                <w:szCs w:val="4"/>
              </w:rPr>
            </w:r>
          </w:p>
        </w:tc>
        <w:tc>
          <w:tcPr>
            <w:tcW w:w="675" w:type="dxa"/>
            <w:gridSpan w:val="3"/>
            <w:tcBorders/>
            <w:vAlign w:val="center"/>
          </w:tcPr>
          <w:p>
            <w:pPr>
              <w:pStyle w:val="TableContents"/>
              <w:bidi w:val="0"/>
              <w:spacing w:before="0" w:after="283"/>
              <w:jc w:val="left"/>
              <w:rPr>
                <w:sz w:val="4"/>
                <w:szCs w:val="4"/>
              </w:rPr>
            </w:pPr>
            <w:r>
              <w:rPr>
                <w:sz w:val="4"/>
                <w:szCs w:val="4"/>
              </w:rPr>
            </w:r>
          </w:p>
        </w:tc>
        <w:tc>
          <w:tcPr>
            <w:tcW w:w="8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3" w:type="dxa"/>
            <w:gridSpan w:val="3"/>
            <w:tcBorders/>
            <w:vAlign w:val="center"/>
          </w:tcPr>
          <w:p>
            <w:pPr>
              <w:pStyle w:val="TableContents"/>
              <w:bidi w:val="0"/>
              <w:spacing w:before="0" w:after="283"/>
              <w:jc w:val="left"/>
              <w:rPr>
                <w:sz w:val="4"/>
                <w:szCs w:val="4"/>
              </w:rPr>
            </w:pPr>
            <w:r>
              <w:rPr>
                <w:sz w:val="4"/>
                <w:szCs w:val="4"/>
              </w:rPr>
            </w:r>
          </w:p>
        </w:tc>
        <w:tc>
          <w:tcPr>
            <w:tcW w:w="630" w:type="dxa"/>
            <w:gridSpan w:val="3"/>
            <w:tcBorders/>
            <w:vAlign w:val="center"/>
          </w:tcPr>
          <w:p>
            <w:pPr>
              <w:pStyle w:val="TableContents"/>
              <w:bidi w:val="0"/>
              <w:spacing w:before="0" w:after="283"/>
              <w:jc w:val="left"/>
              <w:rPr>
                <w:sz w:val="4"/>
                <w:szCs w:val="4"/>
              </w:rPr>
            </w:pPr>
            <w:r>
              <w:rPr>
                <w:sz w:val="4"/>
                <w:szCs w:val="4"/>
              </w:rPr>
            </w:r>
          </w:p>
        </w:tc>
        <w:tc>
          <w:tcPr>
            <w:tcW w:w="76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jc w:val="both"/>
        <w:rPr>
          <w:rFonts w:ascii="Adelle Sans Light;sans-serif" w:hAnsi="Adelle Sans Light;sans-serif"/>
          <w:b w:val="false"/>
          <w:color w:val="000000"/>
          <w:sz w:val="20"/>
        </w:rPr>
      </w:pPr>
      <w:r>
        <w:rPr>
          <w:rFonts w:ascii="Adelle Sans Light;sans-serif" w:hAnsi="Adelle Sans Light;sans-serif"/>
          <w:b w:val="false"/>
          <w:color w:val="000000"/>
          <w:sz w:val="20"/>
        </w:rPr>
        <w:t>The following table presents the delinquency status of the gross amount of loans and merchant cash advances by year of origination. The delinquency status is determined based on the number of days past the contractual or expected repayment date for which the Company anticipates to receive the amounts outstanding. The "current" category represents balances that are anticipated to be repaid within 29 days of the contractual repayment dates, or are anticipated to be repaid within 29 days of the expected repayment date.</w:t>
      </w:r>
    </w:p>
    <w:tbl>
      <w:tblPr>
        <w:tblW w:w="7136" w:type="dxa"/>
        <w:jc w:val="left"/>
        <w:tblInd w:w="0" w:type="dxa"/>
        <w:tblLayout w:type="fixed"/>
        <w:tblCellMar>
          <w:top w:w="28" w:type="dxa"/>
          <w:left w:w="28" w:type="dxa"/>
          <w:bottom w:w="28" w:type="dxa"/>
          <w:right w:w="28" w:type="dxa"/>
        </w:tblCellMar>
      </w:tblPr>
      <w:tblGrid>
        <w:gridCol w:w="462"/>
        <w:gridCol w:w="405"/>
        <w:gridCol w:w="407"/>
        <w:gridCol w:w="353"/>
        <w:gridCol w:w="353"/>
        <w:gridCol w:w="196"/>
        <w:gridCol w:w="134"/>
        <w:gridCol w:w="134"/>
        <w:gridCol w:w="134"/>
        <w:gridCol w:w="263"/>
        <w:gridCol w:w="263"/>
        <w:gridCol w:w="196"/>
        <w:gridCol w:w="134"/>
        <w:gridCol w:w="134"/>
        <w:gridCol w:w="134"/>
        <w:gridCol w:w="203"/>
        <w:gridCol w:w="203"/>
        <w:gridCol w:w="196"/>
        <w:gridCol w:w="109"/>
        <w:gridCol w:w="109"/>
        <w:gridCol w:w="109"/>
        <w:gridCol w:w="353"/>
        <w:gridCol w:w="353"/>
        <w:gridCol w:w="206"/>
        <w:gridCol w:w="109"/>
        <w:gridCol w:w="109"/>
        <w:gridCol w:w="109"/>
        <w:gridCol w:w="353"/>
        <w:gridCol w:w="353"/>
        <w:gridCol w:w="560"/>
      </w:tblGrid>
      <w:tr>
        <w:trPr/>
        <w:tc>
          <w:tcPr>
            <w:tcW w:w="462"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r>
      <w:tr>
        <w:trPr/>
        <w:tc>
          <w:tcPr>
            <w:tcW w:w="12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2"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Adelle Sans;sans-serif" w:hAnsi="Adelle Sans;sans-serif"/>
                <w:b/>
                <w:color w:val="000000"/>
                <w:sz w:val="18"/>
              </w:rPr>
            </w:pPr>
            <w:r>
              <w:rPr>
                <w:rFonts w:ascii="Adelle Sans;sans-serif" w:hAnsi="Adelle Sans;sans-serif"/>
                <w:b/>
                <w:color w:val="000000"/>
                <w:sz w:val="18"/>
              </w:rPr>
              <w:t>June 30, 2026</w:t>
            </w:r>
          </w:p>
        </w:tc>
      </w:tr>
      <w:tr>
        <w:trPr/>
        <w:tc>
          <w:tcPr>
            <w:tcW w:w="12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0" w:type="dxa"/>
            <w:gridSpan w:val="15"/>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delle Sans;sans-serif" w:hAnsi="Adelle Sans;sans-serif"/>
                <w:b/>
                <w:color w:val="000000"/>
                <w:sz w:val="18"/>
              </w:rPr>
            </w:pPr>
            <w:r>
              <w:rPr>
                <w:rFonts w:ascii="Adelle Sans;sans-serif" w:hAnsi="Adelle Sans;sans-serif"/>
                <w:b/>
                <w:color w:val="000000"/>
                <w:sz w:val="18"/>
              </w:rPr>
              <w:t>Year of origination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Adelle Sans;sans-serif" w:hAnsi="Adelle Sans;sans-serif"/>
                <w:b/>
                <w:color w:val="000000"/>
                <w:sz w:val="18"/>
              </w:rPr>
            </w:pPr>
            <w:r>
              <w:rPr>
                <w:rFonts w:ascii="Adelle Sans;sans-serif" w:hAnsi="Adelle Sans;sans-serif"/>
                <w:b/>
                <w:color w:val="000000"/>
                <w:sz w:val="18"/>
              </w:rPr>
              <w:t>2026</w:t>
            </w:r>
          </w:p>
        </w:tc>
        <w:tc>
          <w:tcPr>
            <w:tcW w:w="402"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Adelle Sans;sans-serif" w:hAnsi="Adelle Sans;sans-serif"/>
                <w:b/>
                <w:color w:val="000000"/>
                <w:sz w:val="18"/>
              </w:rPr>
            </w:pPr>
            <w:r>
              <w:rPr>
                <w:rFonts w:ascii="Adelle Sans;sans-serif" w:hAnsi="Adelle Sans;sans-serif"/>
                <w:b/>
                <w:color w:val="000000"/>
                <w:sz w:val="18"/>
              </w:rPr>
              <w:t>2025</w:t>
            </w:r>
          </w:p>
        </w:tc>
        <w:tc>
          <w:tcPr>
            <w:tcW w:w="402"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602"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Adelle Sans;sans-serif" w:hAnsi="Adelle Sans;sans-serif"/>
                <w:b/>
                <w:color w:val="000000"/>
                <w:sz w:val="18"/>
              </w:rPr>
            </w:pPr>
            <w:r>
              <w:rPr>
                <w:rFonts w:ascii="Adelle Sans;sans-serif" w:hAnsi="Adelle Sans;sans-serif"/>
                <w:b/>
                <w:color w:val="000000"/>
                <w:sz w:val="18"/>
              </w:rPr>
              <w:t>2024</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delle Sans;sans-serif" w:hAnsi="Adelle Sans;sans-serif"/>
                <w:b/>
                <w:color w:val="000000"/>
                <w:sz w:val="18"/>
              </w:rPr>
            </w:pPr>
            <w:r>
              <w:rPr>
                <w:rFonts w:ascii="Adelle Sans;sans-serif" w:hAnsi="Adelle Sans;sans-serif"/>
                <w:b/>
                <w:color w:val="000000"/>
                <w:sz w:val="18"/>
              </w:rPr>
              <w:t>Total</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delle Sans;sans-serif" w:hAnsi="Adelle Sans;sans-serif"/>
                <w:b/>
                <w:color w:val="000000"/>
                <w:sz w:val="18"/>
              </w:rPr>
            </w:pPr>
            <w:r>
              <w:rPr>
                <w:rFonts w:ascii="Adelle Sans;sans-serif" w:hAnsi="Adelle Sans;sans-serif"/>
                <w:b/>
                <w:color w:val="000000"/>
                <w:sz w:val="18"/>
              </w:rPr>
              <w:t>Percent</w:t>
            </w:r>
          </w:p>
        </w:tc>
      </w:tr>
      <w:tr>
        <w:trPr/>
        <w:tc>
          <w:tcPr>
            <w:tcW w:w="127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2" w:type="dxa"/>
            <w:gridSpan w:val="27"/>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delle Sans;sans-serif" w:hAnsi="Adelle Sans;sans-serif"/>
                <w:b w:val="false"/>
                <w:color w:val="000000"/>
                <w:sz w:val="18"/>
              </w:rPr>
            </w:pPr>
            <w:r>
              <w:rPr>
                <w:rFonts w:ascii="Adelle Sans;sans-serif" w:hAnsi="Adelle Sans;sans-serif"/>
                <w:b w:val="false"/>
                <w:color w:val="000000"/>
                <w:sz w:val="18"/>
              </w:rPr>
              <w:t>(in US $ millions)</w:t>
            </w:r>
          </w:p>
        </w:tc>
      </w:tr>
      <w:tr>
        <w:trPr/>
        <w:tc>
          <w:tcPr>
            <w:tcW w:w="1274" w:type="dxa"/>
            <w:gridSpan w:val="3"/>
            <w:tcBorders/>
            <w:shd w:fill="F7F7F7" w:val="clear"/>
            <w:tcMar>
              <w:top w:w="0" w:type="dxa"/>
              <w:left w:w="0" w:type="dxa"/>
              <w:bottom w:w="0" w:type="dxa"/>
              <w:right w:w="0" w:type="dxa"/>
            </w:tcMar>
            <w:vAlign w:val="center"/>
          </w:tcPr>
          <w:p>
            <w:pPr>
              <w:pStyle w:val="TableContents"/>
              <w:bidi w:val="0"/>
              <w:spacing w:lineRule="auto" w:line="240" w:before="0" w:after="283"/>
              <w:jc w:val="left"/>
              <w:rPr>
                <w:rFonts w:ascii="Adelle Sans;sans-serif" w:hAnsi="Adelle Sans;sans-serif"/>
                <w:b w:val="false"/>
                <w:color w:val="000000"/>
                <w:sz w:val="18"/>
              </w:rPr>
            </w:pPr>
            <w:r>
              <w:rPr>
                <w:rFonts w:ascii="Adelle Sans;sans-serif" w:hAnsi="Adelle Sans;sans-serif"/>
                <w:b w:val="false"/>
                <w:color w:val="000000"/>
                <w:sz w:val="18"/>
              </w:rPr>
              <w:t>Current</w:t>
            </w:r>
          </w:p>
        </w:tc>
        <w:tc>
          <w:tcPr>
            <w:tcW w:w="706" w:type="dxa"/>
            <w:gridSpan w:val="2"/>
            <w:tcBorders/>
            <w:shd w:fill="F7F7F7"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1,875 </w:t>
            </w:r>
          </w:p>
        </w:tc>
        <w:tc>
          <w:tcPr>
            <w:tcW w:w="196" w:type="dxa"/>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7F7F7"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337 </w:t>
            </w:r>
          </w:p>
        </w:tc>
        <w:tc>
          <w:tcPr>
            <w:tcW w:w="196" w:type="dxa"/>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7F7F7"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2 </w:t>
            </w:r>
          </w:p>
        </w:tc>
        <w:tc>
          <w:tcPr>
            <w:tcW w:w="196" w:type="dxa"/>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7F7F7"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2,214 </w:t>
            </w:r>
          </w:p>
        </w:tc>
        <w:tc>
          <w:tcPr>
            <w:tcW w:w="206" w:type="dxa"/>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7F7F7"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91.3 </w:t>
            </w:r>
          </w:p>
        </w:tc>
        <w:tc>
          <w:tcPr>
            <w:tcW w:w="560" w:type="dxa"/>
            <w:tcBorders/>
            <w:shd w:fill="F7F7F7"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w:t>
            </w:r>
          </w:p>
        </w:tc>
      </w:tr>
      <w:tr>
        <w:trPr/>
        <w:tc>
          <w:tcPr>
            <w:tcW w:w="12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delle Sans;sans-serif" w:hAnsi="Adelle Sans;sans-serif"/>
                <w:b w:val="false"/>
                <w:color w:val="000000"/>
                <w:sz w:val="18"/>
              </w:rPr>
            </w:pPr>
            <w:r>
              <w:rPr>
                <w:rFonts w:ascii="Adelle Sans;sans-serif" w:hAnsi="Adelle Sans;sans-serif"/>
                <w:b w:val="false"/>
                <w:color w:val="000000"/>
                <w:sz w:val="18"/>
              </w:rPr>
              <w:t>30-89 Days</w:t>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12 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21 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33 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1.4 </w:t>
            </w:r>
          </w:p>
        </w:tc>
        <w:tc>
          <w:tcPr>
            <w:tcW w:w="56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w:t>
            </w:r>
          </w:p>
        </w:tc>
      </w:tr>
      <w:tr>
        <w:trPr/>
        <w:tc>
          <w:tcPr>
            <w:tcW w:w="1274"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402" w:type="dxa"/>
            <w:gridSpan w:val="3"/>
            <w:tcBorders/>
            <w:vAlign w:val="center"/>
          </w:tcPr>
          <w:p>
            <w:pPr>
              <w:pStyle w:val="TableContents"/>
              <w:bidi w:val="0"/>
              <w:spacing w:before="0" w:after="283"/>
              <w:jc w:val="left"/>
              <w:rPr>
                <w:sz w:val="4"/>
                <w:szCs w:val="4"/>
              </w:rPr>
            </w:pPr>
            <w:r>
              <w:rPr>
                <w:sz w:val="4"/>
                <w:szCs w:val="4"/>
              </w:rPr>
            </w:r>
          </w:p>
        </w:tc>
        <w:tc>
          <w:tcPr>
            <w:tcW w:w="722" w:type="dxa"/>
            <w:gridSpan w:val="3"/>
            <w:tcBorders/>
            <w:vAlign w:val="center"/>
          </w:tcPr>
          <w:p>
            <w:pPr>
              <w:pStyle w:val="TableContents"/>
              <w:bidi w:val="0"/>
              <w:spacing w:before="0" w:after="283"/>
              <w:jc w:val="left"/>
              <w:rPr>
                <w:sz w:val="4"/>
                <w:szCs w:val="4"/>
              </w:rPr>
            </w:pPr>
            <w:r>
              <w:rPr>
                <w:sz w:val="4"/>
                <w:szCs w:val="4"/>
              </w:rPr>
            </w:r>
          </w:p>
        </w:tc>
        <w:tc>
          <w:tcPr>
            <w:tcW w:w="402"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r>
      <w:tr>
        <w:trPr/>
        <w:tc>
          <w:tcPr>
            <w:tcW w:w="1274" w:type="dxa"/>
            <w:gridSpan w:val="3"/>
            <w:tcBorders/>
            <w:shd w:fill="F7F7F7" w:val="clear"/>
            <w:tcMar>
              <w:top w:w="0" w:type="dxa"/>
              <w:left w:w="0" w:type="dxa"/>
              <w:bottom w:w="0" w:type="dxa"/>
              <w:right w:w="0" w:type="dxa"/>
            </w:tcMar>
            <w:vAlign w:val="center"/>
          </w:tcPr>
          <w:p>
            <w:pPr>
              <w:pStyle w:val="TableContents"/>
              <w:bidi w:val="0"/>
              <w:spacing w:lineRule="auto" w:line="240" w:before="0" w:after="283"/>
              <w:jc w:val="left"/>
              <w:rPr>
                <w:rFonts w:ascii="Adelle Sans;sans-serif" w:hAnsi="Adelle Sans;sans-serif"/>
                <w:b w:val="false"/>
                <w:color w:val="000000"/>
                <w:sz w:val="18"/>
              </w:rPr>
            </w:pPr>
            <w:r>
              <w:rPr>
                <w:rFonts w:ascii="Adelle Sans;sans-serif" w:hAnsi="Adelle Sans;sans-serif"/>
                <w:b w:val="false"/>
                <w:color w:val="000000"/>
                <w:sz w:val="18"/>
              </w:rPr>
              <w:t>90-179 Days</w:t>
            </w:r>
          </w:p>
        </w:tc>
        <w:tc>
          <w:tcPr>
            <w:tcW w:w="706" w:type="dxa"/>
            <w:gridSpan w:val="2"/>
            <w:tcBorders/>
            <w:shd w:fill="F7F7F7"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14 </w:t>
            </w:r>
          </w:p>
        </w:tc>
        <w:tc>
          <w:tcPr>
            <w:tcW w:w="196" w:type="dxa"/>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7F7F7"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24 </w:t>
            </w:r>
          </w:p>
        </w:tc>
        <w:tc>
          <w:tcPr>
            <w:tcW w:w="196" w:type="dxa"/>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7F7F7"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2 </w:t>
            </w:r>
          </w:p>
        </w:tc>
        <w:tc>
          <w:tcPr>
            <w:tcW w:w="196" w:type="dxa"/>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7F7F7"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40 </w:t>
            </w:r>
          </w:p>
        </w:tc>
        <w:tc>
          <w:tcPr>
            <w:tcW w:w="206" w:type="dxa"/>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7F7F7"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1.6 </w:t>
            </w:r>
          </w:p>
        </w:tc>
        <w:tc>
          <w:tcPr>
            <w:tcW w:w="560" w:type="dxa"/>
            <w:tcBorders/>
            <w:shd w:fill="F7F7F7"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w:t>
            </w:r>
          </w:p>
        </w:tc>
      </w:tr>
      <w:tr>
        <w:trPr/>
        <w:tc>
          <w:tcPr>
            <w:tcW w:w="12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delle Sans;sans-serif" w:hAnsi="Adelle Sans;sans-serif"/>
                <w:b w:val="false"/>
                <w:color w:val="000000"/>
                <w:sz w:val="18"/>
              </w:rPr>
            </w:pPr>
            <w:r>
              <w:rPr>
                <w:rFonts w:ascii="Adelle Sans;sans-serif" w:hAnsi="Adelle Sans;sans-serif"/>
                <w:b w:val="false"/>
                <w:color w:val="000000"/>
                <w:sz w:val="18"/>
              </w:rPr>
              <w:t>180+ Days</w:t>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37 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86 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16 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139 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5.7 </w:t>
            </w:r>
          </w:p>
        </w:tc>
        <w:tc>
          <w:tcPr>
            <w:tcW w:w="56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w:t>
            </w:r>
          </w:p>
        </w:tc>
      </w:tr>
      <w:tr>
        <w:trPr/>
        <w:tc>
          <w:tcPr>
            <w:tcW w:w="1274" w:type="dxa"/>
            <w:gridSpan w:val="3"/>
            <w:tcBorders/>
            <w:shd w:fill="F7F7F7" w:val="clear"/>
            <w:tcMar>
              <w:top w:w="0" w:type="dxa"/>
              <w:left w:w="0" w:type="dxa"/>
              <w:bottom w:w="0" w:type="dxa"/>
              <w:right w:w="0" w:type="dxa"/>
            </w:tcMar>
            <w:vAlign w:val="center"/>
          </w:tcPr>
          <w:p>
            <w:pPr>
              <w:pStyle w:val="TableContents"/>
              <w:bidi w:val="0"/>
              <w:spacing w:lineRule="auto" w:line="240" w:before="0" w:after="283"/>
              <w:jc w:val="left"/>
              <w:rPr>
                <w:rFonts w:ascii="Adelle Sans;sans-serif" w:hAnsi="Adelle Sans;sans-serif"/>
                <w:b w:val="false"/>
                <w:color w:val="000000"/>
                <w:sz w:val="18"/>
              </w:rPr>
            </w:pPr>
            <w:r>
              <w:rPr>
                <w:rFonts w:ascii="Adelle Sans;sans-serif" w:hAnsi="Adelle Sans;sans-serif"/>
                <w:b w:val="false"/>
                <w:color w:val="000000"/>
                <w:sz w:val="18"/>
              </w:rPr>
              <w:t>Total</w:t>
            </w:r>
          </w:p>
        </w:tc>
        <w:tc>
          <w:tcPr>
            <w:tcW w:w="706" w:type="dxa"/>
            <w:gridSpan w:val="2"/>
            <w:tcBorders>
              <w:top w:val="single" w:sz="8" w:space="0" w:color="000000"/>
            </w:tcBorders>
            <w:shd w:fill="F7F7F7" w:val="clear"/>
            <w:tcMar>
              <w:top w:w="52"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1,938 </w:t>
            </w:r>
          </w:p>
        </w:tc>
        <w:tc>
          <w:tcPr>
            <w:tcW w:w="196" w:type="dxa"/>
            <w:tcBorders>
              <w:top w:val="single" w:sz="8" w:space="0" w:color="000000"/>
            </w:tcBorders>
            <w:shd w:fill="F7F7F7"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top w:val="single" w:sz="8" w:space="0" w:color="000000"/>
            </w:tcBorders>
            <w:shd w:fill="F7F7F7"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single" w:sz="8" w:space="0" w:color="000000"/>
            </w:tcBorders>
            <w:shd w:fill="F7F7F7" w:val="clear"/>
            <w:tcMar>
              <w:top w:w="52"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468 </w:t>
            </w:r>
          </w:p>
        </w:tc>
        <w:tc>
          <w:tcPr>
            <w:tcW w:w="196" w:type="dxa"/>
            <w:tcBorders>
              <w:top w:val="single" w:sz="8" w:space="0" w:color="000000"/>
            </w:tcBorders>
            <w:shd w:fill="F7F7F7"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top w:val="single" w:sz="8" w:space="0" w:color="000000"/>
            </w:tcBorders>
            <w:shd w:fill="F7F7F7"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F7F7F7" w:val="clear"/>
            <w:tcMar>
              <w:top w:w="52"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20 </w:t>
            </w:r>
          </w:p>
        </w:tc>
        <w:tc>
          <w:tcPr>
            <w:tcW w:w="196" w:type="dxa"/>
            <w:tcBorders>
              <w:top w:val="single" w:sz="8" w:space="0" w:color="000000"/>
            </w:tcBorders>
            <w:shd w:fill="F7F7F7"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7F7F7"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8" w:space="0" w:color="000000"/>
            </w:tcBorders>
            <w:shd w:fill="F7F7F7" w:val="clear"/>
            <w:tcMar>
              <w:top w:w="52"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2,426 </w:t>
            </w:r>
          </w:p>
        </w:tc>
        <w:tc>
          <w:tcPr>
            <w:tcW w:w="206" w:type="dxa"/>
            <w:tcBorders>
              <w:top w:val="single" w:sz="8" w:space="0" w:color="000000"/>
            </w:tcBorders>
            <w:shd w:fill="F7F7F7"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7F7F7"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8" w:space="0" w:color="000000"/>
            </w:tcBorders>
            <w:shd w:fill="F7F7F7" w:val="clear"/>
            <w:tcMar>
              <w:top w:w="52"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100.0 </w:t>
            </w:r>
          </w:p>
        </w:tc>
        <w:tc>
          <w:tcPr>
            <w:tcW w:w="560" w:type="dxa"/>
            <w:tcBorders>
              <w:top w:val="single" w:sz="8" w:space="0" w:color="000000"/>
            </w:tcBorders>
            <w:shd w:fill="F7F7F7" w:val="clear"/>
            <w:tcMar>
              <w:top w:w="52"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w:t>
            </w:r>
          </w:p>
        </w:tc>
      </w:tr>
    </w:tbl>
    <w:tbl>
      <w:tblPr>
        <w:tblW w:w="6377" w:type="dxa"/>
        <w:jc w:val="left"/>
        <w:tblInd w:w="0" w:type="dxa"/>
        <w:tblLayout w:type="fixed"/>
        <w:tblCellMar>
          <w:top w:w="28" w:type="dxa"/>
          <w:left w:w="28" w:type="dxa"/>
          <w:bottom w:w="28" w:type="dxa"/>
          <w:right w:w="28" w:type="dxa"/>
        </w:tblCellMar>
      </w:tblPr>
      <w:tblGrid>
        <w:gridCol w:w="462"/>
        <w:gridCol w:w="405"/>
        <w:gridCol w:w="407"/>
        <w:gridCol w:w="353"/>
        <w:gridCol w:w="353"/>
        <w:gridCol w:w="222"/>
        <w:gridCol w:w="222"/>
        <w:gridCol w:w="222"/>
        <w:gridCol w:w="222"/>
        <w:gridCol w:w="222"/>
        <w:gridCol w:w="222"/>
        <w:gridCol w:w="233"/>
        <w:gridCol w:w="109"/>
        <w:gridCol w:w="109"/>
        <w:gridCol w:w="109"/>
        <w:gridCol w:w="353"/>
        <w:gridCol w:w="353"/>
        <w:gridCol w:w="206"/>
        <w:gridCol w:w="109"/>
        <w:gridCol w:w="109"/>
        <w:gridCol w:w="109"/>
        <w:gridCol w:w="353"/>
        <w:gridCol w:w="353"/>
        <w:gridCol w:w="560"/>
      </w:tblGrid>
      <w:tr>
        <w:trPr/>
        <w:tc>
          <w:tcPr>
            <w:tcW w:w="462"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r>
      <w:tr>
        <w:trPr/>
        <w:tc>
          <w:tcPr>
            <w:tcW w:w="12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3"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Adelle Sans;sans-serif" w:hAnsi="Adelle Sans;sans-serif"/>
                <w:b/>
                <w:color w:val="000000"/>
                <w:sz w:val="18"/>
              </w:rPr>
            </w:pPr>
            <w:r>
              <w:rPr>
                <w:rFonts w:ascii="Adelle Sans;sans-serif" w:hAnsi="Adelle Sans;sans-serif"/>
                <w:b/>
                <w:color w:val="000000"/>
                <w:sz w:val="18"/>
              </w:rPr>
              <w:t>December 31, 2025</w:t>
            </w:r>
          </w:p>
        </w:tc>
      </w:tr>
      <w:tr>
        <w:trPr/>
        <w:tc>
          <w:tcPr>
            <w:tcW w:w="12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1"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delle Sans;sans-serif" w:hAnsi="Adelle Sans;sans-serif"/>
                <w:b/>
                <w:color w:val="000000"/>
                <w:sz w:val="18"/>
              </w:rPr>
            </w:pPr>
            <w:r>
              <w:rPr>
                <w:rFonts w:ascii="Adelle Sans;sans-serif" w:hAnsi="Adelle Sans;sans-serif"/>
                <w:b/>
                <w:color w:val="000000"/>
                <w:sz w:val="18"/>
              </w:rPr>
              <w:t>Year of origination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delle Sans;sans-serif" w:hAnsi="Adelle Sans;sans-serif"/>
                <w:b/>
                <w:color w:val="000000"/>
                <w:sz w:val="18"/>
              </w:rPr>
            </w:pPr>
            <w:r>
              <w:rPr>
                <w:rFonts w:ascii="Adelle Sans;sans-serif" w:hAnsi="Adelle Sans;sans-serif"/>
                <w:b/>
                <w:color w:val="000000"/>
                <w:sz w:val="18"/>
              </w:rPr>
              <w:t>2025</w:t>
            </w:r>
          </w:p>
        </w:tc>
        <w:tc>
          <w:tcPr>
            <w:tcW w:w="666"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Adelle Sans;sans-serif" w:hAnsi="Adelle Sans;sans-serif"/>
                <w:b/>
                <w:color w:val="000000"/>
                <w:sz w:val="18"/>
              </w:rPr>
            </w:pPr>
            <w:r>
              <w:rPr>
                <w:rFonts w:ascii="Adelle Sans;sans-serif" w:hAnsi="Adelle Sans;sans-serif"/>
                <w:b/>
                <w:color w:val="000000"/>
                <w:sz w:val="18"/>
              </w:rPr>
              <w:t>2024</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delle Sans;sans-serif" w:hAnsi="Adelle Sans;sans-serif"/>
                <w:b/>
                <w:color w:val="000000"/>
                <w:sz w:val="18"/>
              </w:rPr>
            </w:pPr>
            <w:r>
              <w:rPr>
                <w:rFonts w:ascii="Adelle Sans;sans-serif" w:hAnsi="Adelle Sans;sans-serif"/>
                <w:b/>
                <w:color w:val="000000"/>
                <w:sz w:val="18"/>
              </w:rPr>
              <w:t>Total</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delle Sans;sans-serif" w:hAnsi="Adelle Sans;sans-serif"/>
                <w:b/>
                <w:color w:val="000000"/>
                <w:sz w:val="18"/>
              </w:rPr>
            </w:pPr>
            <w:r>
              <w:rPr>
                <w:rFonts w:ascii="Adelle Sans;sans-serif" w:hAnsi="Adelle Sans;sans-serif"/>
                <w:b/>
                <w:color w:val="000000"/>
                <w:sz w:val="18"/>
              </w:rPr>
              <w:t>Percent</w:t>
            </w:r>
          </w:p>
        </w:tc>
      </w:tr>
      <w:tr>
        <w:trPr/>
        <w:tc>
          <w:tcPr>
            <w:tcW w:w="127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3" w:type="dxa"/>
            <w:gridSpan w:val="21"/>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Adelle Sans;sans-serif" w:hAnsi="Adelle Sans;sans-serif"/>
                <w:b w:val="false"/>
                <w:color w:val="000000"/>
                <w:sz w:val="18"/>
              </w:rPr>
            </w:pPr>
            <w:r>
              <w:rPr>
                <w:rFonts w:ascii="Adelle Sans;sans-serif" w:hAnsi="Adelle Sans;sans-serif"/>
                <w:b w:val="false"/>
                <w:color w:val="000000"/>
                <w:sz w:val="18"/>
              </w:rPr>
              <w:t>(in US $ millions)</w:t>
            </w:r>
          </w:p>
        </w:tc>
      </w:tr>
      <w:tr>
        <w:trPr/>
        <w:tc>
          <w:tcPr>
            <w:tcW w:w="1274" w:type="dxa"/>
            <w:gridSpan w:val="3"/>
            <w:tcBorders/>
            <w:shd w:fill="F7F7F7" w:val="clear"/>
            <w:tcMar>
              <w:top w:w="0" w:type="dxa"/>
              <w:left w:w="0" w:type="dxa"/>
              <w:bottom w:w="0" w:type="dxa"/>
              <w:right w:w="0" w:type="dxa"/>
            </w:tcMar>
            <w:vAlign w:val="center"/>
          </w:tcPr>
          <w:p>
            <w:pPr>
              <w:pStyle w:val="TableContents"/>
              <w:bidi w:val="0"/>
              <w:spacing w:lineRule="auto" w:line="240" w:before="0" w:after="283"/>
              <w:jc w:val="left"/>
              <w:rPr>
                <w:rFonts w:ascii="Adelle Sans;sans-serif" w:hAnsi="Adelle Sans;sans-serif"/>
                <w:b w:val="false"/>
                <w:color w:val="000000"/>
                <w:sz w:val="18"/>
              </w:rPr>
            </w:pPr>
            <w:r>
              <w:rPr>
                <w:rFonts w:ascii="Adelle Sans;sans-serif" w:hAnsi="Adelle Sans;sans-serif"/>
                <w:b w:val="false"/>
                <w:color w:val="000000"/>
                <w:sz w:val="18"/>
              </w:rPr>
              <w:t>Current</w:t>
            </w:r>
          </w:p>
        </w:tc>
        <w:tc>
          <w:tcPr>
            <w:tcW w:w="706" w:type="dxa"/>
            <w:gridSpan w:val="2"/>
            <w:tcBorders/>
            <w:shd w:fill="F7F7F7"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1,803 </w:t>
            </w:r>
          </w:p>
        </w:tc>
        <w:tc>
          <w:tcPr>
            <w:tcW w:w="222" w:type="dxa"/>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2"/>
            <w:tcBorders/>
            <w:shd w:fill="F7F7F7"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19 </w:t>
            </w:r>
          </w:p>
        </w:tc>
        <w:tc>
          <w:tcPr>
            <w:tcW w:w="233" w:type="dxa"/>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7F7F7"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1,822 </w:t>
            </w:r>
          </w:p>
        </w:tc>
        <w:tc>
          <w:tcPr>
            <w:tcW w:w="206" w:type="dxa"/>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7F7F7"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92.0 </w:t>
            </w:r>
          </w:p>
        </w:tc>
        <w:tc>
          <w:tcPr>
            <w:tcW w:w="560" w:type="dxa"/>
            <w:tcBorders/>
            <w:shd w:fill="F7F7F7"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w:t>
            </w:r>
          </w:p>
        </w:tc>
      </w:tr>
      <w:tr>
        <w:trPr/>
        <w:tc>
          <w:tcPr>
            <w:tcW w:w="12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delle Sans;sans-serif" w:hAnsi="Adelle Sans;sans-serif"/>
                <w:b w:val="false"/>
                <w:color w:val="000000"/>
                <w:sz w:val="18"/>
              </w:rPr>
            </w:pPr>
            <w:r>
              <w:rPr>
                <w:rFonts w:ascii="Adelle Sans;sans-serif" w:hAnsi="Adelle Sans;sans-serif"/>
                <w:b w:val="false"/>
                <w:color w:val="000000"/>
                <w:sz w:val="18"/>
              </w:rPr>
              <w:t>30-89 Days</w:t>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16 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6 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22 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1.1 </w:t>
            </w:r>
          </w:p>
        </w:tc>
        <w:tc>
          <w:tcPr>
            <w:tcW w:w="56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w:t>
            </w:r>
          </w:p>
        </w:tc>
      </w:tr>
      <w:tr>
        <w:trPr/>
        <w:tc>
          <w:tcPr>
            <w:tcW w:w="1274" w:type="dxa"/>
            <w:gridSpan w:val="3"/>
            <w:tcBorders/>
            <w:shd w:fill="F7F7F7" w:val="clear"/>
            <w:tcMar>
              <w:top w:w="0" w:type="dxa"/>
              <w:left w:w="0" w:type="dxa"/>
              <w:bottom w:w="0" w:type="dxa"/>
              <w:right w:w="0" w:type="dxa"/>
            </w:tcMar>
            <w:vAlign w:val="center"/>
          </w:tcPr>
          <w:p>
            <w:pPr>
              <w:pStyle w:val="TableContents"/>
              <w:bidi w:val="0"/>
              <w:spacing w:lineRule="auto" w:line="240" w:before="0" w:after="283"/>
              <w:jc w:val="left"/>
              <w:rPr>
                <w:rFonts w:ascii="Adelle Sans;sans-serif" w:hAnsi="Adelle Sans;sans-serif"/>
                <w:b w:val="false"/>
                <w:color w:val="000000"/>
                <w:sz w:val="18"/>
              </w:rPr>
            </w:pPr>
            <w:r>
              <w:rPr>
                <w:rFonts w:ascii="Adelle Sans;sans-serif" w:hAnsi="Adelle Sans;sans-serif"/>
                <w:b w:val="false"/>
                <w:color w:val="000000"/>
                <w:sz w:val="18"/>
              </w:rPr>
              <w:t>90-179 Days</w:t>
            </w:r>
          </w:p>
        </w:tc>
        <w:tc>
          <w:tcPr>
            <w:tcW w:w="706" w:type="dxa"/>
            <w:gridSpan w:val="2"/>
            <w:tcBorders/>
            <w:shd w:fill="F7F7F7"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16 </w:t>
            </w:r>
          </w:p>
        </w:tc>
        <w:tc>
          <w:tcPr>
            <w:tcW w:w="222" w:type="dxa"/>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2"/>
            <w:tcBorders/>
            <w:shd w:fill="F7F7F7"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7 </w:t>
            </w:r>
          </w:p>
        </w:tc>
        <w:tc>
          <w:tcPr>
            <w:tcW w:w="233" w:type="dxa"/>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7F7F7"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23 </w:t>
            </w:r>
          </w:p>
        </w:tc>
        <w:tc>
          <w:tcPr>
            <w:tcW w:w="206" w:type="dxa"/>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7F7F7"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1.2 </w:t>
            </w:r>
          </w:p>
        </w:tc>
        <w:tc>
          <w:tcPr>
            <w:tcW w:w="560" w:type="dxa"/>
            <w:tcBorders/>
            <w:shd w:fill="F7F7F7"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w:t>
            </w:r>
          </w:p>
        </w:tc>
      </w:tr>
      <w:tr>
        <w:trPr/>
        <w:tc>
          <w:tcPr>
            <w:tcW w:w="12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delle Sans;sans-serif" w:hAnsi="Adelle Sans;sans-serif"/>
                <w:b w:val="false"/>
                <w:color w:val="000000"/>
                <w:sz w:val="18"/>
              </w:rPr>
            </w:pPr>
            <w:r>
              <w:rPr>
                <w:rFonts w:ascii="Adelle Sans;sans-serif" w:hAnsi="Adelle Sans;sans-serif"/>
                <w:b w:val="false"/>
                <w:color w:val="000000"/>
                <w:sz w:val="18"/>
              </w:rPr>
              <w:t>180+ Days</w:t>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77 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35 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112 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5.7 </w:t>
            </w:r>
          </w:p>
        </w:tc>
        <w:tc>
          <w:tcPr>
            <w:tcW w:w="56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w:t>
            </w:r>
          </w:p>
        </w:tc>
      </w:tr>
      <w:tr>
        <w:trPr/>
        <w:tc>
          <w:tcPr>
            <w:tcW w:w="1274" w:type="dxa"/>
            <w:gridSpan w:val="3"/>
            <w:tcBorders/>
            <w:shd w:fill="F7F7F7" w:val="clear"/>
            <w:tcMar>
              <w:top w:w="0" w:type="dxa"/>
              <w:left w:w="0" w:type="dxa"/>
              <w:bottom w:w="0" w:type="dxa"/>
              <w:right w:w="0" w:type="dxa"/>
            </w:tcMar>
            <w:vAlign w:val="center"/>
          </w:tcPr>
          <w:p>
            <w:pPr>
              <w:pStyle w:val="TableContents"/>
              <w:bidi w:val="0"/>
              <w:spacing w:lineRule="auto" w:line="240" w:before="0" w:after="283"/>
              <w:jc w:val="left"/>
              <w:rPr>
                <w:rFonts w:ascii="Adelle Sans;sans-serif" w:hAnsi="Adelle Sans;sans-serif"/>
                <w:b w:val="false"/>
                <w:color w:val="000000"/>
                <w:sz w:val="18"/>
              </w:rPr>
            </w:pPr>
            <w:r>
              <w:rPr>
                <w:rFonts w:ascii="Adelle Sans;sans-serif" w:hAnsi="Adelle Sans;sans-serif"/>
                <w:b w:val="false"/>
                <w:color w:val="000000"/>
                <w:sz w:val="18"/>
              </w:rPr>
              <w:t>Total</w:t>
            </w:r>
          </w:p>
        </w:tc>
        <w:tc>
          <w:tcPr>
            <w:tcW w:w="706" w:type="dxa"/>
            <w:gridSpan w:val="2"/>
            <w:tcBorders>
              <w:top w:val="single" w:sz="8" w:space="0" w:color="000000"/>
            </w:tcBorders>
            <w:shd w:fill="F7F7F7" w:val="clear"/>
            <w:tcMar>
              <w:top w:w="52"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1,912 </w:t>
            </w:r>
          </w:p>
        </w:tc>
        <w:tc>
          <w:tcPr>
            <w:tcW w:w="222" w:type="dxa"/>
            <w:tcBorders>
              <w:top w:val="single" w:sz="8" w:space="0" w:color="000000"/>
            </w:tcBorders>
            <w:shd w:fill="F7F7F7"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top w:val="single" w:sz="8" w:space="0" w:color="000000"/>
            </w:tcBorders>
            <w:shd w:fill="F7F7F7"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2"/>
            <w:tcBorders>
              <w:top w:val="single" w:sz="8" w:space="0" w:color="000000"/>
            </w:tcBorders>
            <w:shd w:fill="F7F7F7" w:val="clear"/>
            <w:tcMar>
              <w:top w:w="52"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67 </w:t>
            </w:r>
          </w:p>
        </w:tc>
        <w:tc>
          <w:tcPr>
            <w:tcW w:w="233" w:type="dxa"/>
            <w:tcBorders>
              <w:top w:val="single" w:sz="8" w:space="0" w:color="000000"/>
            </w:tcBorders>
            <w:shd w:fill="F7F7F7"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7F7F7"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8" w:space="0" w:color="000000"/>
            </w:tcBorders>
            <w:shd w:fill="F7F7F7" w:val="clear"/>
            <w:tcMar>
              <w:top w:w="52"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1,979 </w:t>
            </w:r>
          </w:p>
        </w:tc>
        <w:tc>
          <w:tcPr>
            <w:tcW w:w="206" w:type="dxa"/>
            <w:tcBorders>
              <w:top w:val="single" w:sz="8" w:space="0" w:color="000000"/>
            </w:tcBorders>
            <w:shd w:fill="F7F7F7"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7F7F7"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8" w:space="0" w:color="000000"/>
            </w:tcBorders>
            <w:shd w:fill="F7F7F7" w:val="clear"/>
            <w:tcMar>
              <w:top w:w="52"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100.0 </w:t>
            </w:r>
          </w:p>
        </w:tc>
        <w:tc>
          <w:tcPr>
            <w:tcW w:w="560" w:type="dxa"/>
            <w:tcBorders>
              <w:top w:val="single" w:sz="8" w:space="0" w:color="000000"/>
            </w:tcBorders>
            <w:shd w:fill="F7F7F7" w:val="clear"/>
            <w:tcMar>
              <w:top w:w="52"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w:t>
            </w:r>
          </w:p>
        </w:tc>
      </w:tr>
    </w:tbl>
    <w:p>
      <w:pPr>
        <w:pStyle w:val="TextBody"/>
        <w:bidi w:val="0"/>
        <w:spacing w:lineRule="auto" w:line="288" w:before="0" w:after="200"/>
        <w:jc w:val="both"/>
        <w:rPr>
          <w:rFonts w:ascii="Adelle Sans Light;sans-serif" w:hAnsi="Adelle Sans Light;sans-serif"/>
          <w:b w:val="false"/>
          <w:color w:val="000000"/>
          <w:sz w:val="20"/>
        </w:rPr>
      </w:pPr>
      <w:r>
        <w:rPr>
          <w:rFonts w:ascii="Adelle Sans Light;sans-serif" w:hAnsi="Adelle Sans Light;sans-serif"/>
          <w:b w:val="false"/>
          <w:color w:val="000000"/>
          <w:sz w:val="20"/>
        </w:rPr>
        <w:t xml:space="preserve">The Company maintains an internal monitoring list related to its outstanding loans. A merchant's ability and willingness to repay the loan and merchant cash advances outstanding under the program is analyzed for a variety of factors that include, but are not limited to current or expected age of the financing, merchant subscription or financing status, merchant gross merchandise volume trends and other changes to merchant credit profiles.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7955"/>
                <wp:effectExtent l="0" t="0" r="0" b="0"/>
                <wp:wrapNone/>
                <wp:docPr id="19" name="Frame18"/>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200"/>
                              <w:jc w:val="center"/>
                              <w:rPr>
                                <w:rFonts w:ascii="Adelle Sans Light;sans-serif" w:hAnsi="Adelle Sans Light;sans-serif"/>
                                <w:b w:val="false"/>
                                <w:color w:val="000000"/>
                                <w:sz w:val="20"/>
                              </w:rPr>
                            </w:pPr>
                            <w:r>
                              <w:rPr>
                                <w:rFonts w:ascii="Adelle Sans Light;sans-serif" w:hAnsi="Adelle Sans Light;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Adelle Sans Light;sans-serif" w:hAnsi="Adelle Sans Light;sans-serif"/>
                          <w:b w:val="false"/>
                          <w:color w:val="000000"/>
                          <w:sz w:val="20"/>
                        </w:rPr>
                      </w:pPr>
                      <w:r>
                        <w:rPr>
                          <w:rFonts w:ascii="Adelle Sans Light;sans-serif" w:hAnsi="Adelle Sans Light;sans-serif"/>
                          <w:b w:val="false"/>
                          <w:color w:val="000000"/>
                          <w:sz w:val="20"/>
                        </w:rPr>
                        <w:t>18</w:t>
                      </w:r>
                    </w:p>
                  </w:txbxContent>
                </v:textbox>
                <w10:wrap type="none"/>
              </v:rect>
            </w:pict>
          </mc:Fallback>
        </mc:AlternateContent>
      </w:r>
    </w:p>
    <w:p>
      <w:pPr>
        <w:pStyle w:val="TextBody"/>
        <w:bidi w:val="0"/>
        <w:spacing w:lineRule="auto" w:line="288" w:before="0" w:after="200"/>
        <w:jc w:val="both"/>
        <w:rPr/>
      </w:pPr>
      <w:hyperlink w:anchor="iccccf23fa31e44f0aa82c99ca0859db8_7">
        <w:r>
          <w:rPr>
            <w:rStyle w:val="InternetLink"/>
            <w:rFonts w:ascii="Adelle Sans Light;sans-serif" w:hAnsi="Adelle Sans Light;sans-serif"/>
            <w:b w:val="false"/>
            <w:color w:val="0000FF"/>
            <w:sz w:val="20"/>
            <w:u w:val="single"/>
          </w:rPr>
          <w:t>Table of Contents</w:t>
        </w:r>
      </w:hyperlink>
    </w:p>
    <w:p>
      <w:pPr>
        <w:pStyle w:val="TextBody"/>
        <w:bidi w:val="0"/>
        <w:spacing w:lineRule="auto" w:line="288" w:before="0" w:after="200"/>
        <w:ind w:left="0" w:right="0" w:hanging="360"/>
        <w:jc w:val="left"/>
        <w:rPr>
          <w:rFonts w:ascii="Adelle Sans;sans-serif" w:hAnsi="Adelle Sans;sans-serif"/>
          <w:b/>
          <w:color w:val="000000"/>
          <w:sz w:val="20"/>
        </w:rPr>
      </w:pPr>
      <w:bookmarkStart w:id="45" w:name="i89a683237c0243c1aca0a8dada03feb5"/>
      <w:bookmarkEnd w:id="45"/>
      <w:r>
        <w:rPr>
          <w:rFonts w:ascii="Adelle Sans;sans-serif" w:hAnsi="Adelle Sans;sans-serif"/>
          <w:b/>
          <w:color w:val="000000"/>
          <w:sz w:val="20"/>
        </w:rPr>
        <w:t>7.Deferred Revenue</w:t>
      </w:r>
    </w:p>
    <w:tbl>
      <w:tblPr>
        <w:tblW w:w="10205" w:type="dxa"/>
        <w:jc w:val="left"/>
        <w:tblInd w:w="0" w:type="dxa"/>
        <w:tblLayout w:type="fixed"/>
        <w:tblCellMar>
          <w:top w:w="28" w:type="dxa"/>
          <w:left w:w="28" w:type="dxa"/>
          <w:bottom w:w="28" w:type="dxa"/>
          <w:right w:w="28" w:type="dxa"/>
        </w:tblCellMar>
      </w:tblPr>
      <w:tblGrid>
        <w:gridCol w:w="1538"/>
        <w:gridCol w:w="1277"/>
        <w:gridCol w:w="1280"/>
        <w:gridCol w:w="346"/>
        <w:gridCol w:w="303"/>
        <w:gridCol w:w="278"/>
        <w:gridCol w:w="278"/>
        <w:gridCol w:w="278"/>
        <w:gridCol w:w="278"/>
        <w:gridCol w:w="346"/>
        <w:gridCol w:w="303"/>
        <w:gridCol w:w="278"/>
        <w:gridCol w:w="109"/>
        <w:gridCol w:w="109"/>
        <w:gridCol w:w="109"/>
        <w:gridCol w:w="316"/>
        <w:gridCol w:w="290"/>
        <w:gridCol w:w="257"/>
        <w:gridCol w:w="257"/>
        <w:gridCol w:w="257"/>
        <w:gridCol w:w="257"/>
        <w:gridCol w:w="316"/>
        <w:gridCol w:w="290"/>
        <w:gridCol w:w="257"/>
        <w:gridCol w:w="109"/>
        <w:gridCol w:w="109"/>
        <w:gridCol w:w="109"/>
        <w:gridCol w:w="109"/>
        <w:gridCol w:w="162"/>
      </w:tblGrid>
      <w:tr>
        <w:trPr/>
        <w:tc>
          <w:tcPr>
            <w:tcW w:w="1538" w:type="dxa"/>
            <w:tcBorders/>
            <w:vAlign w:val="center"/>
          </w:tcPr>
          <w:p>
            <w:pPr>
              <w:pStyle w:val="TableContents"/>
              <w:bidi w:val="0"/>
              <w:spacing w:before="0" w:after="283"/>
              <w:jc w:val="left"/>
              <w:rPr>
                <w:sz w:val="4"/>
                <w:szCs w:val="4"/>
              </w:rPr>
            </w:pPr>
            <w:r>
              <w:rPr>
                <w:sz w:val="4"/>
                <w:szCs w:val="4"/>
              </w:rPr>
            </w:r>
          </w:p>
        </w:tc>
        <w:tc>
          <w:tcPr>
            <w:tcW w:w="1277" w:type="dxa"/>
            <w:tcBorders/>
            <w:vAlign w:val="center"/>
          </w:tcPr>
          <w:p>
            <w:pPr>
              <w:pStyle w:val="TableContents"/>
              <w:bidi w:val="0"/>
              <w:spacing w:before="0" w:after="283"/>
              <w:jc w:val="left"/>
              <w:rPr>
                <w:sz w:val="4"/>
                <w:szCs w:val="4"/>
              </w:rPr>
            </w:pPr>
            <w:r>
              <w:rPr>
                <w:sz w:val="4"/>
                <w:szCs w:val="4"/>
              </w:rPr>
            </w:r>
          </w:p>
        </w:tc>
        <w:tc>
          <w:tcPr>
            <w:tcW w:w="1280"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delle Sans;sans-serif" w:hAnsi="Adelle Sans;sans-serif"/>
                <w:b/>
                <w:color w:val="000000"/>
                <w:sz w:val="18"/>
              </w:rPr>
            </w:pPr>
            <w:r>
              <w:rPr>
                <w:rFonts w:ascii="Adelle Sans;sans-serif" w:hAnsi="Adelle Sans;sans-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delle Sans;sans-serif" w:hAnsi="Adelle Sans;sans-serif"/>
                <w:b/>
                <w:color w:val="000000"/>
                <w:sz w:val="18"/>
              </w:rPr>
            </w:pPr>
            <w:r>
              <w:rPr>
                <w:rFonts w:ascii="Adelle Sans;sans-serif" w:hAnsi="Adelle Sans;sans-serif"/>
                <w:b/>
                <w:color w:val="000000"/>
                <w:sz w:val="18"/>
              </w:rPr>
              <w:t>Six months ended June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1" w:type="dxa"/>
            <w:gridSpan w:val="2"/>
            <w:tcBorders/>
          </w:tcPr>
          <w:p>
            <w:pPr>
              <w:pStyle w:val="TableContents"/>
              <w:bidi w:val="0"/>
              <w:spacing w:before="0" w:after="283"/>
              <w:jc w:val="left"/>
              <w:rPr>
                <w:sz w:val="4"/>
                <w:szCs w:val="4"/>
              </w:rPr>
            </w:pPr>
            <w:r>
              <w:rPr>
                <w:sz w:val="4"/>
                <w:szCs w:val="4"/>
              </w:rPr>
            </w:r>
          </w:p>
        </w:tc>
      </w:tr>
      <w:tr>
        <w:trPr/>
        <w:tc>
          <w:tcPr>
            <w:tcW w:w="40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delle Sans;sans-serif" w:hAnsi="Adelle Sans;sans-serif"/>
                <w:b/>
                <w:color w:val="000000"/>
                <w:sz w:val="18"/>
              </w:rPr>
            </w:pPr>
            <w:r>
              <w:rPr>
                <w:rFonts w:ascii="Adelle Sans;sans-serif" w:hAnsi="Adelle Sans;sans-serif"/>
                <w:b/>
                <w:color w:val="000000"/>
                <w:sz w:val="18"/>
              </w:rPr>
              <w:t>2026</w:t>
            </w:r>
          </w:p>
        </w:tc>
        <w:tc>
          <w:tcPr>
            <w:tcW w:w="83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delle Sans;sans-serif" w:hAnsi="Adelle Sans;sans-serif"/>
                <w:b/>
                <w:color w:val="000000"/>
                <w:sz w:val="18"/>
              </w:rPr>
            </w:pPr>
            <w:r>
              <w:rPr>
                <w:rFonts w:ascii="Adelle Sans;sans-serif" w:hAnsi="Adelle Sans;sans-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delle Sans;sans-serif" w:hAnsi="Adelle Sans;sans-serif"/>
                <w:b/>
                <w:color w:val="000000"/>
                <w:sz w:val="18"/>
              </w:rPr>
            </w:pPr>
            <w:r>
              <w:rPr>
                <w:rFonts w:ascii="Adelle Sans;sans-serif" w:hAnsi="Adelle Sans;sans-serif"/>
                <w:b/>
                <w:color w:val="000000"/>
                <w:sz w:val="18"/>
              </w:rPr>
              <w:t>2026</w:t>
            </w:r>
          </w:p>
        </w:tc>
        <w:tc>
          <w:tcPr>
            <w:tcW w:w="7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delle Sans;sans-serif" w:hAnsi="Adelle Sans;sans-serif"/>
                <w:b/>
                <w:color w:val="000000"/>
                <w:sz w:val="18"/>
              </w:rPr>
            </w:pPr>
            <w:r>
              <w:rPr>
                <w:rFonts w:ascii="Adelle Sans;sans-serif" w:hAnsi="Adelle Sans;sans-serif"/>
                <w:b/>
                <w:color w:val="000000"/>
                <w:sz w:val="18"/>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95"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834"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3"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86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9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12" w:type="dxa"/>
            <w:gridSpan w:val="21"/>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Adelle Sans;sans-serif" w:hAnsi="Adelle Sans;sans-serif"/>
                <w:b w:val="false"/>
                <w:color w:val="000000"/>
                <w:sz w:val="18"/>
              </w:rPr>
            </w:pPr>
            <w:r>
              <w:rPr>
                <w:rFonts w:ascii="Adelle Sans;sans-serif" w:hAnsi="Adelle Sans;sans-serif"/>
                <w:b w:val="false"/>
                <w:color w:val="000000"/>
                <w:sz w:val="18"/>
              </w:rPr>
              <w:t>(in US $ millions)</w:t>
            </w:r>
          </w:p>
        </w:tc>
        <w:tc>
          <w:tcPr>
            <w:tcW w:w="109" w:type="dxa"/>
            <w:tcBorders/>
            <w:vAlign w:val="center"/>
          </w:tcPr>
          <w:p>
            <w:pPr>
              <w:pStyle w:val="TableContents"/>
              <w:bidi w:val="0"/>
              <w:spacing w:before="0" w:after="283"/>
              <w:jc w:val="left"/>
              <w:rPr>
                <w:sz w:val="4"/>
                <w:szCs w:val="4"/>
              </w:rPr>
            </w:pPr>
            <w:r>
              <w:rPr>
                <w:sz w:val="4"/>
                <w:szCs w:val="4"/>
              </w:rPr>
            </w:r>
          </w:p>
        </w:tc>
        <w:tc>
          <w:tcPr>
            <w:tcW w:w="489" w:type="dxa"/>
            <w:gridSpan w:val="4"/>
            <w:tcBorders/>
          </w:tcPr>
          <w:p>
            <w:pPr>
              <w:pStyle w:val="TableContents"/>
              <w:bidi w:val="0"/>
              <w:spacing w:before="0" w:after="283"/>
              <w:jc w:val="left"/>
              <w:rPr>
                <w:sz w:val="4"/>
                <w:szCs w:val="4"/>
              </w:rPr>
            </w:pPr>
            <w:r>
              <w:rPr>
                <w:sz w:val="4"/>
                <w:szCs w:val="4"/>
              </w:rPr>
            </w:r>
          </w:p>
        </w:tc>
      </w:tr>
      <w:tr>
        <w:trPr/>
        <w:tc>
          <w:tcPr>
            <w:tcW w:w="4095" w:type="dxa"/>
            <w:gridSpan w:val="3"/>
            <w:tcBorders/>
            <w:shd w:fill="F7F7F7" w:val="clear"/>
            <w:tcMar>
              <w:top w:w="0" w:type="dxa"/>
              <w:left w:w="0" w:type="dxa"/>
              <w:bottom w:w="0" w:type="dxa"/>
              <w:right w:w="0" w:type="dxa"/>
            </w:tcMar>
            <w:vAlign w:val="center"/>
          </w:tcPr>
          <w:p>
            <w:pPr>
              <w:pStyle w:val="TableContents"/>
              <w:bidi w:val="0"/>
              <w:spacing w:lineRule="auto" w:line="240" w:before="0" w:after="283"/>
              <w:jc w:val="left"/>
              <w:rPr>
                <w:rFonts w:ascii="Adelle Sans;sans-serif" w:hAnsi="Adelle Sans;sans-serif"/>
                <w:b w:val="false"/>
                <w:color w:val="000000"/>
                <w:sz w:val="18"/>
              </w:rPr>
            </w:pPr>
            <w:r>
              <w:rPr>
                <w:rFonts w:ascii="Adelle Sans;sans-serif" w:hAnsi="Adelle Sans;sans-serif"/>
                <w:b w:val="false"/>
                <w:color w:val="000000"/>
                <w:sz w:val="18"/>
              </w:rPr>
              <w:t>Balance, beginning of the period</w:t>
            </w:r>
          </w:p>
        </w:tc>
        <w:tc>
          <w:tcPr>
            <w:tcW w:w="649" w:type="dxa"/>
            <w:gridSpan w:val="2"/>
            <w:tcBorders/>
            <w:shd w:fill="F7F7F7"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407 </w:t>
            </w:r>
          </w:p>
        </w:tc>
        <w:tc>
          <w:tcPr>
            <w:tcW w:w="278" w:type="dxa"/>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2"/>
            <w:tcBorders/>
            <w:shd w:fill="F7F7F7"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430 </w:t>
            </w:r>
          </w:p>
        </w:tc>
        <w:tc>
          <w:tcPr>
            <w:tcW w:w="278" w:type="dxa"/>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2"/>
            <w:tcBorders/>
            <w:shd w:fill="F7F7F7"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398 </w:t>
            </w:r>
          </w:p>
        </w:tc>
        <w:tc>
          <w:tcPr>
            <w:tcW w:w="257" w:type="dxa"/>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2"/>
            <w:tcBorders/>
            <w:shd w:fill="F7F7F7"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430 </w:t>
            </w:r>
          </w:p>
        </w:tc>
        <w:tc>
          <w:tcPr>
            <w:tcW w:w="257" w:type="dxa"/>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delle Sans;sans-serif" w:hAnsi="Adelle Sans;sans-serif"/>
                <w:b w:val="false"/>
                <w:color w:val="000000"/>
                <w:sz w:val="18"/>
              </w:rPr>
              <w:t>Deferral of revenue</w:t>
            </w:r>
            <w:r>
              <w:rPr>
                <w:rFonts w:ascii="Adelle Sans;sans-serif" w:hAnsi="Adelle Sans;sans-serif"/>
                <w:b w:val="false"/>
                <w:color w:val="000000"/>
                <w:sz w:val="12"/>
              </w:rPr>
              <w:t>(1)</w:t>
            </w:r>
          </w:p>
        </w:tc>
        <w:tc>
          <w:tcPr>
            <w:tcW w:w="6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128 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114 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190 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171 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95"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834"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3"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86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95" w:type="dxa"/>
            <w:gridSpan w:val="3"/>
            <w:tcBorders/>
            <w:shd w:fill="F7F7F7" w:val="clear"/>
            <w:tcMar>
              <w:top w:w="0" w:type="dxa"/>
              <w:left w:w="0" w:type="dxa"/>
              <w:bottom w:w="0" w:type="dxa"/>
              <w:right w:w="0" w:type="dxa"/>
            </w:tcMar>
            <w:vAlign w:val="center"/>
          </w:tcPr>
          <w:p>
            <w:pPr>
              <w:pStyle w:val="TableContents"/>
              <w:bidi w:val="0"/>
              <w:spacing w:lineRule="auto" w:line="240" w:before="0" w:after="283"/>
              <w:jc w:val="left"/>
              <w:rPr>
                <w:rFonts w:ascii="Adelle Sans;sans-serif" w:hAnsi="Adelle Sans;sans-serif"/>
                <w:b w:val="false"/>
                <w:color w:val="000000"/>
                <w:sz w:val="18"/>
              </w:rPr>
            </w:pPr>
            <w:r>
              <w:rPr>
                <w:rFonts w:ascii="Adelle Sans;sans-serif" w:hAnsi="Adelle Sans;sans-serif"/>
                <w:b w:val="false"/>
                <w:color w:val="000000"/>
                <w:sz w:val="18"/>
              </w:rPr>
              <w:t>Recognition of deferred revenue from beginning balance</w:t>
            </w:r>
          </w:p>
        </w:tc>
        <w:tc>
          <w:tcPr>
            <w:tcW w:w="649" w:type="dxa"/>
            <w:gridSpan w:val="2"/>
            <w:tcBorders/>
            <w:shd w:fill="F7F7F7"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(121)</w:t>
            </w:r>
          </w:p>
        </w:tc>
        <w:tc>
          <w:tcPr>
            <w:tcW w:w="278" w:type="dxa"/>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2"/>
            <w:tcBorders/>
            <w:shd w:fill="F7F7F7"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(123)</w:t>
            </w:r>
          </w:p>
        </w:tc>
        <w:tc>
          <w:tcPr>
            <w:tcW w:w="278" w:type="dxa"/>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2"/>
            <w:tcBorders/>
            <w:shd w:fill="F7F7F7"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(174)</w:t>
            </w:r>
          </w:p>
        </w:tc>
        <w:tc>
          <w:tcPr>
            <w:tcW w:w="257" w:type="dxa"/>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2"/>
            <w:tcBorders/>
            <w:shd w:fill="F7F7F7"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(180)</w:t>
            </w:r>
          </w:p>
        </w:tc>
        <w:tc>
          <w:tcPr>
            <w:tcW w:w="257" w:type="dxa"/>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delle Sans;sans-serif" w:hAnsi="Adelle Sans;sans-serif"/>
                <w:b w:val="false"/>
                <w:color w:val="000000"/>
                <w:sz w:val="18"/>
              </w:rPr>
            </w:pPr>
            <w:r>
              <w:rPr>
                <w:rFonts w:ascii="Adelle Sans;sans-serif" w:hAnsi="Adelle Sans;sans-serif"/>
                <w:b w:val="false"/>
                <w:color w:val="000000"/>
                <w:sz w:val="18"/>
              </w:rPr>
              <w:t>Balance, end of the period</w:t>
            </w:r>
          </w:p>
        </w:tc>
        <w:tc>
          <w:tcPr>
            <w:tcW w:w="64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414 </w:t>
            </w:r>
          </w:p>
        </w:tc>
        <w:tc>
          <w:tcPr>
            <w:tcW w:w="27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421 </w:t>
            </w:r>
          </w:p>
        </w:tc>
        <w:tc>
          <w:tcPr>
            <w:tcW w:w="27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414 </w:t>
            </w:r>
          </w:p>
        </w:tc>
        <w:tc>
          <w:tcPr>
            <w:tcW w:w="25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421 </w:t>
            </w:r>
          </w:p>
        </w:tc>
        <w:tc>
          <w:tcPr>
            <w:tcW w:w="25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jc w:val="both"/>
        <w:rPr/>
      </w:pPr>
      <w:bookmarkStart w:id="46" w:name="ifd46bfd000ce4c6c87f62c45303ea131"/>
      <w:bookmarkEnd w:id="46"/>
      <w:r>
        <w:rPr>
          <w:rFonts w:ascii="Adelle Sans Light;sans-serif" w:hAnsi="Adelle Sans Light;sans-serif"/>
          <w:b w:val="false"/>
          <w:color w:val="000000"/>
          <w:sz w:val="10"/>
        </w:rPr>
        <w:t xml:space="preserve">(1) </w:t>
      </w:r>
      <w:r>
        <w:rPr>
          <w:rFonts w:ascii="Adelle Sans Light;sans-serif" w:hAnsi="Adelle Sans Light;sans-serif"/>
          <w:b w:val="false"/>
          <w:color w:val="000000"/>
          <w:sz w:val="16"/>
        </w:rPr>
        <w:t>Deferral of revenue includes only the portion of collections from merchant billings throughout the period, primarily related to subscription fees, for which the services have not yet been provided. The amounts primarily exclude subscription revenue that has both been deferred and recognized within the period presented.</w:t>
      </w:r>
    </w:p>
    <w:tbl>
      <w:tblPr>
        <w:tblW w:w="5516" w:type="dxa"/>
        <w:jc w:val="left"/>
        <w:tblInd w:w="0" w:type="dxa"/>
        <w:tblLayout w:type="fixed"/>
        <w:tblCellMar>
          <w:top w:w="28" w:type="dxa"/>
          <w:left w:w="28" w:type="dxa"/>
          <w:bottom w:w="28" w:type="dxa"/>
          <w:right w:w="28" w:type="dxa"/>
        </w:tblCellMar>
      </w:tblPr>
      <w:tblGrid>
        <w:gridCol w:w="641"/>
        <w:gridCol w:w="563"/>
        <w:gridCol w:w="565"/>
        <w:gridCol w:w="109"/>
        <w:gridCol w:w="109"/>
        <w:gridCol w:w="109"/>
        <w:gridCol w:w="109"/>
        <w:gridCol w:w="489"/>
        <w:gridCol w:w="489"/>
        <w:gridCol w:w="492"/>
        <w:gridCol w:w="109"/>
        <w:gridCol w:w="109"/>
        <w:gridCol w:w="109"/>
        <w:gridCol w:w="443"/>
        <w:gridCol w:w="443"/>
        <w:gridCol w:w="628"/>
      </w:tblGrid>
      <w:tr>
        <w:trPr/>
        <w:tc>
          <w:tcPr>
            <w:tcW w:w="641"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r>
      <w:tr>
        <w:trPr/>
        <w:tc>
          <w:tcPr>
            <w:tcW w:w="17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delle Sans;sans-serif" w:hAnsi="Adelle Sans;sans-serif"/>
                <w:b/>
                <w:color w:val="000000"/>
                <w:sz w:val="18"/>
              </w:rPr>
            </w:pPr>
            <w:r>
              <w:rPr>
                <w:rFonts w:ascii="Adelle Sans;sans-serif" w:hAnsi="Adelle Sans;sans-serif"/>
                <w:b/>
                <w:color w:val="000000"/>
                <w:sz w:val="18"/>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delle Sans;sans-serif" w:hAnsi="Adelle Sans;sans-serif"/>
                <w:b/>
                <w:color w:val="000000"/>
                <w:sz w:val="18"/>
              </w:rPr>
            </w:pPr>
            <w:r>
              <w:rPr>
                <w:rFonts w:ascii="Adelle Sans;sans-serif" w:hAnsi="Adelle Sans;sans-serif"/>
                <w:b/>
                <w:color w:val="000000"/>
                <w:sz w:val="18"/>
              </w:rPr>
              <w:t>June 30, 2025</w:t>
            </w:r>
          </w:p>
        </w:tc>
      </w:tr>
      <w:tr>
        <w:trPr/>
        <w:tc>
          <w:tcPr>
            <w:tcW w:w="176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4" w:type="dxa"/>
            <w:gridSpan w:val="3"/>
            <w:tcBorders/>
            <w:vAlign w:val="center"/>
          </w:tcPr>
          <w:p>
            <w:pPr>
              <w:pStyle w:val="TableContents"/>
              <w:bidi w:val="0"/>
              <w:spacing w:before="0" w:after="283"/>
              <w:jc w:val="left"/>
              <w:rPr>
                <w:sz w:val="4"/>
                <w:szCs w:val="4"/>
              </w:rPr>
            </w:pPr>
            <w:r>
              <w:rPr>
                <w:sz w:val="4"/>
                <w:szCs w:val="4"/>
              </w:rPr>
            </w:r>
          </w:p>
        </w:tc>
      </w:tr>
      <w:tr>
        <w:trPr/>
        <w:tc>
          <w:tcPr>
            <w:tcW w:w="176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11" w:type="dxa"/>
            <w:gridSpan w:val="9"/>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Adelle Sans;sans-serif" w:hAnsi="Adelle Sans;sans-serif"/>
                <w:b w:val="false"/>
                <w:color w:val="000000"/>
                <w:sz w:val="18"/>
              </w:rPr>
            </w:pPr>
            <w:r>
              <w:rPr>
                <w:rFonts w:ascii="Adelle Sans;sans-serif" w:hAnsi="Adelle Sans;sans-serif"/>
                <w:b w:val="false"/>
                <w:color w:val="000000"/>
                <w:sz w:val="18"/>
              </w:rPr>
              <w:t>(in US $ millions)</w:t>
            </w:r>
          </w:p>
        </w:tc>
      </w:tr>
      <w:tr>
        <w:trPr/>
        <w:tc>
          <w:tcPr>
            <w:tcW w:w="1769" w:type="dxa"/>
            <w:gridSpan w:val="3"/>
            <w:tcBorders/>
            <w:shd w:fill="F7F7F7" w:val="clear"/>
            <w:tcMar>
              <w:top w:w="0" w:type="dxa"/>
              <w:left w:w="0" w:type="dxa"/>
              <w:bottom w:w="0" w:type="dxa"/>
              <w:right w:w="0" w:type="dxa"/>
            </w:tcMar>
            <w:vAlign w:val="center"/>
          </w:tcPr>
          <w:p>
            <w:pPr>
              <w:pStyle w:val="TableContents"/>
              <w:bidi w:val="0"/>
              <w:spacing w:lineRule="auto" w:line="240" w:before="0" w:after="283"/>
              <w:jc w:val="left"/>
              <w:rPr>
                <w:rFonts w:ascii="Adelle Sans;sans-serif" w:hAnsi="Adelle Sans;sans-serif"/>
                <w:b w:val="false"/>
                <w:color w:val="000000"/>
                <w:sz w:val="18"/>
              </w:rPr>
            </w:pPr>
            <w:r>
              <w:rPr>
                <w:rFonts w:ascii="Adelle Sans;sans-serif" w:hAnsi="Adelle Sans;sans-serif"/>
                <w:b w:val="false"/>
                <w:color w:val="000000"/>
                <w:sz w:val="18"/>
              </w:rPr>
              <w:t>Current portion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8" w:type="dxa"/>
            <w:gridSpan w:val="2"/>
            <w:tcBorders/>
            <w:shd w:fill="F7F7F7"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335 </w:t>
            </w:r>
          </w:p>
        </w:tc>
        <w:tc>
          <w:tcPr>
            <w:tcW w:w="492" w:type="dxa"/>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7F7F7"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298 </w:t>
            </w:r>
          </w:p>
        </w:tc>
        <w:tc>
          <w:tcPr>
            <w:tcW w:w="628" w:type="dxa"/>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delle Sans;sans-serif" w:hAnsi="Adelle Sans;sans-serif"/>
                <w:b w:val="false"/>
                <w:color w:val="000000"/>
                <w:sz w:val="18"/>
              </w:rPr>
            </w:pPr>
            <w:r>
              <w:rPr>
                <w:rFonts w:ascii="Adelle Sans;sans-serif" w:hAnsi="Adelle Sans;sans-serif"/>
                <w:b w:val="false"/>
                <w:color w:val="000000"/>
                <w:sz w:val="18"/>
              </w:rPr>
              <w:t>Long-term portion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79 </w:t>
            </w:r>
          </w:p>
        </w:tc>
        <w:tc>
          <w:tcPr>
            <w:tcW w:w="4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123 </w:t>
            </w:r>
          </w:p>
        </w:tc>
        <w:tc>
          <w:tcPr>
            <w:tcW w:w="6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9"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8" w:type="dxa"/>
            <w:gridSpan w:val="2"/>
            <w:tcBorders>
              <w:top w:val="single" w:sz="8" w:space="0" w:color="000000"/>
            </w:tcBorders>
            <w:shd w:fill="F7F7F7" w:val="clear"/>
            <w:tcMar>
              <w:top w:w="52"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414 </w:t>
            </w:r>
          </w:p>
        </w:tc>
        <w:tc>
          <w:tcPr>
            <w:tcW w:w="492" w:type="dxa"/>
            <w:tcBorders>
              <w:top w:val="single" w:sz="8" w:space="0" w:color="000000"/>
            </w:tcBorders>
            <w:shd w:fill="F7F7F7"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7F7F7"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top w:val="single" w:sz="8" w:space="0" w:color="000000"/>
            </w:tcBorders>
            <w:shd w:fill="F7F7F7" w:val="clear"/>
            <w:tcMar>
              <w:top w:w="52"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421 </w:t>
            </w:r>
          </w:p>
        </w:tc>
        <w:tc>
          <w:tcPr>
            <w:tcW w:w="628" w:type="dxa"/>
            <w:tcBorders>
              <w:top w:val="single" w:sz="8" w:space="0" w:color="000000"/>
            </w:tcBorders>
            <w:shd w:fill="F7F7F7"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jc w:val="both"/>
        <w:rPr>
          <w:rFonts w:ascii="Adelle Sans Light;sans-serif" w:hAnsi="Adelle Sans Light;sans-serif"/>
          <w:b w:val="false"/>
          <w:color w:val="000000"/>
          <w:sz w:val="20"/>
        </w:rPr>
      </w:pPr>
      <w:r>
        <w:rPr>
          <w:rFonts w:ascii="Adelle Sans Light;sans-serif" w:hAnsi="Adelle Sans Light;sans-serif"/>
          <w:b w:val="false"/>
          <w:color w:val="000000"/>
          <w:sz w:val="20"/>
        </w:rPr>
        <w:t>The opening balances of current and long-term deferred revenue were $283 million and $147 million, respectively, as of January 1, 2025.</w:t>
      </w:r>
    </w:p>
    <w:p>
      <w:pPr>
        <w:pStyle w:val="TextBody"/>
        <w:bidi w:val="0"/>
        <w:spacing w:lineRule="auto" w:line="288" w:before="0" w:after="200"/>
        <w:jc w:val="both"/>
        <w:rPr>
          <w:rFonts w:ascii="Adelle Sans Light;sans-serif" w:hAnsi="Adelle Sans Light;sans-serif"/>
          <w:b w:val="false"/>
          <w:color w:val="000000"/>
          <w:sz w:val="20"/>
        </w:rPr>
      </w:pPr>
      <w:r>
        <w:rPr>
          <w:rFonts w:ascii="Adelle Sans Light;sans-serif" w:hAnsi="Adelle Sans Light;sans-serif"/>
          <w:b w:val="false"/>
          <w:color w:val="000000"/>
          <w:sz w:val="20"/>
        </w:rPr>
        <w:t>As of June 30, 2026, the long-term deferred revenue, excluding non-cash consideration received, will be recognized ratably over the remaining terms of the contracts with the customers, which range from two years to three years.</w:t>
      </w:r>
    </w:p>
    <w:p>
      <w:pPr>
        <w:pStyle w:val="TextBody"/>
        <w:bidi w:val="0"/>
        <w:spacing w:lineRule="auto" w:line="288" w:before="0" w:after="200"/>
        <w:jc w:val="both"/>
        <w:rPr>
          <w:rFonts w:ascii="Adelle Sans Light;sans-serif" w:hAnsi="Adelle Sans Light;sans-serif"/>
          <w:b w:val="false"/>
          <w:color w:val="000000"/>
          <w:sz w:val="20"/>
        </w:rPr>
      </w:pPr>
      <w:r>
        <w:rPr>
          <w:rFonts w:ascii="Adelle Sans Light;sans-serif" w:hAnsi="Adelle Sans Light;sans-serif"/>
          <w:b w:val="false"/>
          <w:color w:val="000000"/>
          <w:sz w:val="20"/>
        </w:rPr>
        <w:t>The Company has received non-cash consideration in the form of equity investments in exchange for services to be rendered as part of strategic partnerships. As the Company is required to provide referral services and other services to support the partners' merchant offerings over the period of the performance obligations, revenue is deferred and recognized over time on a ratable basis over the expected terms of the contracts.</w:t>
      </w:r>
    </w:p>
    <w:p>
      <w:pPr>
        <w:pStyle w:val="TextBody"/>
        <w:bidi w:val="0"/>
        <w:spacing w:lineRule="auto" w:line="288" w:before="0" w:after="200"/>
        <w:jc w:val="both"/>
        <w:rPr>
          <w:rFonts w:ascii="Adelle Sans Light;sans-serif" w:hAnsi="Adelle Sans Light;sans-serif"/>
          <w:b w:val="false"/>
          <w:color w:val="000000"/>
          <w:sz w:val="20"/>
        </w:rPr>
      </w:pPr>
      <w:r>
        <w:rPr>
          <w:rFonts w:ascii="Adelle Sans Light;sans-serif" w:hAnsi="Adelle Sans Light;sans-serif"/>
          <w:b w:val="false"/>
          <w:color w:val="000000"/>
          <w:sz w:val="20"/>
        </w:rPr>
        <w:t xml:space="preserve">The table below summarizes the gross changes in deferred revenue associated with this non-cash consideration received for the three and six months ended June 30, 2026 and 2025: </w:t>
      </w:r>
    </w:p>
    <w:tbl>
      <w:tblPr>
        <w:tblW w:w="10205" w:type="dxa"/>
        <w:jc w:val="left"/>
        <w:tblInd w:w="0" w:type="dxa"/>
        <w:tblLayout w:type="fixed"/>
        <w:tblCellMar>
          <w:top w:w="28" w:type="dxa"/>
          <w:left w:w="28" w:type="dxa"/>
          <w:bottom w:w="28" w:type="dxa"/>
          <w:right w:w="28" w:type="dxa"/>
        </w:tblCellMar>
      </w:tblPr>
      <w:tblGrid>
        <w:gridCol w:w="1603"/>
        <w:gridCol w:w="1299"/>
        <w:gridCol w:w="1303"/>
        <w:gridCol w:w="346"/>
        <w:gridCol w:w="299"/>
        <w:gridCol w:w="280"/>
        <w:gridCol w:w="280"/>
        <w:gridCol w:w="280"/>
        <w:gridCol w:w="280"/>
        <w:gridCol w:w="346"/>
        <w:gridCol w:w="299"/>
        <w:gridCol w:w="280"/>
        <w:gridCol w:w="109"/>
        <w:gridCol w:w="109"/>
        <w:gridCol w:w="109"/>
        <w:gridCol w:w="316"/>
        <w:gridCol w:w="286"/>
        <w:gridCol w:w="258"/>
        <w:gridCol w:w="258"/>
        <w:gridCol w:w="258"/>
        <w:gridCol w:w="258"/>
        <w:gridCol w:w="316"/>
        <w:gridCol w:w="286"/>
        <w:gridCol w:w="258"/>
        <w:gridCol w:w="109"/>
        <w:gridCol w:w="109"/>
        <w:gridCol w:w="109"/>
        <w:gridCol w:w="162"/>
      </w:tblGrid>
      <w:tr>
        <w:trPr/>
        <w:tc>
          <w:tcPr>
            <w:tcW w:w="1603" w:type="dxa"/>
            <w:tcBorders/>
            <w:vAlign w:val="center"/>
          </w:tcPr>
          <w:p>
            <w:pPr>
              <w:pStyle w:val="TableContents"/>
              <w:bidi w:val="0"/>
              <w:spacing w:before="0" w:after="283"/>
              <w:jc w:val="left"/>
              <w:rPr>
                <w:sz w:val="4"/>
                <w:szCs w:val="4"/>
              </w:rPr>
            </w:pPr>
            <w:r>
              <w:rPr>
                <w:sz w:val="4"/>
                <w:szCs w:val="4"/>
              </w:rPr>
            </w:r>
          </w:p>
        </w:tc>
        <w:tc>
          <w:tcPr>
            <w:tcW w:w="1299" w:type="dxa"/>
            <w:tcBorders/>
            <w:vAlign w:val="center"/>
          </w:tcPr>
          <w:p>
            <w:pPr>
              <w:pStyle w:val="TableContents"/>
              <w:bidi w:val="0"/>
              <w:spacing w:before="0" w:after="283"/>
              <w:jc w:val="left"/>
              <w:rPr>
                <w:sz w:val="4"/>
                <w:szCs w:val="4"/>
              </w:rPr>
            </w:pPr>
            <w:r>
              <w:rPr>
                <w:sz w:val="4"/>
                <w:szCs w:val="4"/>
              </w:rPr>
            </w:r>
          </w:p>
        </w:tc>
        <w:tc>
          <w:tcPr>
            <w:tcW w:w="1303"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delle Sans;sans-serif" w:hAnsi="Adelle Sans;sans-serif"/>
                <w:b/>
                <w:color w:val="000000"/>
                <w:sz w:val="18"/>
              </w:rPr>
            </w:pPr>
            <w:r>
              <w:rPr>
                <w:rFonts w:ascii="Adelle Sans;sans-serif" w:hAnsi="Adelle Sans;sans-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delle Sans;sans-serif" w:hAnsi="Adelle Sans;sans-serif"/>
                <w:b/>
                <w:color w:val="000000"/>
                <w:sz w:val="18"/>
              </w:rPr>
            </w:pPr>
            <w:r>
              <w:rPr>
                <w:rFonts w:ascii="Adelle Sans;sans-serif" w:hAnsi="Adelle Sans;sans-serif"/>
                <w:b/>
                <w:color w:val="000000"/>
                <w:sz w:val="18"/>
              </w:rPr>
              <w:t>Six months ended June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1" w:type="dxa"/>
            <w:gridSpan w:val="2"/>
            <w:tcBorders/>
          </w:tcPr>
          <w:p>
            <w:pPr>
              <w:pStyle w:val="TableContents"/>
              <w:bidi w:val="0"/>
              <w:spacing w:before="0" w:after="283"/>
              <w:jc w:val="left"/>
              <w:rPr>
                <w:sz w:val="4"/>
                <w:szCs w:val="4"/>
              </w:rPr>
            </w:pPr>
            <w:r>
              <w:rPr>
                <w:sz w:val="4"/>
                <w:szCs w:val="4"/>
              </w:rPr>
            </w:r>
          </w:p>
        </w:tc>
      </w:tr>
      <w:tr>
        <w:trPr/>
        <w:tc>
          <w:tcPr>
            <w:tcW w:w="4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delle Sans;sans-serif" w:hAnsi="Adelle Sans;sans-serif"/>
                <w:b/>
                <w:color w:val="000000"/>
                <w:sz w:val="18"/>
              </w:rPr>
            </w:pPr>
            <w:r>
              <w:rPr>
                <w:rFonts w:ascii="Adelle Sans;sans-serif" w:hAnsi="Adelle Sans;sans-serif"/>
                <w:b/>
                <w:color w:val="000000"/>
                <w:sz w:val="18"/>
              </w:rPr>
              <w:t>2026</w:t>
            </w:r>
          </w:p>
        </w:tc>
        <w:tc>
          <w:tcPr>
            <w:tcW w:w="84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delle Sans;sans-serif" w:hAnsi="Adelle Sans;sans-serif"/>
                <w:b/>
                <w:color w:val="000000"/>
                <w:sz w:val="18"/>
              </w:rPr>
            </w:pPr>
            <w:r>
              <w:rPr>
                <w:rFonts w:ascii="Adelle Sans;sans-serif" w:hAnsi="Adelle Sans;sans-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delle Sans;sans-serif" w:hAnsi="Adelle Sans;sans-serif"/>
                <w:b/>
                <w:color w:val="000000"/>
                <w:sz w:val="18"/>
              </w:rPr>
            </w:pPr>
            <w:r>
              <w:rPr>
                <w:rFonts w:ascii="Adelle Sans;sans-serif" w:hAnsi="Adelle Sans;sans-serif"/>
                <w:b/>
                <w:color w:val="000000"/>
                <w:sz w:val="18"/>
              </w:rPr>
              <w:t>2026</w:t>
            </w:r>
          </w:p>
        </w:tc>
        <w:tc>
          <w:tcPr>
            <w:tcW w:w="77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delle Sans;sans-serif" w:hAnsi="Adelle Sans;sans-serif"/>
                <w:b/>
                <w:color w:val="000000"/>
                <w:sz w:val="18"/>
              </w:rPr>
            </w:pPr>
            <w:r>
              <w:rPr>
                <w:rFonts w:ascii="Adelle Sans;sans-serif" w:hAnsi="Adelle Sans;sans-serif"/>
                <w:b/>
                <w:color w:val="000000"/>
                <w:sz w:val="18"/>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205" w:type="dxa"/>
            <w:gridSpan w:val="3"/>
            <w:tcBorders/>
            <w:vAlign w:val="center"/>
          </w:tcPr>
          <w:p>
            <w:pPr>
              <w:pStyle w:val="TableContents"/>
              <w:bidi w:val="0"/>
              <w:spacing w:before="0" w:after="283"/>
              <w:jc w:val="left"/>
              <w:rPr>
                <w:sz w:val="4"/>
                <w:szCs w:val="4"/>
              </w:rPr>
            </w:pPr>
            <w:r>
              <w:rPr>
                <w:sz w:val="4"/>
                <w:szCs w:val="4"/>
              </w:rPr>
            </w:r>
          </w:p>
        </w:tc>
        <w:tc>
          <w:tcPr>
            <w:tcW w:w="925" w:type="dxa"/>
            <w:gridSpan w:val="3"/>
            <w:tcBorders/>
            <w:vAlign w:val="center"/>
          </w:tcPr>
          <w:p>
            <w:pPr>
              <w:pStyle w:val="TableContents"/>
              <w:bidi w:val="0"/>
              <w:spacing w:before="0" w:after="283"/>
              <w:jc w:val="left"/>
              <w:rPr>
                <w:sz w:val="4"/>
                <w:szCs w:val="4"/>
              </w:rPr>
            </w:pPr>
            <w:r>
              <w:rPr>
                <w:sz w:val="4"/>
                <w:szCs w:val="4"/>
              </w:rPr>
            </w:r>
          </w:p>
        </w:tc>
        <w:tc>
          <w:tcPr>
            <w:tcW w:w="840" w:type="dxa"/>
            <w:gridSpan w:val="3"/>
            <w:tcBorders/>
            <w:vAlign w:val="center"/>
          </w:tcPr>
          <w:p>
            <w:pPr>
              <w:pStyle w:val="TableContents"/>
              <w:bidi w:val="0"/>
              <w:spacing w:before="0" w:after="283"/>
              <w:jc w:val="left"/>
              <w:rPr>
                <w:sz w:val="4"/>
                <w:szCs w:val="4"/>
              </w:rPr>
            </w:pPr>
            <w:r>
              <w:rPr>
                <w:sz w:val="4"/>
                <w:szCs w:val="4"/>
              </w:rPr>
            </w:r>
          </w:p>
        </w:tc>
        <w:tc>
          <w:tcPr>
            <w:tcW w:w="9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0" w:type="dxa"/>
            <w:gridSpan w:val="3"/>
            <w:tcBorders/>
            <w:vAlign w:val="center"/>
          </w:tcPr>
          <w:p>
            <w:pPr>
              <w:pStyle w:val="TableContents"/>
              <w:bidi w:val="0"/>
              <w:spacing w:before="0" w:after="283"/>
              <w:jc w:val="left"/>
              <w:rPr>
                <w:sz w:val="4"/>
                <w:szCs w:val="4"/>
              </w:rPr>
            </w:pPr>
            <w:r>
              <w:rPr>
                <w:sz w:val="4"/>
                <w:szCs w:val="4"/>
              </w:rPr>
            </w:r>
          </w:p>
        </w:tc>
        <w:tc>
          <w:tcPr>
            <w:tcW w:w="774" w:type="dxa"/>
            <w:gridSpan w:val="3"/>
            <w:tcBorders/>
            <w:vAlign w:val="center"/>
          </w:tcPr>
          <w:p>
            <w:pPr>
              <w:pStyle w:val="TableContents"/>
              <w:bidi w:val="0"/>
              <w:spacing w:before="0" w:after="283"/>
              <w:jc w:val="left"/>
              <w:rPr>
                <w:sz w:val="4"/>
                <w:szCs w:val="4"/>
              </w:rPr>
            </w:pPr>
            <w:r>
              <w:rPr>
                <w:sz w:val="4"/>
                <w:szCs w:val="4"/>
              </w:rPr>
            </w:r>
          </w:p>
        </w:tc>
        <w:tc>
          <w:tcPr>
            <w:tcW w:w="86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20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11" w:type="dxa"/>
            <w:gridSpan w:val="21"/>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Adelle Sans;sans-serif" w:hAnsi="Adelle Sans;sans-serif"/>
                <w:b w:val="false"/>
                <w:color w:val="000000"/>
                <w:sz w:val="18"/>
              </w:rPr>
            </w:pPr>
            <w:r>
              <w:rPr>
                <w:rFonts w:ascii="Adelle Sans;sans-serif" w:hAnsi="Adelle Sans;sans-serif"/>
                <w:b w:val="false"/>
                <w:color w:val="000000"/>
                <w:sz w:val="18"/>
              </w:rPr>
              <w:t>(in US $ millions)</w:t>
            </w:r>
          </w:p>
        </w:tc>
        <w:tc>
          <w:tcPr>
            <w:tcW w:w="489" w:type="dxa"/>
            <w:gridSpan w:val="4"/>
            <w:tcBorders/>
          </w:tcPr>
          <w:p>
            <w:pPr>
              <w:pStyle w:val="TableContents"/>
              <w:bidi w:val="0"/>
              <w:spacing w:before="0" w:after="283"/>
              <w:jc w:val="left"/>
              <w:rPr>
                <w:sz w:val="4"/>
                <w:szCs w:val="4"/>
              </w:rPr>
            </w:pPr>
            <w:r>
              <w:rPr>
                <w:sz w:val="4"/>
                <w:szCs w:val="4"/>
              </w:rPr>
            </w:r>
          </w:p>
        </w:tc>
      </w:tr>
      <w:tr>
        <w:trPr/>
        <w:tc>
          <w:tcPr>
            <w:tcW w:w="4205" w:type="dxa"/>
            <w:gridSpan w:val="3"/>
            <w:tcBorders/>
            <w:shd w:fill="F7F7F7" w:val="clear"/>
            <w:tcMar>
              <w:top w:w="0" w:type="dxa"/>
              <w:left w:w="0" w:type="dxa"/>
              <w:bottom w:w="0" w:type="dxa"/>
              <w:right w:w="0" w:type="dxa"/>
            </w:tcMar>
            <w:vAlign w:val="center"/>
          </w:tcPr>
          <w:p>
            <w:pPr>
              <w:pStyle w:val="TableContents"/>
              <w:bidi w:val="0"/>
              <w:spacing w:lineRule="auto" w:line="240" w:before="0" w:after="283"/>
              <w:jc w:val="left"/>
              <w:rPr>
                <w:rFonts w:ascii="Adelle Sans;sans-serif" w:hAnsi="Adelle Sans;sans-serif"/>
                <w:b w:val="false"/>
                <w:color w:val="000000"/>
                <w:sz w:val="18"/>
              </w:rPr>
            </w:pPr>
            <w:r>
              <w:rPr>
                <w:rFonts w:ascii="Adelle Sans;sans-serif" w:hAnsi="Adelle Sans;sans-serif"/>
                <w:b w:val="false"/>
                <w:color w:val="000000"/>
                <w:sz w:val="18"/>
              </w:rPr>
              <w:t>Balance, beginning of the period</w:t>
            </w:r>
          </w:p>
        </w:tc>
        <w:tc>
          <w:tcPr>
            <w:tcW w:w="645" w:type="dxa"/>
            <w:gridSpan w:val="2"/>
            <w:tcBorders/>
            <w:shd w:fill="F7F7F7"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129 </w:t>
            </w:r>
          </w:p>
        </w:tc>
        <w:tc>
          <w:tcPr>
            <w:tcW w:w="280" w:type="dxa"/>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2"/>
            <w:tcBorders/>
            <w:shd w:fill="F7F7F7"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177 </w:t>
            </w:r>
          </w:p>
        </w:tc>
        <w:tc>
          <w:tcPr>
            <w:tcW w:w="280" w:type="dxa"/>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7F7F7"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141 </w:t>
            </w:r>
          </w:p>
        </w:tc>
        <w:tc>
          <w:tcPr>
            <w:tcW w:w="258" w:type="dxa"/>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7F7F7"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190 </w:t>
            </w:r>
          </w:p>
        </w:tc>
        <w:tc>
          <w:tcPr>
            <w:tcW w:w="258" w:type="dxa"/>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2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delle Sans;sans-serif" w:hAnsi="Adelle Sans;sans-serif"/>
                <w:b w:val="false"/>
                <w:color w:val="000000"/>
                <w:sz w:val="18"/>
              </w:rPr>
            </w:pPr>
            <w:r>
              <w:rPr>
                <w:rFonts w:ascii="Adelle Sans;sans-serif" w:hAnsi="Adelle Sans;sans-serif"/>
                <w:b w:val="false"/>
                <w:color w:val="000000"/>
                <w:sz w:val="18"/>
              </w:rPr>
              <w:t>Non-cash consideration received in exchange for services</w:t>
            </w:r>
          </w:p>
        </w:tc>
        <w:tc>
          <w:tcPr>
            <w:tcW w:w="6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8 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8 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205" w:type="dxa"/>
            <w:gridSpan w:val="3"/>
            <w:tcBorders/>
            <w:shd w:fill="F7F7F7" w:val="clear"/>
            <w:tcMar>
              <w:top w:w="0" w:type="dxa"/>
              <w:left w:w="0" w:type="dxa"/>
              <w:bottom w:w="0" w:type="dxa"/>
              <w:right w:w="0" w:type="dxa"/>
            </w:tcMar>
            <w:vAlign w:val="center"/>
          </w:tcPr>
          <w:p>
            <w:pPr>
              <w:pStyle w:val="TableContents"/>
              <w:bidi w:val="0"/>
              <w:spacing w:lineRule="auto" w:line="240" w:before="0" w:after="283"/>
              <w:jc w:val="left"/>
              <w:rPr>
                <w:rFonts w:ascii="Adelle Sans;sans-serif" w:hAnsi="Adelle Sans;sans-serif"/>
                <w:b w:val="false"/>
                <w:color w:val="000000"/>
                <w:sz w:val="18"/>
              </w:rPr>
            </w:pPr>
            <w:r>
              <w:rPr>
                <w:rFonts w:ascii="Adelle Sans;sans-serif" w:hAnsi="Adelle Sans;sans-serif"/>
                <w:b w:val="false"/>
                <w:color w:val="000000"/>
                <w:sz w:val="18"/>
              </w:rPr>
              <w:t>Revenue recognized related to non-cash consideration</w:t>
            </w:r>
          </w:p>
        </w:tc>
        <w:tc>
          <w:tcPr>
            <w:tcW w:w="645" w:type="dxa"/>
            <w:gridSpan w:val="2"/>
            <w:tcBorders/>
            <w:shd w:fill="F7F7F7"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(13)</w:t>
            </w:r>
          </w:p>
        </w:tc>
        <w:tc>
          <w:tcPr>
            <w:tcW w:w="280" w:type="dxa"/>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2"/>
            <w:tcBorders/>
            <w:shd w:fill="F7F7F7"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(12)</w:t>
            </w:r>
          </w:p>
        </w:tc>
        <w:tc>
          <w:tcPr>
            <w:tcW w:w="280" w:type="dxa"/>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7F7F7"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(25)</w:t>
            </w:r>
          </w:p>
        </w:tc>
        <w:tc>
          <w:tcPr>
            <w:tcW w:w="258" w:type="dxa"/>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7F7F7"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(25)</w:t>
            </w:r>
          </w:p>
        </w:tc>
        <w:tc>
          <w:tcPr>
            <w:tcW w:w="258" w:type="dxa"/>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2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delle Sans;sans-serif" w:hAnsi="Adelle Sans;sans-serif"/>
                <w:b w:val="false"/>
                <w:color w:val="000000"/>
                <w:sz w:val="18"/>
              </w:rPr>
            </w:pPr>
            <w:r>
              <w:rPr>
                <w:rFonts w:ascii="Adelle Sans;sans-serif" w:hAnsi="Adelle Sans;sans-serif"/>
                <w:b w:val="false"/>
                <w:color w:val="000000"/>
                <w:sz w:val="18"/>
              </w:rPr>
              <w:t>Balance, end of the period</w:t>
            </w:r>
          </w:p>
        </w:tc>
        <w:tc>
          <w:tcPr>
            <w:tcW w:w="645"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124 </w:t>
            </w:r>
          </w:p>
        </w:tc>
        <w:tc>
          <w:tcPr>
            <w:tcW w:w="280"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165 </w:t>
            </w:r>
          </w:p>
        </w:tc>
        <w:tc>
          <w:tcPr>
            <w:tcW w:w="280"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124 </w:t>
            </w:r>
          </w:p>
        </w:tc>
        <w:tc>
          <w:tcPr>
            <w:tcW w:w="258"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165 </w:t>
            </w:r>
          </w:p>
        </w:tc>
        <w:tc>
          <w:tcPr>
            <w:tcW w:w="258"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205" w:type="dxa"/>
            <w:gridSpan w:val="3"/>
            <w:tcBorders>
              <w:top w:val="single" w:sz="8" w:space="0" w:color="000000"/>
            </w:tcBorders>
            <w:shd w:fill="F7F7F7"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3"/>
            <w:tcBorders>
              <w:top w:val="single" w:sz="8" w:space="0" w:color="000000"/>
            </w:tcBorders>
            <w:shd w:fill="F7F7F7"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3"/>
            <w:tcBorders>
              <w:top w:val="single" w:sz="8" w:space="0" w:color="000000"/>
            </w:tcBorders>
            <w:shd w:fill="F7F7F7"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3"/>
            <w:tcBorders>
              <w:top w:val="single" w:sz="8" w:space="0" w:color="000000"/>
            </w:tcBorders>
            <w:shd w:fill="F7F7F7"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7F7F7"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3"/>
            <w:tcBorders>
              <w:top w:val="single" w:sz="8" w:space="0" w:color="000000"/>
            </w:tcBorders>
            <w:shd w:fill="F7F7F7"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3"/>
            <w:tcBorders>
              <w:top w:val="single" w:sz="8" w:space="0" w:color="000000"/>
            </w:tcBorders>
            <w:shd w:fill="F7F7F7"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3"/>
            <w:tcBorders>
              <w:top w:val="single" w:sz="8" w:space="0" w:color="000000"/>
            </w:tcBorders>
            <w:shd w:fill="F7F7F7"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2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delle Sans;sans-serif" w:hAnsi="Adelle Sans;sans-serif"/>
                <w:b w:val="false"/>
                <w:color w:val="000000"/>
                <w:sz w:val="18"/>
              </w:rPr>
            </w:pPr>
            <w:r>
              <w:rPr>
                <w:rFonts w:ascii="Adelle Sans;sans-serif" w:hAnsi="Adelle Sans;sans-serif"/>
                <w:b w:val="false"/>
                <w:color w:val="000000"/>
                <w:sz w:val="18"/>
              </w:rPr>
              <w:t>Current portion</w:t>
            </w:r>
          </w:p>
        </w:tc>
        <w:tc>
          <w:tcPr>
            <w:tcW w:w="9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50 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49 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205" w:type="dxa"/>
            <w:gridSpan w:val="3"/>
            <w:tcBorders/>
            <w:shd w:fill="F7F7F7" w:val="clear"/>
            <w:tcMar>
              <w:top w:w="0" w:type="dxa"/>
              <w:left w:w="0" w:type="dxa"/>
              <w:bottom w:w="0" w:type="dxa"/>
              <w:right w:w="0" w:type="dxa"/>
            </w:tcMar>
            <w:vAlign w:val="center"/>
          </w:tcPr>
          <w:p>
            <w:pPr>
              <w:pStyle w:val="TableContents"/>
              <w:bidi w:val="0"/>
              <w:spacing w:lineRule="auto" w:line="240" w:before="0" w:after="283"/>
              <w:jc w:val="left"/>
              <w:rPr>
                <w:rFonts w:ascii="Adelle Sans;sans-serif" w:hAnsi="Adelle Sans;sans-serif"/>
                <w:b w:val="false"/>
                <w:color w:val="000000"/>
                <w:sz w:val="18"/>
              </w:rPr>
            </w:pPr>
            <w:r>
              <w:rPr>
                <w:rFonts w:ascii="Adelle Sans;sans-serif" w:hAnsi="Adelle Sans;sans-serif"/>
                <w:b w:val="false"/>
                <w:color w:val="000000"/>
                <w:sz w:val="18"/>
              </w:rPr>
              <w:t>Long-term portion</w:t>
            </w:r>
          </w:p>
        </w:tc>
        <w:tc>
          <w:tcPr>
            <w:tcW w:w="925"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7F7F7"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74 </w:t>
            </w:r>
          </w:p>
        </w:tc>
        <w:tc>
          <w:tcPr>
            <w:tcW w:w="258" w:type="dxa"/>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7F7F7"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116 </w:t>
            </w:r>
          </w:p>
        </w:tc>
        <w:tc>
          <w:tcPr>
            <w:tcW w:w="258" w:type="dxa"/>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2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124 </w:t>
            </w:r>
          </w:p>
        </w:tc>
        <w:tc>
          <w:tcPr>
            <w:tcW w:w="25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165 </w:t>
            </w:r>
          </w:p>
        </w:tc>
        <w:tc>
          <w:tcPr>
            <w:tcW w:w="25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jc w:val="both"/>
        <w:rPr>
          <w:rFonts w:ascii="Adelle Sans Light;sans-serif" w:hAnsi="Adelle Sans Light;sans-serif"/>
          <w:b w:val="false"/>
          <w:color w:val="000000"/>
          <w:sz w:val="20"/>
        </w:rPr>
      </w:pPr>
      <w:r>
        <w:rPr>
          <w:rFonts w:ascii="Adelle Sans Light;sans-serif" w:hAnsi="Adelle Sans Light;sans-serif"/>
          <w:b w:val="false"/>
          <w:color w:val="000000"/>
          <w:sz w:val="20"/>
        </w:rPr>
        <w:t>The Company will recognize this revenue ratably over the remaining terms of the respective strategic partnership service agreements, which range from one year to four years.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7955"/>
                <wp:effectExtent l="0" t="0" r="0" b="0"/>
                <wp:wrapNone/>
                <wp:docPr id="20" name="Frame19"/>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200"/>
                              <w:jc w:val="center"/>
                              <w:rPr>
                                <w:rFonts w:ascii="Adelle Sans Light;sans-serif" w:hAnsi="Adelle Sans Light;sans-serif"/>
                                <w:b w:val="false"/>
                                <w:color w:val="000000"/>
                                <w:sz w:val="20"/>
                              </w:rPr>
                            </w:pPr>
                            <w:r>
                              <w:rPr>
                                <w:rFonts w:ascii="Adelle Sans Light;sans-serif" w:hAnsi="Adelle Sans Light;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Adelle Sans Light;sans-serif" w:hAnsi="Adelle Sans Light;sans-serif"/>
                          <w:b w:val="false"/>
                          <w:color w:val="000000"/>
                          <w:sz w:val="20"/>
                        </w:rPr>
                      </w:pPr>
                      <w:r>
                        <w:rPr>
                          <w:rFonts w:ascii="Adelle Sans Light;sans-serif" w:hAnsi="Adelle Sans Light;sans-serif"/>
                          <w:b w:val="false"/>
                          <w:color w:val="000000"/>
                          <w:sz w:val="20"/>
                        </w:rPr>
                        <w:t>19</w:t>
                      </w:r>
                    </w:p>
                  </w:txbxContent>
                </v:textbox>
                <w10:wrap type="none"/>
              </v:rect>
            </w:pict>
          </mc:Fallback>
        </mc:AlternateContent>
      </w:r>
    </w:p>
    <w:p>
      <w:pPr>
        <w:pStyle w:val="TextBody"/>
        <w:bidi w:val="0"/>
        <w:spacing w:lineRule="auto" w:line="288" w:before="0" w:after="200"/>
        <w:jc w:val="both"/>
        <w:rPr/>
      </w:pPr>
      <w:hyperlink w:anchor="iccccf23fa31e44f0aa82c99ca0859db8_7">
        <w:r>
          <w:rPr>
            <w:rStyle w:val="InternetLink"/>
            <w:rFonts w:ascii="Adelle Sans Light;sans-serif" w:hAnsi="Adelle Sans Light;sans-serif"/>
            <w:b w:val="false"/>
            <w:color w:val="0000FF"/>
            <w:sz w:val="20"/>
            <w:u w:val="single"/>
          </w:rPr>
          <w:t>Table of Contents</w:t>
        </w:r>
      </w:hyperlink>
    </w:p>
    <w:p>
      <w:pPr>
        <w:pStyle w:val="TextBody"/>
        <w:bidi w:val="0"/>
        <w:spacing w:lineRule="auto" w:line="288" w:before="0" w:after="200"/>
        <w:ind w:left="0" w:right="0" w:hanging="360"/>
        <w:jc w:val="left"/>
        <w:rPr>
          <w:rFonts w:ascii="Adelle Sans;sans-serif" w:hAnsi="Adelle Sans;sans-serif"/>
          <w:b/>
          <w:color w:val="000000"/>
          <w:sz w:val="20"/>
        </w:rPr>
      </w:pPr>
      <w:bookmarkStart w:id="47" w:name="i5a275e4c50cf48b1b487fc7ed22b62b8"/>
      <w:bookmarkEnd w:id="47"/>
      <w:r>
        <w:rPr>
          <w:rFonts w:ascii="Adelle Sans;sans-serif" w:hAnsi="Adelle Sans;sans-serif"/>
          <w:b/>
          <w:color w:val="000000"/>
          <w:sz w:val="20"/>
        </w:rPr>
        <w:t>8.Contingencies</w:t>
      </w:r>
    </w:p>
    <w:p>
      <w:pPr>
        <w:pStyle w:val="TextBody"/>
        <w:bidi w:val="0"/>
        <w:spacing w:lineRule="auto" w:line="288" w:before="0" w:after="200"/>
        <w:jc w:val="left"/>
        <w:rPr>
          <w:rFonts w:ascii="Adelle Sans;sans-serif" w:hAnsi="Adelle Sans;sans-serif"/>
          <w:b/>
          <w:i/>
          <w:color w:val="000000"/>
          <w:sz w:val="20"/>
        </w:rPr>
      </w:pPr>
      <w:bookmarkStart w:id="48" w:name="icebc6f0fe2b744f2ad8da7039be5aaeb"/>
      <w:bookmarkEnd w:id="48"/>
      <w:r>
        <w:rPr>
          <w:rFonts w:ascii="Adelle Sans;sans-serif" w:hAnsi="Adelle Sans;sans-serif"/>
          <w:b/>
          <w:i/>
          <w:color w:val="000000"/>
          <w:sz w:val="20"/>
        </w:rPr>
        <w:t>Litigation and Loss Contingencies</w:t>
      </w:r>
    </w:p>
    <w:p>
      <w:pPr>
        <w:pStyle w:val="TextBody"/>
        <w:bidi w:val="0"/>
        <w:spacing w:lineRule="auto" w:line="288" w:before="0" w:after="200"/>
        <w:jc w:val="both"/>
        <w:rPr>
          <w:rFonts w:ascii="Adelle Sans Light;sans-serif" w:hAnsi="Adelle Sans Light;sans-serif"/>
          <w:b w:val="false"/>
          <w:color w:val="000000"/>
          <w:sz w:val="20"/>
        </w:rPr>
      </w:pPr>
      <w:r>
        <w:rPr>
          <w:rFonts w:ascii="Adelle Sans Light;sans-serif" w:hAnsi="Adelle Sans Light;sans-serif"/>
          <w:b w:val="false"/>
          <w:color w:val="000000"/>
          <w:sz w:val="20"/>
        </w:rPr>
        <w:t xml:space="preserve">From time to time, the Company may become a party to litigation and subject to claims incidental to the ordinary course of business, including intellectual property claims, labor and employment claims and threatened claims, breach of contract claims, tax and other matters. </w:t>
      </w:r>
    </w:p>
    <w:p>
      <w:pPr>
        <w:pStyle w:val="TextBody"/>
        <w:bidi w:val="0"/>
        <w:spacing w:lineRule="auto" w:line="288" w:before="0" w:after="200"/>
        <w:jc w:val="both"/>
        <w:rPr>
          <w:rFonts w:ascii="Adelle Sans Light;sans-serif" w:hAnsi="Adelle Sans Light;sans-serif"/>
          <w:b w:val="false"/>
          <w:color w:val="000000"/>
          <w:sz w:val="20"/>
        </w:rPr>
      </w:pPr>
      <w:r>
        <w:rPr>
          <w:rFonts w:ascii="Adelle Sans Light;sans-serif" w:hAnsi="Adelle Sans Light;sans-serif"/>
          <w:b w:val="false"/>
          <w:color w:val="000000"/>
          <w:sz w:val="20"/>
        </w:rPr>
        <w:t>The Company records accruals for loss contingencies when losses are probable and reasonably estimable. The Company currently has no material pending litigation or claims. The Company is not aware of any litigation matters or loss contingencies that would be expected to have a material adverse effect on the business, condensed consolidated financial position, results of operations or cash flows.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ind w:left="0" w:right="0" w:hanging="360"/>
        <w:jc w:val="left"/>
        <w:rPr>
          <w:rFonts w:ascii="Adelle Sans;sans-serif" w:hAnsi="Adelle Sans;sans-serif"/>
          <w:b/>
          <w:color w:val="000000"/>
          <w:sz w:val="20"/>
        </w:rPr>
      </w:pPr>
      <w:bookmarkStart w:id="49" w:name="if5abe7dee37c475ca1096aaa306a80af"/>
      <w:bookmarkEnd w:id="49"/>
      <w:r>
        <w:rPr>
          <w:rFonts w:ascii="Adelle Sans;sans-serif" w:hAnsi="Adelle Sans;sans-serif"/>
          <w:b/>
          <w:color w:val="000000"/>
          <w:sz w:val="20"/>
        </w:rPr>
        <w:t>9.Related Parties</w:t>
      </w:r>
    </w:p>
    <w:p>
      <w:pPr>
        <w:pStyle w:val="TextBody"/>
        <w:bidi w:val="0"/>
        <w:spacing w:lineRule="auto" w:line="288" w:before="0" w:after="200"/>
        <w:jc w:val="both"/>
        <w:rPr>
          <w:rFonts w:ascii="Adelle Sans Light;sans-serif" w:hAnsi="Adelle Sans Light;sans-serif"/>
          <w:b w:val="false"/>
          <w:color w:val="000000"/>
          <w:sz w:val="20"/>
        </w:rPr>
      </w:pPr>
      <w:r>
        <w:rPr>
          <w:rFonts w:ascii="Adelle Sans Light;sans-serif" w:hAnsi="Adelle Sans Light;sans-serif"/>
          <w:b w:val="false"/>
          <w:color w:val="000000"/>
          <w:sz w:val="20"/>
        </w:rPr>
        <w:t xml:space="preserve">The Company has a commercial agreement with Flexport, a company in which it has an equity method investment. The Company is entitled to earn a share of revenues for orders processed or otherwise sent through services provided by Shopify, subject to certain financial conditions. In the three and six months ended June 30, 2026, as certain financial conditions were not met, the Company recognized nil revenue related to this agreement. The Company has a separate agreement with Flexport to provide co-marketing services for the coordinated marketing of fulfillment-related products and services to current and prospective merchants. In the three and six months ended June 30, 2026, the Company recognized $3 million and $6 million of expense in the condensed consolidated statements of operations and comprehensive income (June 30, 2025 - $2 million and $4 million), respectively, and as of June 30, 2026, $16 million in "Other current assets" and $5 million in "Other long-term assets" in the condensed consolidated balance sheets are related to this agreement. </w:t>
      </w:r>
    </w:p>
    <w:p>
      <w:pPr>
        <w:pStyle w:val="TextBody"/>
        <w:bidi w:val="0"/>
        <w:spacing w:lineRule="auto" w:line="288" w:before="0" w:after="200"/>
        <w:jc w:val="both"/>
        <w:rPr>
          <w:rFonts w:ascii="Adelle Sans Light;sans-serif" w:hAnsi="Adelle Sans Light;sans-serif"/>
          <w:b w:val="false"/>
          <w:color w:val="000000"/>
          <w:sz w:val="20"/>
        </w:rPr>
      </w:pPr>
      <w:r>
        <w:rPr>
          <w:rFonts w:ascii="Adelle Sans Light;sans-serif" w:hAnsi="Adelle Sans Light;sans-serif"/>
          <w:b w:val="false"/>
          <w:color w:val="000000"/>
          <w:sz w:val="20"/>
        </w:rPr>
        <w:t xml:space="preserve">The Company also has an investment in Flexport in the form of convertible notes with a fair value of $343 million as of June 30, 2026 (December 31, 2025 - $326 million). The Company has elected to account for it using the fair value option for the investment, which is classified within "Equity and other investments" in the condensed consolidated balance sheets. In the three and six months ended June 30, 2026, the Company has recognized $10 million and $19 million of interest income related to the convertible notes within "Interest income" (June 30, 2025 - $9 million and $17 million), and an immaterial amount of unrealized gains in the condensed consolidated statements of operations and comprehensive income.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7955"/>
                <wp:effectExtent l="0" t="0" r="0" b="0"/>
                <wp:wrapNone/>
                <wp:docPr id="21" name="Frame20"/>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200"/>
                              <w:jc w:val="center"/>
                              <w:rPr>
                                <w:rFonts w:ascii="Adelle Sans Light;sans-serif" w:hAnsi="Adelle Sans Light;sans-serif"/>
                                <w:b w:val="false"/>
                                <w:color w:val="000000"/>
                                <w:sz w:val="20"/>
                              </w:rPr>
                            </w:pPr>
                            <w:r>
                              <w:rPr>
                                <w:rFonts w:ascii="Adelle Sans Light;sans-serif" w:hAnsi="Adelle Sans Light;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Adelle Sans Light;sans-serif" w:hAnsi="Adelle Sans Light;sans-serif"/>
                          <w:b w:val="false"/>
                          <w:color w:val="000000"/>
                          <w:sz w:val="20"/>
                        </w:rPr>
                      </w:pPr>
                      <w:r>
                        <w:rPr>
                          <w:rFonts w:ascii="Adelle Sans Light;sans-serif" w:hAnsi="Adelle Sans Light;sans-serif"/>
                          <w:b w:val="false"/>
                          <w:color w:val="000000"/>
                          <w:sz w:val="20"/>
                        </w:rPr>
                        <w:t>20</w:t>
                      </w:r>
                    </w:p>
                  </w:txbxContent>
                </v:textbox>
                <w10:wrap type="none"/>
              </v:rect>
            </w:pict>
          </mc:Fallback>
        </mc:AlternateContent>
      </w:r>
    </w:p>
    <w:p>
      <w:pPr>
        <w:pStyle w:val="TextBody"/>
        <w:bidi w:val="0"/>
        <w:spacing w:lineRule="auto" w:line="288" w:before="0" w:after="200"/>
        <w:jc w:val="both"/>
        <w:rPr/>
      </w:pPr>
      <w:hyperlink w:anchor="iccccf23fa31e44f0aa82c99ca0859db8_7">
        <w:r>
          <w:rPr>
            <w:rStyle w:val="InternetLink"/>
            <w:rFonts w:ascii="Adelle Sans Light;sans-serif" w:hAnsi="Adelle Sans Light;sans-serif"/>
            <w:b w:val="false"/>
            <w:color w:val="0000FF"/>
            <w:sz w:val="20"/>
            <w:u w:val="single"/>
          </w:rPr>
          <w:t>Table of Contents</w:t>
        </w:r>
      </w:hyperlink>
    </w:p>
    <w:p>
      <w:pPr>
        <w:pStyle w:val="TextBody"/>
        <w:bidi w:val="0"/>
        <w:spacing w:lineRule="auto" w:line="288" w:before="0" w:after="200"/>
        <w:ind w:left="0" w:right="0" w:hanging="360"/>
        <w:jc w:val="left"/>
        <w:rPr>
          <w:rFonts w:ascii="Adelle Sans;sans-serif" w:hAnsi="Adelle Sans;sans-serif"/>
          <w:b/>
          <w:color w:val="000000"/>
          <w:sz w:val="20"/>
        </w:rPr>
      </w:pPr>
      <w:bookmarkStart w:id="50" w:name="i529a9ed20a85410bbafea0003d3008d9"/>
      <w:bookmarkEnd w:id="50"/>
      <w:r>
        <w:rPr>
          <w:rFonts w:ascii="Adelle Sans;sans-serif" w:hAnsi="Adelle Sans;sans-serif"/>
          <w:b/>
          <w:color w:val="000000"/>
          <w:sz w:val="20"/>
        </w:rPr>
        <w:t xml:space="preserve">10.Shareholders’ Equity </w:t>
      </w:r>
    </w:p>
    <w:p>
      <w:pPr>
        <w:pStyle w:val="TextBody"/>
        <w:bidi w:val="0"/>
        <w:spacing w:lineRule="auto" w:line="288" w:before="0" w:after="200"/>
        <w:jc w:val="left"/>
        <w:rPr>
          <w:rFonts w:ascii="Adelle Sans;sans-serif" w:hAnsi="Adelle Sans;sans-serif"/>
          <w:b/>
          <w:i/>
          <w:color w:val="000000"/>
          <w:sz w:val="20"/>
        </w:rPr>
      </w:pPr>
      <w:bookmarkStart w:id="51" w:name="id7958a47fc28422ca7e84d8efbfa5273"/>
      <w:bookmarkEnd w:id="51"/>
      <w:r>
        <w:rPr>
          <w:rFonts w:ascii="Adelle Sans;sans-serif" w:hAnsi="Adelle Sans;sans-serif"/>
          <w:b/>
          <w:i/>
          <w:color w:val="000000"/>
          <w:sz w:val="20"/>
        </w:rPr>
        <w:t>Stock-Based Compensation</w:t>
      </w:r>
    </w:p>
    <w:p>
      <w:pPr>
        <w:pStyle w:val="TextBody"/>
        <w:bidi w:val="0"/>
        <w:spacing w:lineRule="auto" w:line="288" w:before="0" w:after="200"/>
        <w:jc w:val="both"/>
        <w:rPr>
          <w:rFonts w:ascii="Adelle Sans Light;sans-serif" w:hAnsi="Adelle Sans Light;sans-serif"/>
          <w:b w:val="false"/>
          <w:color w:val="000000"/>
          <w:sz w:val="20"/>
        </w:rPr>
      </w:pPr>
      <w:r>
        <w:rPr>
          <w:rFonts w:ascii="Adelle Sans Light;sans-serif" w:hAnsi="Adelle Sans Light;sans-serif"/>
          <w:b w:val="false"/>
          <w:color w:val="000000"/>
          <w:sz w:val="20"/>
        </w:rPr>
        <w:t>As of June 30, 2026, there were 532,045,118 shares reserved for issuance under the Company's Third Amended and Restated Stock Option Plan ("SOP") and the Third Amended and Restated Long Term Incentive Plan ("LTIP").</w:t>
      </w:r>
    </w:p>
    <w:p>
      <w:pPr>
        <w:pStyle w:val="TextBody"/>
        <w:bidi w:val="0"/>
        <w:spacing w:lineRule="auto" w:line="288" w:before="0" w:after="200"/>
        <w:jc w:val="both"/>
        <w:rPr>
          <w:rFonts w:ascii="Adelle Sans Light;sans-serif" w:hAnsi="Adelle Sans Light;sans-serif"/>
          <w:b w:val="false"/>
          <w:color w:val="000000"/>
          <w:sz w:val="20"/>
        </w:rPr>
      </w:pPr>
      <w:r>
        <w:rPr>
          <w:rFonts w:ascii="Adelle Sans Light;sans-serif" w:hAnsi="Adelle Sans Light;sans-serif"/>
          <w:b w:val="false"/>
          <w:color w:val="000000"/>
          <w:sz w:val="20"/>
        </w:rPr>
        <w:t>The following table summarizes the stock option and Restricted Share Unit ("RSU") award activities under the Company's share-based compensation plans for the six months ended June 30, 2026:</w:t>
      </w:r>
    </w:p>
    <w:tbl>
      <w:tblPr>
        <w:tblW w:w="11732" w:type="dxa"/>
        <w:jc w:val="left"/>
        <w:tblInd w:w="0" w:type="dxa"/>
        <w:tblLayout w:type="fixed"/>
        <w:tblCellMar>
          <w:top w:w="28" w:type="dxa"/>
          <w:left w:w="28" w:type="dxa"/>
          <w:bottom w:w="28" w:type="dxa"/>
          <w:right w:w="28" w:type="dxa"/>
        </w:tblCellMar>
      </w:tblPr>
      <w:tblGrid>
        <w:gridCol w:w="435"/>
        <w:gridCol w:w="330"/>
        <w:gridCol w:w="331"/>
        <w:gridCol w:w="679"/>
        <w:gridCol w:w="567"/>
        <w:gridCol w:w="296"/>
        <w:gridCol w:w="109"/>
        <w:gridCol w:w="109"/>
        <w:gridCol w:w="109"/>
        <w:gridCol w:w="330"/>
        <w:gridCol w:w="330"/>
        <w:gridCol w:w="331"/>
        <w:gridCol w:w="109"/>
        <w:gridCol w:w="109"/>
        <w:gridCol w:w="109"/>
        <w:gridCol w:w="395"/>
        <w:gridCol w:w="395"/>
        <w:gridCol w:w="396"/>
        <w:gridCol w:w="109"/>
        <w:gridCol w:w="109"/>
        <w:gridCol w:w="109"/>
        <w:gridCol w:w="355"/>
        <w:gridCol w:w="355"/>
        <w:gridCol w:w="356"/>
        <w:gridCol w:w="109"/>
        <w:gridCol w:w="109"/>
        <w:gridCol w:w="109"/>
        <w:gridCol w:w="330"/>
        <w:gridCol w:w="330"/>
        <w:gridCol w:w="331"/>
        <w:gridCol w:w="109"/>
        <w:gridCol w:w="109"/>
        <w:gridCol w:w="109"/>
        <w:gridCol w:w="599"/>
        <w:gridCol w:w="527"/>
        <w:gridCol w:w="421"/>
        <w:gridCol w:w="138"/>
        <w:gridCol w:w="138"/>
        <w:gridCol w:w="138"/>
        <w:gridCol w:w="527"/>
        <w:gridCol w:w="299"/>
        <w:gridCol w:w="438"/>
      </w:tblGrid>
      <w:tr>
        <w:trPr/>
        <w:tc>
          <w:tcPr>
            <w:tcW w:w="435"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r>
      <w:tr>
        <w:trPr/>
        <w:tc>
          <w:tcPr>
            <w:tcW w:w="10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4"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Adelle Sans;sans-serif" w:hAnsi="Adelle Sans;sans-serif"/>
                <w:b/>
                <w:color w:val="000000"/>
                <w:sz w:val="16"/>
              </w:rPr>
            </w:pPr>
            <w:r>
              <w:rPr>
                <w:rFonts w:ascii="Adelle Sans;sans-serif" w:hAnsi="Adelle Sans;sans-serif"/>
                <w:b/>
                <w:color w:val="000000"/>
                <w:sz w:val="16"/>
              </w:rPr>
              <w:t>Shares Subject to Options Outstanding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delle Sans;sans-serif" w:hAnsi="Adelle Sans;sans-serif"/>
                <w:b/>
                <w:color w:val="000000"/>
                <w:sz w:val="16"/>
              </w:rPr>
            </w:pPr>
            <w:r>
              <w:rPr>
                <w:rFonts w:ascii="Adelle Sans;sans-serif" w:hAnsi="Adelle Sans;sans-serif"/>
                <w:b/>
                <w:color w:val="000000"/>
                <w:sz w:val="16"/>
              </w:rPr>
              <w:t>Outstanding RSUs</w:t>
            </w:r>
          </w:p>
        </w:tc>
      </w:tr>
      <w:tr>
        <w:trPr/>
        <w:tc>
          <w:tcPr>
            <w:tcW w:w="10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2"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0"/>
              <w:jc w:val="center"/>
              <w:rPr/>
            </w:pPr>
            <w:r>
              <w:rPr>
                <w:rFonts w:ascii="Adelle Sans;sans-serif" w:hAnsi="Adelle Sans;sans-serif"/>
                <w:b/>
                <w:color w:val="000000"/>
                <w:sz w:val="16"/>
              </w:rPr>
              <w:t>Number of Options</w:t>
            </w:r>
            <w:r>
              <w:rPr>
                <w:rFonts w:ascii="Adelle Sans;sans-serif" w:hAnsi="Adelle Sans;sans-serif"/>
                <w:b/>
                <w:color w:val="000000"/>
                <w:sz w:val="10"/>
              </w:rPr>
              <w:t>(1)</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Adelle Sans;sans-serif" w:hAnsi="Adelle Sans;sans-serif"/>
                <w:b/>
                <w:color w:val="000000"/>
                <w:sz w:val="16"/>
              </w:rPr>
            </w:pPr>
            <w:r>
              <w:rPr>
                <w:rFonts w:ascii="Adelle Sans;sans-serif" w:hAnsi="Adelle Sans;sans-serif"/>
                <w:b/>
                <w:color w:val="000000"/>
                <w:sz w:val="16"/>
              </w:rPr>
              <w:t>Weighted Average Exercise Price</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Adelle Sans;sans-serif" w:hAnsi="Adelle Sans;sans-serif"/>
                <w:b/>
                <w:color w:val="000000"/>
                <w:sz w:val="16"/>
              </w:rPr>
            </w:pPr>
            <w:r>
              <w:rPr>
                <w:rFonts w:ascii="Adelle Sans;sans-serif" w:hAnsi="Adelle Sans;sans-serif"/>
                <w:b/>
                <w:color w:val="000000"/>
                <w:sz w:val="16"/>
              </w:rPr>
              <w:t>Remaining Contractual Term (in years)</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0"/>
              <w:jc w:val="center"/>
              <w:rPr/>
            </w:pPr>
            <w:r>
              <w:rPr>
                <w:rFonts w:ascii="Adelle Sans;sans-serif" w:hAnsi="Adelle Sans;sans-serif"/>
                <w:b/>
                <w:color w:val="000000"/>
                <w:sz w:val="16"/>
              </w:rPr>
              <w:t>Aggregate Intrinsic Value</w:t>
            </w:r>
            <w:r>
              <w:rPr>
                <w:rFonts w:ascii="Adelle Sans;sans-serif" w:hAnsi="Adelle Sans;sans-serif"/>
                <w:b/>
                <w:color w:val="000000"/>
                <w:sz w:val="10"/>
              </w:rPr>
              <w:t>(2)</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Adelle Sans;sans-serif" w:hAnsi="Adelle Sans;sans-serif"/>
                <w:b/>
                <w:color w:val="000000"/>
                <w:sz w:val="16"/>
              </w:rPr>
            </w:pPr>
            <w:r>
              <w:rPr>
                <w:rFonts w:ascii="Adelle Sans;sans-serif" w:hAnsi="Adelle Sans;sans-serif"/>
                <w:b/>
                <w:color w:val="000000"/>
                <w:sz w:val="16"/>
              </w:rPr>
              <w:t>Weighted Average Grant Date Fair Value</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547"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Adelle Sans;sans-serif" w:hAnsi="Adelle Sans;sans-serif"/>
                <w:b/>
                <w:color w:val="000000"/>
                <w:sz w:val="16"/>
              </w:rPr>
            </w:pPr>
            <w:r>
              <w:rPr>
                <w:rFonts w:ascii="Adelle Sans;sans-serif" w:hAnsi="Adelle Sans;sans-serif"/>
                <w:b/>
                <w:color w:val="000000"/>
                <w:sz w:val="16"/>
              </w:rPr>
              <w:t>Outstanding RSUs</w:t>
            </w:r>
          </w:p>
        </w:tc>
        <w:tc>
          <w:tcPr>
            <w:tcW w:w="414"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Adelle Sans;sans-serif" w:hAnsi="Adelle Sans;sans-serif"/>
                <w:b/>
                <w:color w:val="000000"/>
                <w:sz w:val="16"/>
              </w:rPr>
            </w:pPr>
            <w:r>
              <w:rPr>
                <w:rFonts w:ascii="Adelle Sans;sans-serif" w:hAnsi="Adelle Sans;sans-serif"/>
                <w:b/>
                <w:color w:val="000000"/>
                <w:sz w:val="16"/>
              </w:rPr>
              <w:t>Weighted Average Grant Date Fair Value</w:t>
            </w:r>
          </w:p>
        </w:tc>
      </w:tr>
      <w:tr>
        <w:trPr/>
        <w:tc>
          <w:tcPr>
            <w:tcW w:w="10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6" w:type="dxa"/>
            <w:gridSpan w:val="3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delle Sans;sans-serif" w:hAnsi="Adelle Sans;sans-serif"/>
                <w:b w:val="false"/>
                <w:color w:val="000000"/>
                <w:sz w:val="16"/>
              </w:rPr>
            </w:pPr>
            <w:r>
              <w:rPr>
                <w:rFonts w:ascii="Adelle Sans;sans-serif" w:hAnsi="Adelle Sans;sans-serif"/>
                <w:b w:val="false"/>
                <w:color w:val="000000"/>
                <w:sz w:val="16"/>
              </w:rPr>
              <w:t>(in US $ millions, except share and share price amounts)</w:t>
            </w:r>
          </w:p>
        </w:tc>
      </w:tr>
      <w:tr>
        <w:trPr/>
        <w:tc>
          <w:tcPr>
            <w:tcW w:w="1096" w:type="dxa"/>
            <w:gridSpan w:val="3"/>
            <w:tcBorders/>
            <w:shd w:fill="F7F7F7" w:val="clear"/>
            <w:tcMar>
              <w:top w:w="0" w:type="dxa"/>
              <w:left w:w="0" w:type="dxa"/>
              <w:bottom w:w="0" w:type="dxa"/>
              <w:right w:w="0" w:type="dxa"/>
            </w:tcMar>
            <w:vAlign w:val="center"/>
          </w:tcPr>
          <w:p>
            <w:pPr>
              <w:pStyle w:val="TableContents"/>
              <w:bidi w:val="0"/>
              <w:spacing w:lineRule="auto" w:line="240" w:before="0" w:after="283"/>
              <w:jc w:val="left"/>
              <w:rPr>
                <w:rFonts w:ascii="Adelle Sans;sans-serif" w:hAnsi="Adelle Sans;sans-serif"/>
                <w:b/>
                <w:color w:val="000000"/>
                <w:sz w:val="16"/>
              </w:rPr>
            </w:pPr>
            <w:r>
              <w:rPr>
                <w:rFonts w:ascii="Adelle Sans;sans-serif" w:hAnsi="Adelle Sans;sans-serif"/>
                <w:b/>
                <w:color w:val="000000"/>
                <w:sz w:val="16"/>
              </w:rPr>
              <w:t>December 31, 2025</w:t>
            </w:r>
          </w:p>
        </w:tc>
        <w:tc>
          <w:tcPr>
            <w:tcW w:w="1246" w:type="dxa"/>
            <w:gridSpan w:val="2"/>
            <w:tcBorders/>
            <w:shd w:fill="F7F7F7" w:val="clear"/>
            <w:tcMar>
              <w:top w:w="0" w:type="dxa"/>
              <w:left w:w="0" w:type="dxa"/>
              <w:bottom w:w="0" w:type="dxa"/>
              <w:right w:w="0" w:type="dxa"/>
            </w:tcMar>
            <w:vAlign w:val="center"/>
          </w:tcPr>
          <w:p>
            <w:pPr>
              <w:pStyle w:val="TableContents"/>
              <w:bidi w:val="0"/>
              <w:spacing w:lineRule="auto" w:line="240" w:before="0" w:after="283"/>
              <w:jc w:val="right"/>
              <w:rPr/>
            </w:pPr>
            <w:r>
              <w:rPr>
                <w:rFonts w:ascii="Adelle Sans;sans-serif" w:hAnsi="Adelle Sans;sans-serif"/>
                <w:b/>
                <w:color w:val="000000"/>
                <w:sz w:val="16"/>
              </w:rPr>
              <w:t>10,200,678</w:t>
            </w:r>
            <w:r>
              <w:rPr>
                <w:color w:val="000000"/>
              </w:rPr>
              <w:t> </w:t>
            </w:r>
          </w:p>
        </w:tc>
        <w:tc>
          <w:tcPr>
            <w:tcW w:w="296" w:type="dxa"/>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7F7F7"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color w:val="000000"/>
                <w:sz w:val="16"/>
              </w:rPr>
            </w:pPr>
            <w:r>
              <w:rPr>
                <w:rFonts w:ascii="Adelle Sans;sans-serif" w:hAnsi="Adelle Sans;sans-serif"/>
                <w:b/>
                <w:color w:val="000000"/>
                <w:sz w:val="16"/>
              </w:rPr>
              <w:t>80.03</w:t>
            </w:r>
          </w:p>
        </w:tc>
        <w:tc>
          <w:tcPr>
            <w:tcW w:w="327"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F7F7F7"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color w:val="000000"/>
                <w:sz w:val="16"/>
              </w:rPr>
            </w:pPr>
            <w:r>
              <w:rPr>
                <w:rFonts w:ascii="Adelle Sans;sans-serif" w:hAnsi="Adelle Sans;sans-serif"/>
                <w:b/>
                <w:color w:val="000000"/>
                <w:sz w:val="16"/>
              </w:rPr>
              <w:t>7.22</w:t>
            </w:r>
          </w:p>
        </w:tc>
        <w:tc>
          <w:tcPr>
            <w:tcW w:w="327"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2"/>
            <w:tcBorders/>
            <w:shd w:fill="F7F7F7" w:val="clear"/>
            <w:tcMar>
              <w:top w:w="0" w:type="dxa"/>
              <w:left w:w="0" w:type="dxa"/>
              <w:bottom w:w="0" w:type="dxa"/>
              <w:right w:w="0" w:type="dxa"/>
            </w:tcMar>
            <w:vAlign w:val="center"/>
          </w:tcPr>
          <w:p>
            <w:pPr>
              <w:pStyle w:val="TableContents"/>
              <w:bidi w:val="0"/>
              <w:spacing w:lineRule="auto" w:line="240" w:before="0" w:after="283"/>
              <w:jc w:val="right"/>
              <w:rPr/>
            </w:pPr>
            <w:r>
              <w:rPr>
                <w:rFonts w:ascii="Adelle Sans;sans-serif" w:hAnsi="Adelle Sans;sans-serif"/>
                <w:b/>
                <w:color w:val="000000"/>
                <w:sz w:val="16"/>
              </w:rPr>
              <w:t>826</w:t>
            </w:r>
            <w:r>
              <w:rPr>
                <w:color w:val="000000"/>
              </w:rPr>
              <w:t> </w:t>
            </w:r>
          </w:p>
        </w:tc>
        <w:tc>
          <w:tcPr>
            <w:tcW w:w="356" w:type="dxa"/>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2"/>
            <w:tcBorders/>
            <w:shd w:fill="F7F7F7"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1" w:type="dxa"/>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F7F7F7" w:val="clear"/>
            <w:tcMar>
              <w:top w:w="0" w:type="dxa"/>
              <w:left w:w="0" w:type="dxa"/>
              <w:bottom w:w="0" w:type="dxa"/>
              <w:right w:w="0" w:type="dxa"/>
            </w:tcMar>
            <w:vAlign w:val="center"/>
          </w:tcPr>
          <w:p>
            <w:pPr>
              <w:pStyle w:val="TableContents"/>
              <w:bidi w:val="0"/>
              <w:spacing w:lineRule="auto" w:line="240" w:before="0" w:after="283"/>
              <w:jc w:val="right"/>
              <w:rPr/>
            </w:pPr>
            <w:r>
              <w:rPr>
                <w:rFonts w:ascii="Adelle Sans;sans-serif" w:hAnsi="Adelle Sans;sans-serif"/>
                <w:b/>
                <w:color w:val="000000"/>
                <w:sz w:val="16"/>
              </w:rPr>
              <w:t>3,486,886</w:t>
            </w:r>
            <w:r>
              <w:rPr>
                <w:color w:val="000000"/>
              </w:rPr>
              <w:t> </w:t>
            </w:r>
          </w:p>
        </w:tc>
        <w:tc>
          <w:tcPr>
            <w:tcW w:w="421" w:type="dxa"/>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7F7F7" w:val="clear"/>
            <w:tcMar>
              <w:top w:w="0" w:type="dxa"/>
              <w:left w:w="0" w:type="dxa"/>
              <w:bottom w:w="0" w:type="dxa"/>
              <w:right w:w="0" w:type="dxa"/>
            </w:tcMar>
            <w:vAlign w:val="center"/>
          </w:tcPr>
          <w:p>
            <w:pPr>
              <w:pStyle w:val="TableContents"/>
              <w:bidi w:val="0"/>
              <w:spacing w:lineRule="auto" w:line="240" w:before="0" w:after="283"/>
              <w:jc w:val="right"/>
              <w:rPr/>
            </w:pPr>
            <w:r>
              <w:rPr>
                <w:rFonts w:ascii="Adelle Sans;sans-serif" w:hAnsi="Adelle Sans;sans-serif"/>
                <w:b/>
                <w:color w:val="000000"/>
                <w:sz w:val="16"/>
              </w:rPr>
              <w:t>110.16</w:t>
            </w:r>
            <w:r>
              <w:rPr>
                <w:color w:val="000000"/>
              </w:rPr>
              <w:t> </w:t>
            </w:r>
          </w:p>
        </w:tc>
        <w:tc>
          <w:tcPr>
            <w:tcW w:w="438" w:type="dxa"/>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delle Sans;sans-serif" w:hAnsi="Adelle Sans;sans-serif"/>
                <w:b w:val="false"/>
                <w:color w:val="000000"/>
                <w:sz w:val="16"/>
              </w:rPr>
            </w:pPr>
            <w:r>
              <w:rPr>
                <w:rFonts w:ascii="Adelle Sans;sans-serif" w:hAnsi="Adelle Sans;sans-serif"/>
                <w:b w:val="false"/>
                <w:color w:val="000000"/>
                <w:sz w:val="16"/>
              </w:rPr>
              <w:t>Stock options granted</w:t>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6"/>
              </w:rPr>
            </w:pPr>
            <w:r>
              <w:rPr>
                <w:rFonts w:ascii="Adelle Sans;sans-serif" w:hAnsi="Adelle Sans;sans-serif"/>
                <w:b w:val="false"/>
                <w:color w:val="000000"/>
                <w:sz w:val="16"/>
              </w:rPr>
              <w:t>2,890,556 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6"/>
              </w:rPr>
            </w:pPr>
            <w:r>
              <w:rPr>
                <w:rFonts w:ascii="Adelle Sans;sans-serif" w:hAnsi="Adelle Sans;sans-serif"/>
                <w:b w:val="false"/>
                <w:color w:val="000000"/>
                <w:sz w:val="16"/>
              </w:rPr>
              <w:t>114.95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6"/>
              </w:rPr>
            </w:pPr>
            <w:r>
              <w:rPr>
                <w:rFonts w:ascii="Adelle Sans;sans-serif" w:hAnsi="Adelle Sans;sans-serif"/>
                <w:b w:val="false"/>
                <w:color w:val="000000"/>
                <w:sz w:val="16"/>
              </w:rPr>
              <w:t>52.60 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F7F7F7" w:val="clear"/>
            <w:tcMar>
              <w:top w:w="0" w:type="dxa"/>
              <w:left w:w="0" w:type="dxa"/>
              <w:bottom w:w="0" w:type="dxa"/>
              <w:right w:w="0" w:type="dxa"/>
            </w:tcMar>
            <w:vAlign w:val="center"/>
          </w:tcPr>
          <w:p>
            <w:pPr>
              <w:pStyle w:val="TableContents"/>
              <w:bidi w:val="0"/>
              <w:spacing w:lineRule="auto" w:line="240" w:before="0" w:after="283"/>
              <w:jc w:val="left"/>
              <w:rPr>
                <w:rFonts w:ascii="Adelle Sans;sans-serif" w:hAnsi="Adelle Sans;sans-serif"/>
                <w:b w:val="false"/>
                <w:color w:val="000000"/>
                <w:sz w:val="16"/>
              </w:rPr>
            </w:pPr>
            <w:r>
              <w:rPr>
                <w:rFonts w:ascii="Adelle Sans;sans-serif" w:hAnsi="Adelle Sans;sans-serif"/>
                <w:b w:val="false"/>
                <w:color w:val="000000"/>
                <w:sz w:val="16"/>
              </w:rPr>
              <w:t>Stock options exercised</w:t>
            </w:r>
          </w:p>
        </w:tc>
        <w:tc>
          <w:tcPr>
            <w:tcW w:w="1246" w:type="dxa"/>
            <w:gridSpan w:val="2"/>
            <w:tcBorders/>
            <w:shd w:fill="F7F7F7"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6"/>
              </w:rPr>
            </w:pPr>
            <w:r>
              <w:rPr>
                <w:rFonts w:ascii="Adelle Sans;sans-serif" w:hAnsi="Adelle Sans;sans-serif"/>
                <w:b w:val="false"/>
                <w:color w:val="000000"/>
                <w:sz w:val="16"/>
              </w:rPr>
              <w:t>(314,446)</w:t>
            </w:r>
          </w:p>
        </w:tc>
        <w:tc>
          <w:tcPr>
            <w:tcW w:w="296" w:type="dxa"/>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7F7F7"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6"/>
              </w:rPr>
            </w:pPr>
            <w:r>
              <w:rPr>
                <w:rFonts w:ascii="Adelle Sans;sans-serif" w:hAnsi="Adelle Sans;sans-serif"/>
                <w:b w:val="false"/>
                <w:color w:val="000000"/>
                <w:sz w:val="16"/>
              </w:rPr>
              <w:t>29.58</w:t>
            </w:r>
          </w:p>
        </w:tc>
        <w:tc>
          <w:tcPr>
            <w:tcW w:w="327"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7"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delle Sans;sans-serif" w:hAnsi="Adelle Sans;sans-serif"/>
                <w:b w:val="false"/>
                <w:color w:val="000000"/>
                <w:sz w:val="16"/>
              </w:rPr>
            </w:pPr>
            <w:r>
              <w:rPr>
                <w:rFonts w:ascii="Adelle Sans;sans-serif" w:hAnsi="Adelle Sans;sans-serif"/>
                <w:b w:val="false"/>
                <w:color w:val="000000"/>
                <w:sz w:val="16"/>
              </w:rPr>
              <w:t>Stock options forfeited</w:t>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6"/>
              </w:rPr>
            </w:pPr>
            <w:r>
              <w:rPr>
                <w:rFonts w:ascii="Adelle Sans;sans-serif" w:hAnsi="Adelle Sans;sans-serif"/>
                <w:b w:val="false"/>
                <w:color w:val="000000"/>
                <w:sz w:val="16"/>
              </w:rPr>
              <w:t>(273,197)</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6"/>
              </w:rPr>
            </w:pPr>
            <w:r>
              <w:rPr>
                <w:rFonts w:ascii="Adelle Sans;sans-serif" w:hAnsi="Adelle Sans;sans-serif"/>
                <w:b w:val="false"/>
                <w:color w:val="000000"/>
                <w:sz w:val="16"/>
              </w:rPr>
              <w:t>107.52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F7F7F7" w:val="clear"/>
            <w:tcMar>
              <w:top w:w="0" w:type="dxa"/>
              <w:left w:w="0" w:type="dxa"/>
              <w:bottom w:w="0" w:type="dxa"/>
              <w:right w:w="0" w:type="dxa"/>
            </w:tcMar>
            <w:vAlign w:val="center"/>
          </w:tcPr>
          <w:p>
            <w:pPr>
              <w:pStyle w:val="TableContents"/>
              <w:bidi w:val="0"/>
              <w:spacing w:lineRule="auto" w:line="240" w:before="0" w:after="283"/>
              <w:jc w:val="left"/>
              <w:rPr>
                <w:rFonts w:ascii="Adelle Sans;sans-serif" w:hAnsi="Adelle Sans;sans-serif"/>
                <w:b w:val="false"/>
                <w:color w:val="000000"/>
                <w:sz w:val="16"/>
              </w:rPr>
            </w:pPr>
            <w:r>
              <w:rPr>
                <w:rFonts w:ascii="Adelle Sans;sans-serif" w:hAnsi="Adelle Sans;sans-serif"/>
                <w:b w:val="false"/>
                <w:color w:val="000000"/>
                <w:sz w:val="16"/>
              </w:rPr>
              <w:t>RSUs granted</w:t>
            </w:r>
          </w:p>
        </w:tc>
        <w:tc>
          <w:tcPr>
            <w:tcW w:w="1542"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F7F7F7"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6"/>
              </w:rPr>
            </w:pPr>
            <w:r>
              <w:rPr>
                <w:rFonts w:ascii="Adelle Sans;sans-serif" w:hAnsi="Adelle Sans;sans-serif"/>
                <w:b w:val="false"/>
                <w:color w:val="000000"/>
                <w:sz w:val="16"/>
              </w:rPr>
              <w:t>3,456,081 </w:t>
            </w:r>
          </w:p>
        </w:tc>
        <w:tc>
          <w:tcPr>
            <w:tcW w:w="421" w:type="dxa"/>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7F7F7"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6"/>
              </w:rPr>
            </w:pPr>
            <w:r>
              <w:rPr>
                <w:rFonts w:ascii="Adelle Sans;sans-serif" w:hAnsi="Adelle Sans;sans-serif"/>
                <w:b w:val="false"/>
                <w:color w:val="000000"/>
                <w:sz w:val="16"/>
              </w:rPr>
              <w:t>117.19 </w:t>
            </w:r>
          </w:p>
        </w:tc>
        <w:tc>
          <w:tcPr>
            <w:tcW w:w="438" w:type="dxa"/>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delle Sans;sans-serif" w:hAnsi="Adelle Sans;sans-serif"/>
                <w:b w:val="false"/>
                <w:color w:val="000000"/>
                <w:sz w:val="16"/>
              </w:rPr>
            </w:pPr>
            <w:r>
              <w:rPr>
                <w:rFonts w:ascii="Adelle Sans;sans-serif" w:hAnsi="Adelle Sans;sans-serif"/>
                <w:b w:val="false"/>
                <w:color w:val="000000"/>
                <w:sz w:val="16"/>
              </w:rPr>
              <w:t>RSUs settled</w:t>
            </w:r>
          </w:p>
        </w:tc>
        <w:tc>
          <w:tcPr>
            <w:tcW w:w="15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6"/>
              </w:rPr>
            </w:pPr>
            <w:r>
              <w:rPr>
                <w:rFonts w:ascii="Adelle Sans;sans-serif" w:hAnsi="Adelle Sans;sans-serif"/>
                <w:b w:val="false"/>
                <w:color w:val="000000"/>
                <w:sz w:val="16"/>
              </w:rPr>
              <w:t>(1,847,817)</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6"/>
              </w:rPr>
            </w:pPr>
            <w:r>
              <w:rPr>
                <w:rFonts w:ascii="Adelle Sans;sans-serif" w:hAnsi="Adelle Sans;sans-serif"/>
                <w:b w:val="false"/>
                <w:color w:val="000000"/>
                <w:sz w:val="16"/>
              </w:rPr>
              <w:t>117.27 </w:t>
            </w:r>
          </w:p>
        </w:tc>
        <w:tc>
          <w:tcPr>
            <w:tcW w:w="4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F7F7F7" w:val="clear"/>
            <w:tcMar>
              <w:top w:w="0" w:type="dxa"/>
              <w:left w:w="0" w:type="dxa"/>
              <w:bottom w:w="0" w:type="dxa"/>
              <w:right w:w="0" w:type="dxa"/>
            </w:tcMar>
            <w:vAlign w:val="center"/>
          </w:tcPr>
          <w:p>
            <w:pPr>
              <w:pStyle w:val="TableContents"/>
              <w:bidi w:val="0"/>
              <w:spacing w:lineRule="auto" w:line="240" w:before="0" w:after="283"/>
              <w:jc w:val="left"/>
              <w:rPr>
                <w:rFonts w:ascii="Adelle Sans;sans-serif" w:hAnsi="Adelle Sans;sans-serif"/>
                <w:b w:val="false"/>
                <w:color w:val="000000"/>
                <w:sz w:val="16"/>
              </w:rPr>
            </w:pPr>
            <w:r>
              <w:rPr>
                <w:rFonts w:ascii="Adelle Sans;sans-serif" w:hAnsi="Adelle Sans;sans-serif"/>
                <w:b w:val="false"/>
                <w:color w:val="000000"/>
                <w:sz w:val="16"/>
              </w:rPr>
              <w:t>RSUs forfeited</w:t>
            </w:r>
          </w:p>
        </w:tc>
        <w:tc>
          <w:tcPr>
            <w:tcW w:w="1542"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F7F7F7"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6"/>
              </w:rPr>
            </w:pPr>
            <w:r>
              <w:rPr>
                <w:rFonts w:ascii="Adelle Sans;sans-serif" w:hAnsi="Adelle Sans;sans-serif"/>
                <w:b w:val="false"/>
                <w:color w:val="000000"/>
                <w:sz w:val="16"/>
              </w:rPr>
              <w:t>(241,701)</w:t>
            </w:r>
          </w:p>
        </w:tc>
        <w:tc>
          <w:tcPr>
            <w:tcW w:w="421" w:type="dxa"/>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7F7F7"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6"/>
              </w:rPr>
            </w:pPr>
            <w:r>
              <w:rPr>
                <w:rFonts w:ascii="Adelle Sans;sans-serif" w:hAnsi="Adelle Sans;sans-serif"/>
                <w:b w:val="false"/>
                <w:color w:val="000000"/>
                <w:sz w:val="16"/>
              </w:rPr>
              <w:t>109.29 </w:t>
            </w:r>
          </w:p>
        </w:tc>
        <w:tc>
          <w:tcPr>
            <w:tcW w:w="438" w:type="dxa"/>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delle Sans;sans-serif" w:hAnsi="Adelle Sans;sans-serif"/>
                <w:b/>
                <w:color w:val="000000"/>
                <w:sz w:val="16"/>
              </w:rPr>
            </w:pPr>
            <w:r>
              <w:rPr>
                <w:rFonts w:ascii="Adelle Sans;sans-serif" w:hAnsi="Adelle Sans;sans-serif"/>
                <w:b/>
                <w:color w:val="000000"/>
                <w:sz w:val="16"/>
              </w:rPr>
              <w:t>June 30, 2026</w:t>
            </w:r>
          </w:p>
        </w:tc>
        <w:tc>
          <w:tcPr>
            <w:tcW w:w="124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delle Sans;sans-serif" w:hAnsi="Adelle Sans;sans-serif"/>
                <w:b/>
                <w:color w:val="000000"/>
                <w:sz w:val="16"/>
              </w:rPr>
              <w:t>12,503,591</w:t>
            </w:r>
            <w:r>
              <w:rPr>
                <w:color w:val="000000"/>
              </w:rPr>
              <w:t> </w:t>
            </w:r>
          </w:p>
        </w:tc>
        <w:tc>
          <w:tcPr>
            <w:tcW w:w="29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color w:val="000000"/>
                <w:sz w:val="16"/>
              </w:rPr>
            </w:pPr>
            <w:r>
              <w:rPr>
                <w:rFonts w:ascii="Adelle Sans;sans-serif" w:hAnsi="Adelle Sans;sans-serif"/>
                <w:b/>
                <w:color w:val="000000"/>
                <w:sz w:val="16"/>
              </w:rPr>
              <w:t>88.77</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color w:val="000000"/>
                <w:sz w:val="16"/>
              </w:rPr>
            </w:pPr>
            <w:r>
              <w:rPr>
                <w:rFonts w:ascii="Adelle Sans;sans-serif" w:hAnsi="Adelle Sans;sans-serif"/>
                <w:b/>
                <w:color w:val="000000"/>
                <w:sz w:val="16"/>
              </w:rPr>
              <w:t>7.23</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delle Sans;sans-serif" w:hAnsi="Adelle Sans;sans-serif"/>
                <w:b/>
                <w:color w:val="000000"/>
                <w:sz w:val="16"/>
              </w:rPr>
              <w:t>369</w:t>
            </w:r>
            <w:r>
              <w:rPr>
                <w:color w:val="000000"/>
              </w:rPr>
              <w:t> </w:t>
            </w:r>
          </w:p>
        </w:tc>
        <w:tc>
          <w:tcPr>
            <w:tcW w:w="3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delle Sans;sans-serif" w:hAnsi="Adelle Sans;sans-serif"/>
                <w:b/>
                <w:color w:val="000000"/>
                <w:sz w:val="16"/>
              </w:rPr>
              <w:t>4,853,449</w:t>
            </w:r>
            <w:r>
              <w:rPr>
                <w:color w:val="000000"/>
              </w:rPr>
              <w:t> </w:t>
            </w:r>
          </w:p>
        </w:tc>
        <w:tc>
          <w:tcPr>
            <w:tcW w:w="42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delle Sans;sans-serif" w:hAnsi="Adelle Sans;sans-serif"/>
                <w:b/>
                <w:color w:val="000000"/>
                <w:sz w:val="16"/>
              </w:rPr>
              <w:t>112.51</w:t>
            </w:r>
            <w:r>
              <w:rPr>
                <w:color w:val="000000"/>
              </w:rPr>
              <w:t> </w:t>
            </w:r>
          </w:p>
        </w:tc>
        <w:tc>
          <w:tcPr>
            <w:tcW w:w="43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2"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7"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delle Sans;sans-serif" w:hAnsi="Adelle Sans;sans-serif"/>
                <w:b w:val="false"/>
                <w:color w:val="000000"/>
                <w:sz w:val="16"/>
              </w:rPr>
            </w:pPr>
            <w:r>
              <w:rPr>
                <w:rFonts w:ascii="Adelle Sans;sans-serif" w:hAnsi="Adelle Sans;sans-serif"/>
                <w:b w:val="false"/>
                <w:color w:val="000000"/>
                <w:sz w:val="16"/>
              </w:rPr>
              <w:t>Stock options exercisable as of June 30, 2026</w:t>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6"/>
              </w:rPr>
            </w:pPr>
            <w:r>
              <w:rPr>
                <w:rFonts w:ascii="Adelle Sans;sans-serif" w:hAnsi="Adelle Sans;sans-serif"/>
                <w:b w:val="false"/>
                <w:color w:val="000000"/>
                <w:sz w:val="16"/>
              </w:rPr>
              <w:t>5,307,629 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6"/>
              </w:rPr>
            </w:pPr>
            <w:r>
              <w:rPr>
                <w:rFonts w:ascii="Adelle Sans;sans-serif" w:hAnsi="Adelle Sans;sans-serif"/>
                <w:b w:val="false"/>
                <w:color w:val="000000"/>
                <w:sz w:val="16"/>
              </w:rPr>
              <w:t>75.93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6"/>
              </w:rPr>
            </w:pPr>
            <w:r>
              <w:rPr>
                <w:rFonts w:ascii="Adelle Sans;sans-serif" w:hAnsi="Adelle Sans;sans-serif"/>
                <w:b w:val="false"/>
                <w:color w:val="000000"/>
                <w:sz w:val="16"/>
              </w:rPr>
              <w:t>5.71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6"/>
              </w:rPr>
            </w:pPr>
            <w:r>
              <w:rPr>
                <w:rFonts w:ascii="Adelle Sans;sans-serif" w:hAnsi="Adelle Sans;sans-serif"/>
                <w:b w:val="false"/>
                <w:color w:val="000000"/>
                <w:sz w:val="16"/>
              </w:rPr>
              <w:t>236 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jc w:val="both"/>
        <w:rPr/>
      </w:pPr>
      <w:bookmarkStart w:id="52" w:name="i8677b1571f3c47e3b92c8b1a6f75480d"/>
      <w:bookmarkEnd w:id="52"/>
      <w:r>
        <w:rPr>
          <w:rFonts w:ascii="Adelle Sans Light;sans-serif" w:hAnsi="Adelle Sans Light;sans-serif"/>
          <w:b w:val="false"/>
          <w:color w:val="000000"/>
          <w:sz w:val="10"/>
        </w:rPr>
        <w:t>(1)</w:t>
      </w:r>
      <w:r>
        <w:rPr>
          <w:color w:val="000000"/>
        </w:rPr>
        <w:t xml:space="preserve"> </w:t>
      </w:r>
      <w:r>
        <w:rPr>
          <w:rFonts w:ascii="Adelle Sans Light;sans-serif" w:hAnsi="Adelle Sans Light;sans-serif"/>
          <w:b w:val="false"/>
          <w:color w:val="000000"/>
          <w:sz w:val="16"/>
        </w:rPr>
        <w:t>As of June 30, 2026, 12,492,455 of the outstanding stock options were granted under the Company's SOP and are exercisable for Class A subordinate voting shares and 11,136 of the outstanding stock options were granted under the Deliverr 2017 Stock Option and Grant Plan and are exercisable for Class A subordinate voting shares.</w:t>
      </w:r>
    </w:p>
    <w:p>
      <w:pPr>
        <w:pStyle w:val="TextBody"/>
        <w:bidi w:val="0"/>
        <w:spacing w:lineRule="auto" w:line="288" w:before="0" w:after="160"/>
        <w:jc w:val="both"/>
        <w:rPr/>
      </w:pPr>
      <w:bookmarkStart w:id="53" w:name="i763401f02cad4b1686ac4749a01200e8"/>
      <w:bookmarkEnd w:id="53"/>
      <w:r>
        <w:rPr>
          <w:rFonts w:ascii="Adelle Sans Light;sans-serif" w:hAnsi="Adelle Sans Light;sans-serif"/>
          <w:b w:val="false"/>
          <w:color w:val="000000"/>
          <w:sz w:val="10"/>
        </w:rPr>
        <w:t>(2)</w:t>
      </w:r>
      <w:r>
        <w:rPr>
          <w:color w:val="000000"/>
        </w:rPr>
        <w:t xml:space="preserve"> </w:t>
      </w:r>
      <w:r>
        <w:rPr>
          <w:rFonts w:ascii="Adelle Sans Light;sans-serif" w:hAnsi="Adelle Sans Light;sans-serif"/>
          <w:b w:val="false"/>
          <w:color w:val="000000"/>
          <w:sz w:val="16"/>
        </w:rPr>
        <w:t>The aggregate intrinsic value is calculated as the difference between the exercise price of the underlying stock option awards and the closing market price of the Company's Class A subordinate voting shares as of June 30, 2026 and December 31, 2025.</w:t>
      </w:r>
    </w:p>
    <w:p>
      <w:pPr>
        <w:pStyle w:val="TextBody"/>
        <w:bidi w:val="0"/>
        <w:spacing w:lineRule="auto" w:line="288" w:before="0" w:after="200"/>
        <w:jc w:val="both"/>
        <w:rPr>
          <w:rFonts w:ascii="Adelle Sans Light;sans-serif" w:hAnsi="Adelle Sans Light;sans-serif"/>
          <w:b w:val="false"/>
          <w:color w:val="000000"/>
          <w:sz w:val="20"/>
        </w:rPr>
      </w:pPr>
      <w:r>
        <w:rPr>
          <w:rFonts w:ascii="Adelle Sans Light;sans-serif" w:hAnsi="Adelle Sans Light;sans-serif"/>
          <w:b w:val="false"/>
          <w:color w:val="000000"/>
          <w:sz w:val="20"/>
        </w:rPr>
        <w:t>As of June 30, 2026, the Company had issued 6,724 deferred share units ("DSUs") under its LTIP.</w:t>
      </w:r>
    </w:p>
    <w:p>
      <w:pPr>
        <w:pStyle w:val="TextBody"/>
        <w:bidi w:val="0"/>
        <w:spacing w:lineRule="auto" w:line="288" w:before="0" w:after="200"/>
        <w:jc w:val="both"/>
        <w:rPr>
          <w:rFonts w:ascii="Adelle Sans Light;sans-serif" w:hAnsi="Adelle Sans Light;sans-serif"/>
          <w:b w:val="false"/>
          <w:color w:val="000000"/>
          <w:sz w:val="20"/>
        </w:rPr>
      </w:pPr>
      <w:r>
        <w:rPr>
          <w:rFonts w:ascii="Adelle Sans Light;sans-serif" w:hAnsi="Adelle Sans Light;sans-serif"/>
          <w:b w:val="false"/>
          <w:color w:val="000000"/>
          <w:sz w:val="20"/>
        </w:rPr>
        <w:t>In connection with the acquisition of Vantage Discovery Inc. in the first quarter of 2025, 252,257 Class A subordinate voting shares were issued with trading restrictions. The restrictions on these shares are lifted over time and are being accounted for as stock-based compensation as the vesting is contingent on continued employment and therefore related to post-combination services. As of June 30, 2026, 173,428 of the Class A subordinate voting shares remained restricted.</w:t>
      </w:r>
    </w:p>
    <w:p>
      <w:pPr>
        <w:pStyle w:val="TextBody"/>
        <w:bidi w:val="0"/>
        <w:spacing w:lineRule="auto" w:line="288" w:before="0" w:after="200"/>
        <w:jc w:val="both"/>
        <w:rPr>
          <w:rFonts w:ascii="Adelle Sans Light;sans-serif" w:hAnsi="Adelle Sans Light;sans-serif"/>
          <w:b w:val="false"/>
          <w:color w:val="000000"/>
          <w:sz w:val="20"/>
        </w:rPr>
      </w:pPr>
      <w:r>
        <w:rPr>
          <w:rFonts w:ascii="Adelle Sans Light;sans-serif" w:hAnsi="Adelle Sans Light;sans-serif"/>
          <w:b w:val="false"/>
          <w:color w:val="000000"/>
          <w:sz w:val="20"/>
        </w:rPr>
        <w:t>The following table illustrates the classification of stock-based compensation expense in the condensed consolidated statements of operations and comprehensive income, which includes both stock-based compensation and restricted stock-compensation expense:</w:t>
      </w:r>
    </w:p>
    <w:tbl>
      <w:tblPr>
        <w:tblW w:w="9361" w:type="dxa"/>
        <w:jc w:val="left"/>
        <w:tblInd w:w="0" w:type="dxa"/>
        <w:tblLayout w:type="fixed"/>
        <w:tblCellMar>
          <w:top w:w="28" w:type="dxa"/>
          <w:left w:w="28" w:type="dxa"/>
          <w:bottom w:w="28" w:type="dxa"/>
          <w:right w:w="28" w:type="dxa"/>
        </w:tblCellMar>
      </w:tblPr>
      <w:tblGrid>
        <w:gridCol w:w="939"/>
        <w:gridCol w:w="825"/>
        <w:gridCol w:w="831"/>
        <w:gridCol w:w="346"/>
        <w:gridCol w:w="346"/>
        <w:gridCol w:w="346"/>
        <w:gridCol w:w="346"/>
        <w:gridCol w:w="346"/>
        <w:gridCol w:w="346"/>
        <w:gridCol w:w="346"/>
        <w:gridCol w:w="346"/>
        <w:gridCol w:w="346"/>
        <w:gridCol w:w="109"/>
        <w:gridCol w:w="109"/>
        <w:gridCol w:w="109"/>
        <w:gridCol w:w="316"/>
        <w:gridCol w:w="316"/>
        <w:gridCol w:w="316"/>
        <w:gridCol w:w="316"/>
        <w:gridCol w:w="316"/>
        <w:gridCol w:w="316"/>
        <w:gridCol w:w="316"/>
        <w:gridCol w:w="316"/>
        <w:gridCol w:w="316"/>
        <w:gridCol w:w="109"/>
        <w:gridCol w:w="109"/>
        <w:gridCol w:w="109"/>
        <w:gridCol w:w="154"/>
      </w:tblGrid>
      <w:tr>
        <w:trPr/>
        <w:tc>
          <w:tcPr>
            <w:tcW w:w="939"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4"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delle Sans;sans-serif" w:hAnsi="Adelle Sans;sans-serif"/>
                <w:b/>
                <w:color w:val="000000"/>
                <w:sz w:val="18"/>
              </w:rPr>
            </w:pPr>
            <w:r>
              <w:rPr>
                <w:rFonts w:ascii="Adelle Sans;sans-serif" w:hAnsi="Adelle Sans;sans-serif"/>
                <w:b/>
                <w:color w:val="000000"/>
                <w:sz w:val="18"/>
              </w:rPr>
              <w:t>Three months ended June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4"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delle Sans;sans-serif" w:hAnsi="Adelle Sans;sans-serif"/>
                <w:b/>
                <w:color w:val="000000"/>
                <w:sz w:val="18"/>
              </w:rPr>
            </w:pPr>
            <w:r>
              <w:rPr>
                <w:rFonts w:ascii="Adelle Sans;sans-serif" w:hAnsi="Adelle Sans;sans-serif"/>
                <w:b/>
                <w:color w:val="000000"/>
                <w:sz w:val="18"/>
              </w:rPr>
              <w:t>Six months ended June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25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Adelle Sans;sans-serif" w:hAnsi="Adelle Sans;sans-serif"/>
                <w:b/>
                <w:color w:val="000000"/>
                <w:sz w:val="18"/>
              </w:rPr>
            </w:pPr>
            <w:r>
              <w:rPr>
                <w:rFonts w:ascii="Adelle Sans;sans-serif" w:hAnsi="Adelle Sans;sans-serif"/>
                <w:b/>
                <w:color w:val="000000"/>
                <w:sz w:val="18"/>
              </w:rPr>
              <w:t>2026</w:t>
            </w:r>
          </w:p>
        </w:tc>
        <w:tc>
          <w:tcPr>
            <w:tcW w:w="1038"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Adelle Sans;sans-serif" w:hAnsi="Adelle Sans;sans-serif"/>
                <w:b/>
                <w:color w:val="000000"/>
                <w:sz w:val="18"/>
              </w:rPr>
            </w:pPr>
            <w:r>
              <w:rPr>
                <w:rFonts w:ascii="Adelle Sans;sans-serif" w:hAnsi="Adelle Sans;sans-serif"/>
                <w:b/>
                <w:color w:val="000000"/>
                <w:sz w:val="18"/>
              </w:rPr>
              <w:t>2025</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48"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Adelle Sans;sans-serif" w:hAnsi="Adelle Sans;sans-serif"/>
                <w:b/>
                <w:color w:val="000000"/>
                <w:sz w:val="18"/>
              </w:rPr>
            </w:pPr>
            <w:r>
              <w:rPr>
                <w:rFonts w:ascii="Adelle Sans;sans-serif" w:hAnsi="Adelle Sans;sans-serif"/>
                <w:b/>
                <w:color w:val="000000"/>
                <w:sz w:val="18"/>
              </w:rPr>
              <w:t>2026</w:t>
            </w:r>
          </w:p>
        </w:tc>
        <w:tc>
          <w:tcPr>
            <w:tcW w:w="948"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948"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Adelle Sans;sans-serif" w:hAnsi="Adelle Sans;sans-serif"/>
                <w:b/>
                <w:color w:val="000000"/>
                <w:sz w:val="18"/>
              </w:rPr>
            </w:pPr>
            <w:r>
              <w:rPr>
                <w:rFonts w:ascii="Adelle Sans;sans-serif" w:hAnsi="Adelle Sans;sans-serif"/>
                <w:b/>
                <w:color w:val="000000"/>
                <w:sz w:val="18"/>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9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5" w:type="dxa"/>
            <w:gridSpan w:val="21"/>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delle Sans;sans-serif" w:hAnsi="Adelle Sans;sans-serif"/>
                <w:b w:val="false"/>
                <w:color w:val="000000"/>
                <w:sz w:val="18"/>
              </w:rPr>
            </w:pPr>
            <w:r>
              <w:rPr>
                <w:rFonts w:ascii="Adelle Sans;sans-serif" w:hAnsi="Adelle Sans;sans-serif"/>
                <w:b w:val="false"/>
                <w:color w:val="000000"/>
                <w:sz w:val="18"/>
              </w:rPr>
              <w:t>(in US $ millions)</w:t>
            </w:r>
          </w:p>
        </w:tc>
        <w:tc>
          <w:tcPr>
            <w:tcW w:w="481" w:type="dxa"/>
            <w:gridSpan w:val="4"/>
            <w:tcBorders/>
          </w:tcPr>
          <w:p>
            <w:pPr>
              <w:pStyle w:val="TableContents"/>
              <w:bidi w:val="0"/>
              <w:spacing w:before="0" w:after="283"/>
              <w:jc w:val="left"/>
              <w:rPr>
                <w:sz w:val="4"/>
                <w:szCs w:val="4"/>
              </w:rPr>
            </w:pPr>
            <w:r>
              <w:rPr>
                <w:sz w:val="4"/>
                <w:szCs w:val="4"/>
              </w:rPr>
            </w:r>
          </w:p>
        </w:tc>
      </w:tr>
      <w:tr>
        <w:trPr/>
        <w:tc>
          <w:tcPr>
            <w:tcW w:w="2595" w:type="dxa"/>
            <w:gridSpan w:val="3"/>
            <w:tcBorders/>
            <w:shd w:fill="F7F7F7" w:val="clear"/>
            <w:tcMar>
              <w:top w:w="0" w:type="dxa"/>
              <w:left w:w="0" w:type="dxa"/>
              <w:bottom w:w="0" w:type="dxa"/>
              <w:right w:w="0" w:type="dxa"/>
            </w:tcMar>
            <w:vAlign w:val="center"/>
          </w:tcPr>
          <w:p>
            <w:pPr>
              <w:pStyle w:val="TableContents"/>
              <w:bidi w:val="0"/>
              <w:spacing w:lineRule="auto" w:line="240" w:before="0" w:after="283"/>
              <w:jc w:val="left"/>
              <w:rPr>
                <w:rFonts w:ascii="Adelle Sans;sans-serif" w:hAnsi="Adelle Sans;sans-serif"/>
                <w:b w:val="false"/>
                <w:color w:val="000000"/>
                <w:sz w:val="18"/>
              </w:rPr>
            </w:pPr>
            <w:r>
              <w:rPr>
                <w:rFonts w:ascii="Adelle Sans;sans-serif" w:hAnsi="Adelle Sans;sans-serif"/>
                <w:b w:val="false"/>
                <w:color w:val="000000"/>
                <w:sz w:val="18"/>
              </w:rPr>
              <w:t>Cost of revenues</w:t>
            </w:r>
          </w:p>
        </w:tc>
        <w:tc>
          <w:tcPr>
            <w:tcW w:w="1038" w:type="dxa"/>
            <w:gridSpan w:val="3"/>
            <w:tcBorders/>
            <w:shd w:fill="F7F7F7"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2</w:t>
            </w:r>
          </w:p>
        </w:tc>
        <w:tc>
          <w:tcPr>
            <w:tcW w:w="1038"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shd w:fill="F7F7F7"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1</w:t>
            </w:r>
          </w:p>
        </w:tc>
        <w:tc>
          <w:tcPr>
            <w:tcW w:w="327"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3"/>
            <w:tcBorders/>
            <w:shd w:fill="F7F7F7"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3</w:t>
            </w:r>
          </w:p>
        </w:tc>
        <w:tc>
          <w:tcPr>
            <w:tcW w:w="948"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3"/>
            <w:tcBorders/>
            <w:shd w:fill="F7F7F7"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delle Sans;sans-serif" w:hAnsi="Adelle Sans;sans-serif"/>
                <w:b w:val="false"/>
                <w:color w:val="000000"/>
                <w:sz w:val="18"/>
              </w:rPr>
            </w:pPr>
            <w:r>
              <w:rPr>
                <w:rFonts w:ascii="Adelle Sans;sans-serif" w:hAnsi="Adelle Sans;sans-serif"/>
                <w:b w:val="false"/>
                <w:color w:val="000000"/>
                <w:sz w:val="18"/>
              </w:rPr>
              <w:t>Sales and marketing</w:t>
            </w:r>
          </w:p>
        </w:tc>
        <w:tc>
          <w:tcPr>
            <w:tcW w:w="10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9</w:t>
            </w:r>
          </w:p>
        </w:tc>
        <w:tc>
          <w:tcPr>
            <w:tcW w:w="10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11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19</w:t>
            </w:r>
          </w:p>
        </w:tc>
        <w:tc>
          <w:tcPr>
            <w:tcW w:w="9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95" w:type="dxa"/>
            <w:gridSpan w:val="3"/>
            <w:tcBorders/>
            <w:shd w:fill="F7F7F7" w:val="clear"/>
            <w:tcMar>
              <w:top w:w="0" w:type="dxa"/>
              <w:left w:w="0" w:type="dxa"/>
              <w:bottom w:w="0" w:type="dxa"/>
              <w:right w:w="0" w:type="dxa"/>
            </w:tcMar>
            <w:vAlign w:val="center"/>
          </w:tcPr>
          <w:p>
            <w:pPr>
              <w:pStyle w:val="TableContents"/>
              <w:bidi w:val="0"/>
              <w:spacing w:lineRule="auto" w:line="240" w:before="0" w:after="283"/>
              <w:jc w:val="left"/>
              <w:rPr>
                <w:rFonts w:ascii="Adelle Sans;sans-serif" w:hAnsi="Adelle Sans;sans-serif"/>
                <w:b w:val="false"/>
                <w:color w:val="000000"/>
                <w:sz w:val="18"/>
              </w:rPr>
            </w:pPr>
            <w:r>
              <w:rPr>
                <w:rFonts w:ascii="Adelle Sans;sans-serif" w:hAnsi="Adelle Sans;sans-serif"/>
                <w:b w:val="false"/>
                <w:color w:val="000000"/>
                <w:sz w:val="18"/>
              </w:rPr>
              <w:t>Research and development</w:t>
            </w:r>
          </w:p>
        </w:tc>
        <w:tc>
          <w:tcPr>
            <w:tcW w:w="1038" w:type="dxa"/>
            <w:gridSpan w:val="3"/>
            <w:tcBorders/>
            <w:shd w:fill="F7F7F7"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90</w:t>
            </w:r>
          </w:p>
        </w:tc>
        <w:tc>
          <w:tcPr>
            <w:tcW w:w="1038"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shd w:fill="F7F7F7"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80</w:t>
            </w:r>
          </w:p>
        </w:tc>
        <w:tc>
          <w:tcPr>
            <w:tcW w:w="327"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3"/>
            <w:tcBorders/>
            <w:shd w:fill="F7F7F7"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183</w:t>
            </w:r>
          </w:p>
        </w:tc>
        <w:tc>
          <w:tcPr>
            <w:tcW w:w="948"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3"/>
            <w:tcBorders/>
            <w:shd w:fill="F7F7F7"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159</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delle Sans;sans-serif" w:hAnsi="Adelle Sans;sans-serif"/>
                <w:b w:val="false"/>
                <w:color w:val="000000"/>
                <w:sz w:val="18"/>
              </w:rPr>
            </w:pPr>
            <w:r>
              <w:rPr>
                <w:rFonts w:ascii="Adelle Sans;sans-serif" w:hAnsi="Adelle Sans;sans-serif"/>
                <w:b w:val="false"/>
                <w:color w:val="000000"/>
                <w:sz w:val="18"/>
              </w:rPr>
              <w:t>General and administrative</w:t>
            </w:r>
          </w:p>
        </w:tc>
        <w:tc>
          <w:tcPr>
            <w:tcW w:w="10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27</w:t>
            </w:r>
          </w:p>
        </w:tc>
        <w:tc>
          <w:tcPr>
            <w:tcW w:w="10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55</w:t>
            </w:r>
          </w:p>
        </w:tc>
        <w:tc>
          <w:tcPr>
            <w:tcW w:w="9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43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95"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top w:val="single" w:sz="8" w:space="0" w:color="000000"/>
            </w:tcBorders>
            <w:shd w:fill="F7F7F7" w:val="clear"/>
            <w:tcMar>
              <w:top w:w="52"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128</w:t>
            </w:r>
          </w:p>
        </w:tc>
        <w:tc>
          <w:tcPr>
            <w:tcW w:w="1038" w:type="dxa"/>
            <w:gridSpan w:val="3"/>
            <w:tcBorders>
              <w:top w:val="single" w:sz="8" w:space="0" w:color="000000"/>
            </w:tcBorders>
            <w:shd w:fill="F7F7F7"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top w:val="single" w:sz="8" w:space="0" w:color="000000"/>
            </w:tcBorders>
            <w:shd w:fill="F7F7F7" w:val="clear"/>
            <w:tcMar>
              <w:top w:w="52"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113</w:t>
            </w:r>
          </w:p>
        </w:tc>
        <w:tc>
          <w:tcPr>
            <w:tcW w:w="327"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3"/>
            <w:tcBorders>
              <w:top w:val="single" w:sz="8" w:space="0" w:color="000000"/>
            </w:tcBorders>
            <w:shd w:fill="F7F7F7" w:val="clear"/>
            <w:tcMar>
              <w:top w:w="52"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260</w:t>
            </w:r>
          </w:p>
        </w:tc>
        <w:tc>
          <w:tcPr>
            <w:tcW w:w="948" w:type="dxa"/>
            <w:gridSpan w:val="3"/>
            <w:tcBorders>
              <w:top w:val="single" w:sz="8" w:space="0" w:color="000000"/>
            </w:tcBorders>
            <w:shd w:fill="F7F7F7"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3"/>
            <w:tcBorders>
              <w:top w:val="single" w:sz="8" w:space="0" w:color="000000"/>
            </w:tcBorders>
            <w:shd w:fill="F7F7F7" w:val="clear"/>
            <w:tcMar>
              <w:top w:w="52"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227</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7955"/>
                <wp:effectExtent l="0" t="0" r="0" b="0"/>
                <wp:wrapNone/>
                <wp:docPr id="22" name="Frame21"/>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200"/>
                              <w:jc w:val="center"/>
                              <w:rPr>
                                <w:rFonts w:ascii="Adelle Sans Light;sans-serif" w:hAnsi="Adelle Sans Light;sans-serif"/>
                                <w:b w:val="false"/>
                                <w:color w:val="000000"/>
                                <w:sz w:val="20"/>
                              </w:rPr>
                            </w:pPr>
                            <w:r>
                              <w:rPr>
                                <w:rFonts w:ascii="Adelle Sans Light;sans-serif" w:hAnsi="Adelle Sans Light;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Adelle Sans Light;sans-serif" w:hAnsi="Adelle Sans Light;sans-serif"/>
                          <w:b w:val="false"/>
                          <w:color w:val="000000"/>
                          <w:sz w:val="20"/>
                        </w:rPr>
                      </w:pPr>
                      <w:r>
                        <w:rPr>
                          <w:rFonts w:ascii="Adelle Sans Light;sans-serif" w:hAnsi="Adelle Sans Light;sans-serif"/>
                          <w:b w:val="false"/>
                          <w:color w:val="000000"/>
                          <w:sz w:val="20"/>
                        </w:rPr>
                        <w:t>21</w:t>
                      </w:r>
                    </w:p>
                  </w:txbxContent>
                </v:textbox>
                <w10:wrap type="none"/>
              </v:rect>
            </w:pict>
          </mc:Fallback>
        </mc:AlternateContent>
      </w:r>
    </w:p>
    <w:p>
      <w:pPr>
        <w:pStyle w:val="TextBody"/>
        <w:bidi w:val="0"/>
        <w:spacing w:lineRule="auto" w:line="288" w:before="0" w:after="200"/>
        <w:jc w:val="both"/>
        <w:rPr/>
      </w:pPr>
      <w:hyperlink w:anchor="iccccf23fa31e44f0aa82c99ca0859db8_7">
        <w:r>
          <w:rPr>
            <w:rStyle w:val="InternetLink"/>
            <w:rFonts w:ascii="Adelle Sans Light;sans-serif" w:hAnsi="Adelle Sans Light;sans-serif"/>
            <w:b w:val="false"/>
            <w:color w:val="0000FF"/>
            <w:sz w:val="20"/>
            <w:u w:val="single"/>
          </w:rPr>
          <w:t>Table of Contents</w:t>
        </w:r>
      </w:hyperlink>
    </w:p>
    <w:p>
      <w:pPr>
        <w:pStyle w:val="TextBody"/>
        <w:bidi w:val="0"/>
        <w:spacing w:lineRule="auto" w:line="288" w:before="0" w:after="200"/>
        <w:jc w:val="left"/>
        <w:rPr>
          <w:rFonts w:ascii="Adelle Sans;sans-serif" w:hAnsi="Adelle Sans;sans-serif"/>
          <w:b/>
          <w:i/>
          <w:color w:val="000000"/>
          <w:sz w:val="20"/>
        </w:rPr>
      </w:pPr>
      <w:bookmarkStart w:id="54" w:name="iebc6f7a70d6f4fdcba27a20ea381906e"/>
      <w:bookmarkEnd w:id="54"/>
      <w:r>
        <w:rPr>
          <w:rFonts w:ascii="Adelle Sans;sans-serif" w:hAnsi="Adelle Sans;sans-serif"/>
          <w:b/>
          <w:i/>
          <w:color w:val="000000"/>
          <w:sz w:val="20"/>
        </w:rPr>
        <w:t>Share Repurchase Program</w:t>
      </w:r>
    </w:p>
    <w:p>
      <w:pPr>
        <w:pStyle w:val="TextBody"/>
        <w:bidi w:val="0"/>
        <w:spacing w:lineRule="auto" w:line="288" w:before="0" w:after="200"/>
        <w:jc w:val="both"/>
        <w:rPr>
          <w:rFonts w:ascii="Adelle Sans Light;sans-serif" w:hAnsi="Adelle Sans Light;sans-serif"/>
          <w:b w:val="false"/>
          <w:color w:val="000000"/>
          <w:sz w:val="20"/>
        </w:rPr>
      </w:pPr>
      <w:r>
        <w:rPr>
          <w:rFonts w:ascii="Adelle Sans Light;sans-serif" w:hAnsi="Adelle Sans Light;sans-serif"/>
          <w:b w:val="false"/>
          <w:color w:val="000000"/>
          <w:sz w:val="20"/>
        </w:rPr>
        <w:t>In the first quarter of 2026, the Company's Board of Directors authorized a share repurchase program of up to $2 billion of the Company’s outstanding Class A subordinate voting shares. The share repurchase program went into effect on February 17, 2026, has no fixed expiration date, and may be amended, suspended, or discontinued at any time, subject to applicable laws.</w:t>
      </w:r>
    </w:p>
    <w:p>
      <w:pPr>
        <w:pStyle w:val="TextBody"/>
        <w:bidi w:val="0"/>
        <w:spacing w:lineRule="auto" w:line="288" w:before="0" w:after="200"/>
        <w:jc w:val="both"/>
        <w:rPr>
          <w:rFonts w:ascii="Adelle Sans Light;sans-serif" w:hAnsi="Adelle Sans Light;sans-serif"/>
          <w:b w:val="false"/>
          <w:color w:val="000000"/>
          <w:sz w:val="20"/>
        </w:rPr>
      </w:pPr>
      <w:r>
        <w:rPr>
          <w:rFonts w:ascii="Adelle Sans Light;sans-serif" w:hAnsi="Adelle Sans Light;sans-serif"/>
          <w:b w:val="false"/>
          <w:color w:val="000000"/>
          <w:sz w:val="20"/>
        </w:rPr>
        <w:t>In the second quarter of 2026, the Company's Board of Directors authorized an additional $3 billion of the Company's outstanding Class A subordinate voting shares, in addition to the $2 billion previously authorized, bringing its aggregate share repurchase authorization to $5 billion.</w:t>
      </w:r>
    </w:p>
    <w:p>
      <w:pPr>
        <w:pStyle w:val="TextBody"/>
        <w:bidi w:val="0"/>
        <w:spacing w:lineRule="auto" w:line="288" w:before="0" w:after="200"/>
        <w:jc w:val="both"/>
        <w:rPr>
          <w:rFonts w:ascii="Adelle Sans Light;sans-serif" w:hAnsi="Adelle Sans Light;sans-serif"/>
          <w:b w:val="false"/>
          <w:color w:val="000000"/>
          <w:sz w:val="20"/>
        </w:rPr>
      </w:pPr>
      <w:r>
        <w:rPr>
          <w:rFonts w:ascii="Adelle Sans Light;sans-serif" w:hAnsi="Adelle Sans Light;sans-serif"/>
          <w:b w:val="false"/>
          <w:color w:val="000000"/>
          <w:sz w:val="20"/>
        </w:rPr>
        <w:t>Repurchases may be made through open-market purchases on the Nasdaq, privately negotiated transactions including block trades, or other means, in each case in compliance with applicable securities laws. The timing, number, and value of any Class A subordinate voting shares repurchased will depend on a variety of factors, including price, general business and market conditions, applicable legal requirements, and alternative investment opportunities. In accordance with applicable securities laws, the maximum number of Class A subordinate voting shares repurchased will not exceed 5% of Shopify’s issued and outstanding Class A subordinate voting shares.</w:t>
      </w:r>
    </w:p>
    <w:p>
      <w:pPr>
        <w:pStyle w:val="TextBody"/>
        <w:bidi w:val="0"/>
        <w:spacing w:lineRule="auto" w:line="288" w:before="0" w:after="200"/>
        <w:jc w:val="both"/>
        <w:rPr>
          <w:rFonts w:ascii="Adelle Sans Light;sans-serif" w:hAnsi="Adelle Sans Light;sans-serif"/>
          <w:b w:val="false"/>
          <w:color w:val="000000"/>
          <w:sz w:val="20"/>
        </w:rPr>
      </w:pPr>
      <w:r>
        <w:rPr>
          <w:rFonts w:ascii="Adelle Sans Light;sans-serif" w:hAnsi="Adelle Sans Light;sans-serif"/>
          <w:b w:val="false"/>
          <w:color w:val="000000"/>
          <w:sz w:val="20"/>
        </w:rPr>
        <w:t>The following table summarizes repurchase activity under our share repurchase program for the six months ended June 30, 2026:</w:t>
      </w:r>
    </w:p>
    <w:tbl>
      <w:tblPr>
        <w:tblW w:w="10205" w:type="dxa"/>
        <w:jc w:val="left"/>
        <w:tblInd w:w="0" w:type="dxa"/>
        <w:tblLayout w:type="fixed"/>
        <w:tblCellMar>
          <w:top w:w="28" w:type="dxa"/>
          <w:left w:w="28" w:type="dxa"/>
          <w:bottom w:w="28" w:type="dxa"/>
          <w:right w:w="28" w:type="dxa"/>
        </w:tblCellMar>
      </w:tblPr>
      <w:tblGrid>
        <w:gridCol w:w="1090"/>
        <w:gridCol w:w="648"/>
        <w:gridCol w:w="650"/>
        <w:gridCol w:w="756"/>
        <w:gridCol w:w="557"/>
        <w:gridCol w:w="558"/>
        <w:gridCol w:w="109"/>
        <w:gridCol w:w="109"/>
        <w:gridCol w:w="109"/>
        <w:gridCol w:w="285"/>
        <w:gridCol w:w="1043"/>
        <w:gridCol w:w="137"/>
        <w:gridCol w:w="109"/>
        <w:gridCol w:w="109"/>
        <w:gridCol w:w="109"/>
        <w:gridCol w:w="612"/>
        <w:gridCol w:w="612"/>
        <w:gridCol w:w="613"/>
        <w:gridCol w:w="109"/>
        <w:gridCol w:w="109"/>
        <w:gridCol w:w="109"/>
        <w:gridCol w:w="343"/>
        <w:gridCol w:w="1076"/>
        <w:gridCol w:w="244"/>
      </w:tblGrid>
      <w:tr>
        <w:trPr/>
        <w:tc>
          <w:tcPr>
            <w:tcW w:w="1090"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1043"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1076"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r>
      <w:tr>
        <w:trPr/>
        <w:tc>
          <w:tcPr>
            <w:tcW w:w="23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1"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Adelle Sans;sans-serif" w:hAnsi="Adelle Sans;sans-serif"/>
                <w:b/>
                <w:color w:val="000000"/>
                <w:sz w:val="18"/>
              </w:rPr>
              <w:t>Shares Repurchased</w:t>
            </w:r>
            <w:r>
              <w:rPr>
                <w:rFonts w:ascii="Adelle Sans;sans-serif" w:hAnsi="Adelle Sans;sans-serif"/>
                <w:b/>
                <w:color w:val="000000"/>
                <w:sz w:val="12"/>
              </w:rPr>
              <w:t>(1)</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pPr>
            <w:r>
              <w:rPr>
                <w:rFonts w:ascii="Adelle Sans;sans-serif" w:hAnsi="Adelle Sans;sans-serif"/>
                <w:b/>
                <w:color w:val="000000"/>
                <w:sz w:val="18"/>
              </w:rPr>
              <w:t>Average Price per Share</w:t>
            </w:r>
            <w:r>
              <w:rPr>
                <w:rFonts w:ascii="Adelle Sans;sans-serif" w:hAnsi="Adelle Sans;sans-serif"/>
                <w:b/>
                <w:color w:val="000000"/>
                <w:sz w:val="12"/>
              </w:rPr>
              <w:t>(2)</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83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pPr>
            <w:r>
              <w:rPr>
                <w:rFonts w:ascii="Adelle Sans;sans-serif" w:hAnsi="Adelle Sans;sans-serif"/>
                <w:b/>
                <w:color w:val="000000"/>
                <w:sz w:val="18"/>
              </w:rPr>
              <w:t>Value of Shares Repurchased</w:t>
            </w:r>
            <w:r>
              <w:rPr>
                <w:rFonts w:ascii="Adelle Sans;sans-serif" w:hAnsi="Adelle Sans;sans-serif"/>
                <w:b/>
                <w:color w:val="000000"/>
                <w:sz w:val="12"/>
              </w:rPr>
              <w:t>(2)</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663"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delle Sans;sans-serif" w:hAnsi="Adelle Sans;sans-serif"/>
                <w:b/>
                <w:color w:val="000000"/>
                <w:sz w:val="18"/>
              </w:rPr>
            </w:pPr>
            <w:r>
              <w:rPr>
                <w:rFonts w:ascii="Adelle Sans;sans-serif" w:hAnsi="Adelle Sans;sans-serif"/>
                <w:b/>
                <w:color w:val="000000"/>
                <w:sz w:val="18"/>
              </w:rPr>
              <w:t>Remaining Amount Authorized</w:t>
            </w:r>
          </w:p>
        </w:tc>
      </w:tr>
      <w:tr>
        <w:trPr/>
        <w:tc>
          <w:tcPr>
            <w:tcW w:w="238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7" w:type="dxa"/>
            <w:gridSpan w:val="21"/>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Adelle Sans;sans-serif" w:hAnsi="Adelle Sans;sans-serif"/>
                <w:b w:val="false"/>
                <w:color w:val="000000"/>
                <w:sz w:val="18"/>
              </w:rPr>
            </w:pPr>
            <w:r>
              <w:rPr>
                <w:rFonts w:ascii="Adelle Sans;sans-serif" w:hAnsi="Adelle Sans;sans-serif"/>
                <w:b w:val="false"/>
                <w:color w:val="000000"/>
                <w:sz w:val="18"/>
              </w:rPr>
              <w:t>(in US $ millions, except share and share price amounts)</w:t>
            </w:r>
          </w:p>
        </w:tc>
      </w:tr>
      <w:tr>
        <w:trPr/>
        <w:tc>
          <w:tcPr>
            <w:tcW w:w="2388" w:type="dxa"/>
            <w:gridSpan w:val="3"/>
            <w:tcBorders/>
            <w:shd w:fill="F7F7F7" w:val="clear"/>
            <w:tcMar>
              <w:top w:w="0" w:type="dxa"/>
              <w:left w:w="0" w:type="dxa"/>
              <w:bottom w:w="0" w:type="dxa"/>
              <w:right w:w="0" w:type="dxa"/>
            </w:tcMar>
            <w:vAlign w:val="center"/>
          </w:tcPr>
          <w:p>
            <w:pPr>
              <w:pStyle w:val="TableContents"/>
              <w:bidi w:val="0"/>
              <w:spacing w:lineRule="auto" w:line="240" w:before="0" w:after="283"/>
              <w:jc w:val="left"/>
              <w:rPr>
                <w:rFonts w:ascii="Adelle Sans;sans-serif" w:hAnsi="Adelle Sans;sans-serif"/>
                <w:b w:val="false"/>
                <w:color w:val="000000"/>
                <w:sz w:val="18"/>
              </w:rPr>
            </w:pPr>
            <w:r>
              <w:rPr>
                <w:rFonts w:ascii="Adelle Sans;sans-serif" w:hAnsi="Adelle Sans;sans-serif"/>
                <w:b w:val="false"/>
                <w:color w:val="000000"/>
                <w:sz w:val="18"/>
              </w:rPr>
              <w:t>Balance, beginning of the period</w:t>
            </w:r>
          </w:p>
        </w:tc>
        <w:tc>
          <w:tcPr>
            <w:tcW w:w="1871"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5"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7"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 w:type="dxa"/>
            <w:tcBorders/>
            <w:shd w:fill="F7F7F7" w:val="clear"/>
            <w:tcMar>
              <w:top w:w="0" w:type="dxa"/>
              <w:left w:w="0" w:type="dxa"/>
              <w:bottom w:w="0" w:type="dxa"/>
              <w:right w:w="0" w:type="dxa"/>
            </w:tcMar>
            <w:vAlign w:val="center"/>
          </w:tcPr>
          <w:p>
            <w:pPr>
              <w:pStyle w:val="TableContents"/>
              <w:bidi w:val="0"/>
              <w:spacing w:lineRule="auto" w:line="240" w:before="0" w:after="283"/>
              <w:jc w:val="left"/>
              <w:rPr>
                <w:rFonts w:ascii="Adelle Sans;sans-serif" w:hAnsi="Adelle Sans;sans-serif"/>
                <w:b w:val="false"/>
                <w:color w:val="000000"/>
                <w:sz w:val="18"/>
              </w:rPr>
            </w:pPr>
            <w:r>
              <w:rPr>
                <w:rFonts w:ascii="Adelle Sans;sans-serif" w:hAnsi="Adelle Sans;sans-serif"/>
                <w:b w:val="false"/>
                <w:color w:val="000000"/>
                <w:sz w:val="18"/>
              </w:rPr>
              <w:t>$</w:t>
            </w:r>
          </w:p>
        </w:tc>
        <w:tc>
          <w:tcPr>
            <w:tcW w:w="1076" w:type="dxa"/>
            <w:tcBorders/>
            <w:shd w:fill="F7F7F7"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4" w:type="dxa"/>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delle Sans;sans-serif" w:hAnsi="Adelle Sans;sans-serif"/>
                <w:b w:val="false"/>
                <w:color w:val="000000"/>
                <w:sz w:val="18"/>
              </w:rPr>
            </w:pPr>
            <w:r>
              <w:rPr>
                <w:rFonts w:ascii="Adelle Sans;sans-serif" w:hAnsi="Adelle Sans;sans-serif"/>
                <w:b w:val="false"/>
                <w:color w:val="000000"/>
                <w:sz w:val="18"/>
              </w:rPr>
              <w:t>Authorization of share repurchases in the first quarter of 2026</w:t>
            </w:r>
          </w:p>
        </w:tc>
        <w:tc>
          <w:tcPr>
            <w:tcW w:w="18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2,000 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8" w:type="dxa"/>
            <w:gridSpan w:val="3"/>
            <w:tcBorders/>
            <w:shd w:fill="F7F7F7" w:val="clear"/>
            <w:tcMar>
              <w:top w:w="0" w:type="dxa"/>
              <w:left w:w="0" w:type="dxa"/>
              <w:bottom w:w="0" w:type="dxa"/>
              <w:right w:w="0" w:type="dxa"/>
            </w:tcMar>
            <w:vAlign w:val="center"/>
          </w:tcPr>
          <w:p>
            <w:pPr>
              <w:pStyle w:val="TableContents"/>
              <w:bidi w:val="0"/>
              <w:spacing w:lineRule="auto" w:line="240" w:before="0" w:after="283"/>
              <w:jc w:val="left"/>
              <w:rPr>
                <w:rFonts w:ascii="Adelle Sans;sans-serif" w:hAnsi="Adelle Sans;sans-serif"/>
                <w:b w:val="false"/>
                <w:color w:val="000000"/>
                <w:sz w:val="18"/>
              </w:rPr>
            </w:pPr>
            <w:r>
              <w:rPr>
                <w:rFonts w:ascii="Adelle Sans;sans-serif" w:hAnsi="Adelle Sans;sans-serif"/>
                <w:b w:val="false"/>
                <w:color w:val="000000"/>
                <w:sz w:val="18"/>
              </w:rPr>
              <w:t>Authorization of additional share repurchases in the second quarter of 2026</w:t>
            </w:r>
          </w:p>
        </w:tc>
        <w:tc>
          <w:tcPr>
            <w:tcW w:w="1871"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5"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7"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9" w:type="dxa"/>
            <w:gridSpan w:val="2"/>
            <w:tcBorders/>
            <w:shd w:fill="F7F7F7"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3,000 </w:t>
            </w:r>
          </w:p>
        </w:tc>
        <w:tc>
          <w:tcPr>
            <w:tcW w:w="244" w:type="dxa"/>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delle Sans;sans-serif" w:hAnsi="Adelle Sans;sans-serif"/>
                <w:b w:val="false"/>
                <w:color w:val="000000"/>
                <w:sz w:val="18"/>
              </w:rPr>
            </w:pPr>
            <w:r>
              <w:rPr>
                <w:rFonts w:ascii="Adelle Sans;sans-serif" w:hAnsi="Adelle Sans;sans-serif"/>
                <w:b w:val="false"/>
                <w:color w:val="000000"/>
                <w:sz w:val="18"/>
              </w:rPr>
              <w:t>Repurchase of shares of Class A subordinate voting shares</w:t>
            </w:r>
          </w:p>
        </w:tc>
        <w:tc>
          <w:tcPr>
            <w:tcW w:w="13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16,859,976 </w:t>
            </w:r>
          </w:p>
        </w:tc>
        <w:tc>
          <w:tcPr>
            <w:tcW w:w="5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delle Sans;sans-serif" w:hAnsi="Adelle Sans;sans-serif"/>
                <w:b w:val="false"/>
                <w:color w:val="000000"/>
                <w:sz w:val="18"/>
              </w:rPr>
            </w:pPr>
            <w:r>
              <w:rPr>
                <w:rFonts w:ascii="Adelle Sans;sans-serif" w:hAnsi="Adelle Sans;sans-serif"/>
                <w:b w:val="false"/>
                <w:color w:val="000000"/>
                <w:sz w:val="18"/>
              </w:rPr>
              <w:t>$</w:t>
            </w:r>
          </w:p>
        </w:tc>
        <w:tc>
          <w:tcPr>
            <w:tcW w:w="10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114.63 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1,933 </w:t>
            </w:r>
          </w:p>
        </w:tc>
        <w:tc>
          <w:tcPr>
            <w:tcW w:w="6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(1,933)</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8" w:type="dxa"/>
            <w:gridSpan w:val="3"/>
            <w:tcBorders/>
            <w:shd w:fill="F7F7F7" w:val="clear"/>
            <w:tcMar>
              <w:top w:w="0" w:type="dxa"/>
              <w:left w:w="0" w:type="dxa"/>
              <w:bottom w:w="0" w:type="dxa"/>
              <w:right w:w="0" w:type="dxa"/>
            </w:tcMar>
            <w:vAlign w:val="center"/>
          </w:tcPr>
          <w:p>
            <w:pPr>
              <w:pStyle w:val="TableContents"/>
              <w:bidi w:val="0"/>
              <w:spacing w:lineRule="auto" w:line="240" w:before="0" w:after="283"/>
              <w:jc w:val="left"/>
              <w:rPr>
                <w:rFonts w:ascii="Adelle Sans;sans-serif" w:hAnsi="Adelle Sans;sans-serif"/>
                <w:b w:val="false"/>
                <w:color w:val="000000"/>
                <w:sz w:val="18"/>
              </w:rPr>
            </w:pPr>
            <w:r>
              <w:rPr>
                <w:rFonts w:ascii="Adelle Sans;sans-serif" w:hAnsi="Adelle Sans;sans-serif"/>
                <w:b w:val="false"/>
                <w:color w:val="000000"/>
                <w:sz w:val="18"/>
              </w:rPr>
              <w:t>Balance, end of the period</w:t>
            </w:r>
          </w:p>
        </w:tc>
        <w:tc>
          <w:tcPr>
            <w:tcW w:w="1871" w:type="dxa"/>
            <w:gridSpan w:val="3"/>
            <w:tcBorders>
              <w:top w:val="single" w:sz="8" w:space="0" w:color="000000"/>
            </w:tcBorders>
            <w:shd w:fill="F7F7F7"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7F7F7"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5" w:type="dxa"/>
            <w:gridSpan w:val="3"/>
            <w:tcBorders>
              <w:top w:val="single" w:sz="8" w:space="0" w:color="000000"/>
            </w:tcBorders>
            <w:shd w:fill="F7F7F7"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7F7F7"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7" w:type="dxa"/>
            <w:gridSpan w:val="3"/>
            <w:tcBorders>
              <w:top w:val="single" w:sz="8" w:space="0" w:color="000000"/>
            </w:tcBorders>
            <w:shd w:fill="F7F7F7"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7F7F7"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 w:type="dxa"/>
            <w:tcBorders>
              <w:top w:val="single" w:sz="8" w:space="0" w:color="000000"/>
            </w:tcBorders>
            <w:shd w:fill="F7F7F7" w:val="clear"/>
            <w:tcMar>
              <w:top w:w="52" w:type="dxa"/>
              <w:left w:w="0" w:type="dxa"/>
              <w:bottom w:w="0" w:type="dxa"/>
              <w:right w:w="0" w:type="dxa"/>
            </w:tcMar>
            <w:vAlign w:val="center"/>
          </w:tcPr>
          <w:p>
            <w:pPr>
              <w:pStyle w:val="TableContents"/>
              <w:bidi w:val="0"/>
              <w:spacing w:lineRule="auto" w:line="240" w:before="0" w:after="283"/>
              <w:jc w:val="left"/>
              <w:rPr>
                <w:rFonts w:ascii="Adelle Sans;sans-serif" w:hAnsi="Adelle Sans;sans-serif"/>
                <w:b w:val="false"/>
                <w:color w:val="000000"/>
                <w:sz w:val="18"/>
              </w:rPr>
            </w:pPr>
            <w:r>
              <w:rPr>
                <w:rFonts w:ascii="Adelle Sans;sans-serif" w:hAnsi="Adelle Sans;sans-serif"/>
                <w:b w:val="false"/>
                <w:color w:val="000000"/>
                <w:sz w:val="18"/>
              </w:rPr>
              <w:t>$</w:t>
            </w:r>
          </w:p>
        </w:tc>
        <w:tc>
          <w:tcPr>
            <w:tcW w:w="1076" w:type="dxa"/>
            <w:tcBorders>
              <w:top w:val="single" w:sz="8" w:space="0" w:color="000000"/>
            </w:tcBorders>
            <w:shd w:fill="F7F7F7" w:val="clear"/>
            <w:tcMar>
              <w:top w:w="52"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3,067 </w:t>
            </w:r>
          </w:p>
        </w:tc>
        <w:tc>
          <w:tcPr>
            <w:tcW w:w="244" w:type="dxa"/>
            <w:tcBorders>
              <w:top w:val="single" w:sz="8" w:space="0" w:color="000000"/>
            </w:tcBorders>
            <w:shd w:fill="F7F7F7"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jc w:val="both"/>
        <w:rPr/>
      </w:pPr>
      <w:bookmarkStart w:id="55" w:name="ib7e6fb54e2a043f5979821b647054857"/>
      <w:bookmarkEnd w:id="55"/>
      <w:r>
        <w:rPr>
          <w:rFonts w:ascii="Adelle Sans Light;sans-serif" w:hAnsi="Adelle Sans Light;sans-serif"/>
          <w:b w:val="false"/>
          <w:color w:val="000000"/>
          <w:sz w:val="10"/>
        </w:rPr>
        <w:t xml:space="preserve">(1) </w:t>
      </w:r>
      <w:r>
        <w:rPr>
          <w:rFonts w:ascii="Adelle Sans Light;sans-serif" w:hAnsi="Adelle Sans Light;sans-serif"/>
          <w:b w:val="false"/>
          <w:color w:val="000000"/>
          <w:sz w:val="16"/>
        </w:rPr>
        <w:t>These repurchased shares of Class A subordinate voting shares were recognized within "Common stock".</w:t>
      </w:r>
    </w:p>
    <w:p>
      <w:pPr>
        <w:pStyle w:val="TextBody"/>
        <w:bidi w:val="0"/>
        <w:spacing w:lineRule="auto" w:line="288" w:before="0" w:after="160"/>
        <w:jc w:val="both"/>
        <w:rPr/>
      </w:pPr>
      <w:bookmarkStart w:id="56" w:name="i1f4a212e6e234e0883c5be471c7320d5"/>
      <w:bookmarkEnd w:id="56"/>
      <w:r>
        <w:rPr>
          <w:rFonts w:ascii="Adelle Sans Light;sans-serif" w:hAnsi="Adelle Sans Light;sans-serif"/>
          <w:b w:val="false"/>
          <w:color w:val="000000"/>
          <w:sz w:val="10"/>
        </w:rPr>
        <w:t xml:space="preserve">(2) </w:t>
      </w:r>
      <w:r>
        <w:rPr>
          <w:rFonts w:ascii="Adelle Sans Light;sans-serif" w:hAnsi="Adelle Sans Light;sans-serif"/>
          <w:b w:val="false"/>
          <w:color w:val="000000"/>
          <w:sz w:val="16"/>
        </w:rPr>
        <w:t>Excludes immaterial broker commissions and excise tax accruals.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7955"/>
                <wp:effectExtent l="0" t="0" r="0" b="0"/>
                <wp:wrapNone/>
                <wp:docPr id="23" name="Frame22"/>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200"/>
                              <w:jc w:val="center"/>
                              <w:rPr>
                                <w:rFonts w:ascii="Adelle Sans Light;sans-serif" w:hAnsi="Adelle Sans Light;sans-serif"/>
                                <w:b w:val="false"/>
                                <w:color w:val="000000"/>
                                <w:sz w:val="20"/>
                              </w:rPr>
                            </w:pPr>
                            <w:r>
                              <w:rPr>
                                <w:rFonts w:ascii="Adelle Sans Light;sans-serif" w:hAnsi="Adelle Sans Light;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Adelle Sans Light;sans-serif" w:hAnsi="Adelle Sans Light;sans-serif"/>
                          <w:b w:val="false"/>
                          <w:color w:val="000000"/>
                          <w:sz w:val="20"/>
                        </w:rPr>
                      </w:pPr>
                      <w:r>
                        <w:rPr>
                          <w:rFonts w:ascii="Adelle Sans Light;sans-serif" w:hAnsi="Adelle Sans Light;sans-serif"/>
                          <w:b w:val="false"/>
                          <w:color w:val="000000"/>
                          <w:sz w:val="20"/>
                        </w:rPr>
                        <w:t>22</w:t>
                      </w:r>
                    </w:p>
                  </w:txbxContent>
                </v:textbox>
                <w10:wrap type="none"/>
              </v:rect>
            </w:pict>
          </mc:Fallback>
        </mc:AlternateContent>
      </w:r>
    </w:p>
    <w:p>
      <w:pPr>
        <w:pStyle w:val="TextBody"/>
        <w:bidi w:val="0"/>
        <w:spacing w:lineRule="auto" w:line="288" w:before="0" w:after="200"/>
        <w:jc w:val="both"/>
        <w:rPr/>
      </w:pPr>
      <w:hyperlink w:anchor="iccccf23fa31e44f0aa82c99ca0859db8_7">
        <w:r>
          <w:rPr>
            <w:rStyle w:val="InternetLink"/>
            <w:rFonts w:ascii="Adelle Sans Light;sans-serif" w:hAnsi="Adelle Sans Light;sans-serif"/>
            <w:b w:val="false"/>
            <w:color w:val="0000FF"/>
            <w:sz w:val="20"/>
            <w:u w:val="single"/>
          </w:rPr>
          <w:t>Table of Contents</w:t>
        </w:r>
      </w:hyperlink>
    </w:p>
    <w:p>
      <w:pPr>
        <w:pStyle w:val="TextBody"/>
        <w:bidi w:val="0"/>
        <w:spacing w:lineRule="auto" w:line="288" w:before="0" w:after="200"/>
        <w:ind w:left="0" w:right="0" w:hanging="360"/>
        <w:jc w:val="left"/>
        <w:rPr>
          <w:rFonts w:ascii="Adelle Sans;sans-serif" w:hAnsi="Adelle Sans;sans-serif"/>
          <w:b/>
          <w:color w:val="000000"/>
          <w:sz w:val="20"/>
        </w:rPr>
      </w:pPr>
      <w:bookmarkStart w:id="57" w:name="ie2bfc01ba62140e896f1f01adc5f58ea"/>
      <w:bookmarkEnd w:id="57"/>
      <w:r>
        <w:rPr>
          <w:rFonts w:ascii="Adelle Sans;sans-serif" w:hAnsi="Adelle Sans;sans-serif"/>
          <w:b/>
          <w:color w:val="000000"/>
          <w:sz w:val="20"/>
        </w:rPr>
        <w:t>11.Changes in Accumulated Other Comprehensive (Loss) Income</w:t>
      </w:r>
    </w:p>
    <w:p>
      <w:pPr>
        <w:pStyle w:val="TextBody"/>
        <w:bidi w:val="0"/>
        <w:spacing w:lineRule="auto" w:line="288" w:before="0" w:after="200"/>
        <w:jc w:val="both"/>
        <w:rPr>
          <w:rFonts w:ascii="Adelle Sans Light;sans-serif" w:hAnsi="Adelle Sans Light;sans-serif"/>
          <w:b w:val="false"/>
          <w:color w:val="000000"/>
          <w:sz w:val="20"/>
        </w:rPr>
      </w:pPr>
      <w:r>
        <w:rPr>
          <w:rFonts w:ascii="Adelle Sans Light;sans-serif" w:hAnsi="Adelle Sans Light;sans-serif"/>
          <w:b w:val="false"/>
          <w:color w:val="000000"/>
          <w:sz w:val="20"/>
        </w:rPr>
        <w:t>The following table summarizes the changes in accumulated other comprehensive (loss) income, which is reported as a component of shareholders’ equity:</w:t>
      </w:r>
    </w:p>
    <w:tbl>
      <w:tblPr>
        <w:tblW w:w="10205" w:type="dxa"/>
        <w:jc w:val="left"/>
        <w:tblInd w:w="0" w:type="dxa"/>
        <w:tblLayout w:type="fixed"/>
        <w:tblCellMar>
          <w:top w:w="28" w:type="dxa"/>
          <w:left w:w="28" w:type="dxa"/>
          <w:bottom w:w="28" w:type="dxa"/>
          <w:right w:w="28" w:type="dxa"/>
        </w:tblCellMar>
      </w:tblPr>
      <w:tblGrid>
        <w:gridCol w:w="2803"/>
        <w:gridCol w:w="2364"/>
        <w:gridCol w:w="2372"/>
        <w:gridCol w:w="307"/>
        <w:gridCol w:w="284"/>
        <w:gridCol w:w="273"/>
        <w:gridCol w:w="273"/>
        <w:gridCol w:w="273"/>
        <w:gridCol w:w="273"/>
        <w:gridCol w:w="307"/>
        <w:gridCol w:w="284"/>
        <w:gridCol w:w="392"/>
      </w:tblGrid>
      <w:tr>
        <w:trPr/>
        <w:tc>
          <w:tcPr>
            <w:tcW w:w="2803" w:type="dxa"/>
            <w:tcBorders/>
            <w:vAlign w:val="center"/>
          </w:tcPr>
          <w:p>
            <w:pPr>
              <w:pStyle w:val="TableContents"/>
              <w:bidi w:val="0"/>
              <w:spacing w:before="0" w:after="283"/>
              <w:jc w:val="left"/>
              <w:rPr>
                <w:sz w:val="4"/>
                <w:szCs w:val="4"/>
              </w:rPr>
            </w:pPr>
            <w:r>
              <w:rPr>
                <w:sz w:val="4"/>
                <w:szCs w:val="4"/>
              </w:rPr>
            </w:r>
          </w:p>
        </w:tc>
        <w:tc>
          <w:tcPr>
            <w:tcW w:w="2364" w:type="dxa"/>
            <w:tcBorders/>
            <w:vAlign w:val="center"/>
          </w:tcPr>
          <w:p>
            <w:pPr>
              <w:pStyle w:val="TableContents"/>
              <w:bidi w:val="0"/>
              <w:spacing w:before="0" w:after="283"/>
              <w:jc w:val="left"/>
              <w:rPr>
                <w:sz w:val="4"/>
                <w:szCs w:val="4"/>
              </w:rPr>
            </w:pPr>
            <w:r>
              <w:rPr>
                <w:sz w:val="4"/>
                <w:szCs w:val="4"/>
              </w:rPr>
            </w:r>
          </w:p>
        </w:tc>
        <w:tc>
          <w:tcPr>
            <w:tcW w:w="2372"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r>
      <w:tr>
        <w:trPr/>
        <w:tc>
          <w:tcPr>
            <w:tcW w:w="7539" w:type="dxa"/>
            <w:gridSpan w:val="3"/>
            <w:tcBorders/>
            <w:vAlign w:val="center"/>
          </w:tcPr>
          <w:p>
            <w:pPr>
              <w:pStyle w:val="TableContents"/>
              <w:bidi w:val="0"/>
              <w:spacing w:before="0" w:after="283"/>
              <w:jc w:val="left"/>
              <w:rPr>
                <w:sz w:val="4"/>
                <w:szCs w:val="4"/>
              </w:rPr>
            </w:pPr>
            <w:r>
              <w:rPr>
                <w:sz w:val="4"/>
                <w:szCs w:val="4"/>
              </w:rPr>
            </w:r>
          </w:p>
        </w:tc>
        <w:tc>
          <w:tcPr>
            <w:tcW w:w="864" w:type="dxa"/>
            <w:gridSpan w:val="3"/>
            <w:tcBorders/>
            <w:vAlign w:val="center"/>
          </w:tcPr>
          <w:p>
            <w:pPr>
              <w:pStyle w:val="TableContents"/>
              <w:bidi w:val="0"/>
              <w:spacing w:before="0" w:after="283"/>
              <w:jc w:val="left"/>
              <w:rPr>
                <w:sz w:val="4"/>
                <w:szCs w:val="4"/>
              </w:rPr>
            </w:pPr>
            <w:r>
              <w:rPr>
                <w:sz w:val="4"/>
                <w:szCs w:val="4"/>
              </w:rPr>
            </w:r>
          </w:p>
        </w:tc>
        <w:tc>
          <w:tcPr>
            <w:tcW w:w="1802" w:type="dxa"/>
            <w:gridSpan w:val="6"/>
            <w:tcBorders/>
          </w:tcPr>
          <w:p>
            <w:pPr>
              <w:pStyle w:val="TableContents"/>
              <w:bidi w:val="0"/>
              <w:spacing w:before="0" w:after="283"/>
              <w:jc w:val="left"/>
              <w:rPr>
                <w:sz w:val="4"/>
                <w:szCs w:val="4"/>
              </w:rPr>
            </w:pPr>
            <w:r>
              <w:rPr>
                <w:sz w:val="4"/>
                <w:szCs w:val="4"/>
              </w:rPr>
            </w:r>
          </w:p>
        </w:tc>
      </w:tr>
      <w:tr>
        <w:trPr/>
        <w:tc>
          <w:tcPr>
            <w:tcW w:w="7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delle Sans;sans-serif" w:hAnsi="Adelle Sans;sans-serif"/>
                <w:b/>
                <w:color w:val="000000"/>
                <w:sz w:val="18"/>
              </w:rPr>
            </w:pPr>
            <w:r>
              <w:rPr>
                <w:rFonts w:ascii="Adelle Sans;sans-serif" w:hAnsi="Adelle Sans;sans-serif"/>
                <w:b/>
                <w:color w:val="000000"/>
                <w:sz w:val="18"/>
              </w:rPr>
              <w:t>Six months ended June 30,</w:t>
            </w:r>
          </w:p>
        </w:tc>
      </w:tr>
      <w:tr>
        <w:trPr/>
        <w:tc>
          <w:tcPr>
            <w:tcW w:w="7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delle Sans;sans-serif" w:hAnsi="Adelle Sans;sans-serif"/>
                <w:b/>
                <w:color w:val="000000"/>
                <w:sz w:val="18"/>
              </w:rPr>
            </w:pPr>
            <w:r>
              <w:rPr>
                <w:rFonts w:ascii="Adelle Sans;sans-serif" w:hAnsi="Adelle Sans;sans-serif"/>
                <w:b/>
                <w:color w:val="000000"/>
                <w:sz w:val="18"/>
              </w:rPr>
              <w:t>2026</w:t>
            </w:r>
          </w:p>
        </w:tc>
        <w:tc>
          <w:tcPr>
            <w:tcW w:w="81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delle Sans;sans-serif" w:hAnsi="Adelle Sans;sans-serif"/>
                <w:b/>
                <w:color w:val="000000"/>
                <w:sz w:val="18"/>
              </w:rPr>
            </w:pPr>
            <w:r>
              <w:rPr>
                <w:rFonts w:ascii="Adelle Sans;sans-serif" w:hAnsi="Adelle Sans;sans-serif"/>
                <w:b/>
                <w:color w:val="000000"/>
                <w:sz w:val="18"/>
              </w:rPr>
              <w:t>2025</w:t>
            </w:r>
          </w:p>
        </w:tc>
      </w:tr>
      <w:tr>
        <w:trPr/>
        <w:tc>
          <w:tcPr>
            <w:tcW w:w="7539" w:type="dxa"/>
            <w:gridSpan w:val="3"/>
            <w:tcBorders/>
            <w:vAlign w:val="center"/>
          </w:tcPr>
          <w:p>
            <w:pPr>
              <w:pStyle w:val="TableContents"/>
              <w:bidi w:val="0"/>
              <w:spacing w:before="0" w:after="283"/>
              <w:jc w:val="left"/>
              <w:rPr>
                <w:sz w:val="4"/>
                <w:szCs w:val="4"/>
              </w:rPr>
            </w:pPr>
            <w:r>
              <w:rPr>
                <w:sz w:val="4"/>
                <w:szCs w:val="4"/>
              </w:rPr>
            </w:r>
          </w:p>
        </w:tc>
        <w:tc>
          <w:tcPr>
            <w:tcW w:w="864" w:type="dxa"/>
            <w:gridSpan w:val="3"/>
            <w:tcBorders/>
            <w:vAlign w:val="center"/>
          </w:tcPr>
          <w:p>
            <w:pPr>
              <w:pStyle w:val="TableContents"/>
              <w:bidi w:val="0"/>
              <w:spacing w:before="0" w:after="283"/>
              <w:jc w:val="left"/>
              <w:rPr>
                <w:sz w:val="4"/>
                <w:szCs w:val="4"/>
              </w:rPr>
            </w:pPr>
            <w:r>
              <w:rPr>
                <w:sz w:val="4"/>
                <w:szCs w:val="4"/>
              </w:rPr>
            </w:r>
          </w:p>
        </w:tc>
        <w:tc>
          <w:tcPr>
            <w:tcW w:w="819"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r>
      <w:tr>
        <w:trPr/>
        <w:tc>
          <w:tcPr>
            <w:tcW w:w="753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6" w:type="dxa"/>
            <w:gridSpan w:val="9"/>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Adelle Sans;sans-serif" w:hAnsi="Adelle Sans;sans-serif"/>
                <w:b w:val="false"/>
                <w:color w:val="000000"/>
                <w:sz w:val="18"/>
              </w:rPr>
            </w:pPr>
            <w:r>
              <w:rPr>
                <w:rFonts w:ascii="Adelle Sans;sans-serif" w:hAnsi="Adelle Sans;sans-serif"/>
                <w:b w:val="false"/>
                <w:color w:val="000000"/>
                <w:sz w:val="18"/>
              </w:rPr>
              <w:t>(in US $ millions)</w:t>
            </w:r>
          </w:p>
        </w:tc>
      </w:tr>
      <w:tr>
        <w:trPr/>
        <w:tc>
          <w:tcPr>
            <w:tcW w:w="7539" w:type="dxa"/>
            <w:gridSpan w:val="3"/>
            <w:tcBorders/>
            <w:shd w:fill="F7F7F7" w:val="clear"/>
            <w:tcMar>
              <w:top w:w="0" w:type="dxa"/>
              <w:left w:w="0" w:type="dxa"/>
              <w:bottom w:w="0" w:type="dxa"/>
              <w:right w:w="0" w:type="dxa"/>
            </w:tcMar>
            <w:vAlign w:val="center"/>
          </w:tcPr>
          <w:p>
            <w:pPr>
              <w:pStyle w:val="TableContents"/>
              <w:bidi w:val="0"/>
              <w:spacing w:lineRule="auto" w:line="240" w:before="0" w:after="283"/>
              <w:jc w:val="left"/>
              <w:rPr>
                <w:rFonts w:ascii="Adelle Sans;sans-serif" w:hAnsi="Adelle Sans;sans-serif"/>
                <w:b w:val="false"/>
                <w:color w:val="000000"/>
                <w:sz w:val="18"/>
              </w:rPr>
            </w:pPr>
            <w:r>
              <w:rPr>
                <w:rFonts w:ascii="Adelle Sans;sans-serif" w:hAnsi="Adelle Sans;sans-serif"/>
                <w:b w:val="false"/>
                <w:color w:val="000000"/>
                <w:sz w:val="18"/>
              </w:rPr>
              <w:t>Balance, beginning of the period</w:t>
            </w:r>
          </w:p>
        </w:tc>
        <w:tc>
          <w:tcPr>
            <w:tcW w:w="591" w:type="dxa"/>
            <w:gridSpan w:val="2"/>
            <w:tcBorders/>
            <w:shd w:fill="F7F7F7"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1 </w:t>
            </w:r>
          </w:p>
        </w:tc>
        <w:tc>
          <w:tcPr>
            <w:tcW w:w="273" w:type="dxa"/>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2"/>
            <w:tcBorders/>
            <w:shd w:fill="F7F7F7"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(10)</w:t>
            </w:r>
          </w:p>
        </w:tc>
        <w:tc>
          <w:tcPr>
            <w:tcW w:w="392" w:type="dxa"/>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7F7F7" w:val="clear"/>
            <w:tcMar>
              <w:top w:w="0" w:type="dxa"/>
              <w:left w:w="0" w:type="dxa"/>
              <w:bottom w:w="0" w:type="dxa"/>
              <w:right w:w="0" w:type="dxa"/>
            </w:tcMar>
            <w:vAlign w:val="center"/>
          </w:tcPr>
          <w:p>
            <w:pPr>
              <w:pStyle w:val="TableContents"/>
              <w:bidi w:val="0"/>
              <w:spacing w:lineRule="auto" w:line="240" w:before="0" w:after="283"/>
              <w:jc w:val="left"/>
              <w:rPr>
                <w:rFonts w:ascii="Adelle Sans;sans-serif" w:hAnsi="Adelle Sans;sans-serif"/>
                <w:b w:val="false"/>
                <w:color w:val="000000"/>
                <w:sz w:val="18"/>
              </w:rPr>
            </w:pPr>
            <w:r>
              <w:rPr>
                <w:rFonts w:ascii="Adelle Sans;sans-serif" w:hAnsi="Adelle Sans;sans-serif"/>
                <w:b w:val="false"/>
                <w:color w:val="000000"/>
                <w:sz w:val="18"/>
              </w:rPr>
              <w:t>Other comprehensive income before reclassifications</w:t>
            </w:r>
          </w:p>
        </w:tc>
        <w:tc>
          <w:tcPr>
            <w:tcW w:w="591" w:type="dxa"/>
            <w:gridSpan w:val="2"/>
            <w:tcBorders/>
            <w:shd w:fill="F7F7F7"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(11)</w:t>
            </w:r>
          </w:p>
        </w:tc>
        <w:tc>
          <w:tcPr>
            <w:tcW w:w="273" w:type="dxa"/>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2"/>
            <w:tcBorders/>
            <w:shd w:fill="F7F7F7"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15 </w:t>
            </w:r>
          </w:p>
        </w:tc>
        <w:tc>
          <w:tcPr>
            <w:tcW w:w="392" w:type="dxa"/>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delle Sans;sans-serif" w:hAnsi="Adelle Sans;sans-serif"/>
                <w:b w:val="false"/>
                <w:color w:val="000000"/>
                <w:sz w:val="18"/>
              </w:rPr>
            </w:pPr>
            <w:r>
              <w:rPr>
                <w:rFonts w:ascii="Adelle Sans;sans-serif" w:hAnsi="Adelle Sans;sans-serif"/>
                <w:b w:val="false"/>
                <w:color w:val="000000"/>
                <w:sz w:val="18"/>
              </w:rPr>
              <w:t>Gain on cash flow hedges reclassified from accumulated other comprehensive loss to earnings:</w:t>
            </w:r>
          </w:p>
        </w:tc>
        <w:tc>
          <w:tcPr>
            <w:tcW w:w="8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vAlign w:val="center"/>
          </w:tcPr>
          <w:p>
            <w:pPr>
              <w:pStyle w:val="TableContents"/>
              <w:bidi w:val="0"/>
              <w:spacing w:before="0" w:after="283"/>
              <w:jc w:val="left"/>
              <w:rPr>
                <w:sz w:val="4"/>
                <w:szCs w:val="4"/>
              </w:rPr>
            </w:pPr>
            <w:r>
              <w:rPr>
                <w:sz w:val="4"/>
                <w:szCs w:val="4"/>
              </w:rPr>
            </w:r>
          </w:p>
        </w:tc>
        <w:tc>
          <w:tcPr>
            <w:tcW w:w="864" w:type="dxa"/>
            <w:gridSpan w:val="3"/>
            <w:tcBorders/>
            <w:vAlign w:val="center"/>
          </w:tcPr>
          <w:p>
            <w:pPr>
              <w:pStyle w:val="TableContents"/>
              <w:bidi w:val="0"/>
              <w:spacing w:before="0" w:after="283"/>
              <w:jc w:val="left"/>
              <w:rPr>
                <w:sz w:val="4"/>
                <w:szCs w:val="4"/>
              </w:rPr>
            </w:pPr>
            <w:r>
              <w:rPr>
                <w:sz w:val="4"/>
                <w:szCs w:val="4"/>
              </w:rPr>
            </w:r>
          </w:p>
        </w:tc>
        <w:tc>
          <w:tcPr>
            <w:tcW w:w="819"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r>
      <w:tr>
        <w:trPr/>
        <w:tc>
          <w:tcPr>
            <w:tcW w:w="7539" w:type="dxa"/>
            <w:gridSpan w:val="3"/>
            <w:tcBorders/>
            <w:shd w:fill="F7F7F7" w:val="clear"/>
            <w:tcMar>
              <w:top w:w="0" w:type="dxa"/>
              <w:left w:w="0" w:type="dxa"/>
              <w:bottom w:w="0" w:type="dxa"/>
              <w:right w:w="0" w:type="dxa"/>
            </w:tcMar>
            <w:vAlign w:val="center"/>
          </w:tcPr>
          <w:p>
            <w:pPr>
              <w:pStyle w:val="TableContents"/>
              <w:bidi w:val="0"/>
              <w:spacing w:lineRule="auto" w:line="240" w:before="0" w:after="283"/>
              <w:jc w:val="left"/>
              <w:rPr>
                <w:rFonts w:ascii="Adelle Sans;sans-serif" w:hAnsi="Adelle Sans;sans-serif"/>
                <w:b w:val="false"/>
                <w:color w:val="000000"/>
                <w:sz w:val="18"/>
              </w:rPr>
            </w:pPr>
            <w:r>
              <w:rPr>
                <w:rFonts w:ascii="Adelle Sans;sans-serif" w:hAnsi="Adelle Sans;sans-serif"/>
                <w:b w:val="false"/>
                <w:color w:val="000000"/>
                <w:sz w:val="18"/>
              </w:rPr>
              <w:t>Sales and marketing</w:t>
            </w:r>
          </w:p>
        </w:tc>
        <w:tc>
          <w:tcPr>
            <w:tcW w:w="591" w:type="dxa"/>
            <w:gridSpan w:val="2"/>
            <w:tcBorders/>
            <w:shd w:fill="F7F7F7"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3" w:type="dxa"/>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2"/>
            <w:tcBorders/>
            <w:shd w:fill="F7F7F7"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1 </w:t>
            </w:r>
          </w:p>
        </w:tc>
        <w:tc>
          <w:tcPr>
            <w:tcW w:w="392" w:type="dxa"/>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delle Sans;sans-serif" w:hAnsi="Adelle Sans;sans-serif"/>
                <w:b w:val="false"/>
                <w:color w:val="000000"/>
                <w:sz w:val="18"/>
              </w:rPr>
            </w:pPr>
            <w:r>
              <w:rPr>
                <w:rFonts w:ascii="Adelle Sans;sans-serif" w:hAnsi="Adelle Sans;sans-serif"/>
                <w:b w:val="false"/>
                <w:color w:val="000000"/>
                <w:sz w:val="18"/>
              </w:rPr>
              <w:t>Research and development</w:t>
            </w:r>
          </w:p>
        </w:tc>
        <w:tc>
          <w:tcPr>
            <w:tcW w:w="5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4 </w:t>
            </w:r>
          </w:p>
        </w:tc>
        <w:tc>
          <w:tcPr>
            <w:tcW w:w="3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7F7F7" w:val="clear"/>
            <w:tcMar>
              <w:top w:w="0" w:type="dxa"/>
              <w:left w:w="0" w:type="dxa"/>
              <w:bottom w:w="0" w:type="dxa"/>
              <w:right w:w="0" w:type="dxa"/>
            </w:tcMar>
            <w:vAlign w:val="center"/>
          </w:tcPr>
          <w:p>
            <w:pPr>
              <w:pStyle w:val="TableContents"/>
              <w:bidi w:val="0"/>
              <w:spacing w:lineRule="auto" w:line="240" w:before="0" w:after="283"/>
              <w:jc w:val="left"/>
              <w:rPr>
                <w:rFonts w:ascii="Adelle Sans;sans-serif" w:hAnsi="Adelle Sans;sans-serif"/>
                <w:b w:val="false"/>
                <w:color w:val="000000"/>
                <w:sz w:val="18"/>
              </w:rPr>
            </w:pPr>
            <w:r>
              <w:rPr>
                <w:rFonts w:ascii="Adelle Sans;sans-serif" w:hAnsi="Adelle Sans;sans-serif"/>
                <w:b w:val="false"/>
                <w:color w:val="000000"/>
                <w:sz w:val="18"/>
              </w:rPr>
              <w:t>General and administrative</w:t>
            </w:r>
          </w:p>
        </w:tc>
        <w:tc>
          <w:tcPr>
            <w:tcW w:w="591" w:type="dxa"/>
            <w:gridSpan w:val="2"/>
            <w:tcBorders/>
            <w:shd w:fill="F7F7F7"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3" w:type="dxa"/>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2"/>
            <w:tcBorders/>
            <w:shd w:fill="F7F7F7"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1 </w:t>
            </w:r>
          </w:p>
        </w:tc>
        <w:tc>
          <w:tcPr>
            <w:tcW w:w="392" w:type="dxa"/>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delle Sans;sans-serif" w:hAnsi="Adelle Sans;sans-serif"/>
                <w:b w:val="false"/>
                <w:color w:val="000000"/>
                <w:sz w:val="18"/>
              </w:rPr>
            </w:pPr>
            <w:r>
              <w:rPr>
                <w:rFonts w:ascii="Adelle Sans;sans-serif" w:hAnsi="Adelle Sans;sans-serif"/>
                <w:b w:val="false"/>
                <w:color w:val="000000"/>
                <w:sz w:val="18"/>
              </w:rPr>
              <w:t>Tax effect on unrealized gain (loss) on cash flow hedges</w:t>
            </w:r>
          </w:p>
        </w:tc>
        <w:tc>
          <w:tcPr>
            <w:tcW w:w="5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3 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(6)</w:t>
            </w:r>
          </w:p>
        </w:tc>
        <w:tc>
          <w:tcPr>
            <w:tcW w:w="3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7F7F7" w:val="clear"/>
            <w:tcMar>
              <w:top w:w="0" w:type="dxa"/>
              <w:left w:w="0" w:type="dxa"/>
              <w:bottom w:w="0" w:type="dxa"/>
              <w:right w:w="0" w:type="dxa"/>
            </w:tcMar>
            <w:vAlign w:val="center"/>
          </w:tcPr>
          <w:p>
            <w:pPr>
              <w:pStyle w:val="TableContents"/>
              <w:bidi w:val="0"/>
              <w:spacing w:lineRule="auto" w:line="240" w:before="0" w:after="283"/>
              <w:jc w:val="left"/>
              <w:rPr>
                <w:rFonts w:ascii="Adelle Sans;sans-serif" w:hAnsi="Adelle Sans;sans-serif"/>
                <w:b w:val="false"/>
                <w:color w:val="000000"/>
                <w:sz w:val="18"/>
              </w:rPr>
            </w:pPr>
            <w:r>
              <w:rPr>
                <w:rFonts w:ascii="Adelle Sans;sans-serif" w:hAnsi="Adelle Sans;sans-serif"/>
                <w:b w:val="false"/>
                <w:color w:val="000000"/>
                <w:sz w:val="18"/>
              </w:rPr>
              <w:t>Other comprehensive (loss) income, net of tax</w:t>
            </w:r>
          </w:p>
        </w:tc>
        <w:tc>
          <w:tcPr>
            <w:tcW w:w="591" w:type="dxa"/>
            <w:gridSpan w:val="2"/>
            <w:tcBorders>
              <w:top w:val="single" w:sz="4" w:space="0" w:color="000000"/>
            </w:tcBorders>
            <w:shd w:fill="F7F7F7" w:val="clear"/>
            <w:tcMar>
              <w:top w:w="52"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(8)</w:t>
            </w:r>
          </w:p>
        </w:tc>
        <w:tc>
          <w:tcPr>
            <w:tcW w:w="273" w:type="dxa"/>
            <w:tcBorders>
              <w:top w:val="single" w:sz="4" w:space="0" w:color="000000"/>
            </w:tcBorders>
            <w:shd w:fill="F7F7F7"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3"/>
            <w:tcBorders>
              <w:top w:val="single" w:sz="4" w:space="0" w:color="000000"/>
            </w:tcBorders>
            <w:shd w:fill="F7F7F7"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2"/>
            <w:tcBorders>
              <w:top w:val="single" w:sz="4" w:space="0" w:color="000000"/>
            </w:tcBorders>
            <w:shd w:fill="F7F7F7" w:val="clear"/>
            <w:tcMar>
              <w:top w:w="52"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15 </w:t>
            </w:r>
          </w:p>
        </w:tc>
        <w:tc>
          <w:tcPr>
            <w:tcW w:w="392" w:type="dxa"/>
            <w:tcBorders>
              <w:top w:val="single" w:sz="4" w:space="0" w:color="000000"/>
            </w:tcBorders>
            <w:shd w:fill="F7F7F7"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delle Sans;sans-serif" w:hAnsi="Adelle Sans;sans-serif"/>
                <w:b w:val="false"/>
                <w:color w:val="000000"/>
                <w:sz w:val="18"/>
              </w:rPr>
            </w:pPr>
            <w:r>
              <w:rPr>
                <w:rFonts w:ascii="Adelle Sans;sans-serif" w:hAnsi="Adelle Sans;sans-serif"/>
                <w:b w:val="false"/>
                <w:color w:val="000000"/>
                <w:sz w:val="18"/>
              </w:rPr>
              <w:t>Balance, end of the period</w:t>
            </w:r>
          </w:p>
        </w:tc>
        <w:tc>
          <w:tcPr>
            <w:tcW w:w="59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(7)</w:t>
            </w:r>
          </w:p>
        </w:tc>
        <w:tc>
          <w:tcPr>
            <w:tcW w:w="27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5 </w:t>
            </w:r>
          </w:p>
        </w:tc>
        <w:tc>
          <w:tcPr>
            <w:tcW w:w="39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ind w:left="0" w:right="0" w:hanging="360"/>
        <w:jc w:val="left"/>
        <w:rPr>
          <w:rFonts w:ascii="Adelle Sans;sans-serif" w:hAnsi="Adelle Sans;sans-serif"/>
          <w:b/>
          <w:color w:val="000000"/>
          <w:sz w:val="20"/>
        </w:rPr>
      </w:pPr>
      <w:bookmarkStart w:id="58" w:name="i6d4cc79f40f2434aa3bbf6dd77d21d6b"/>
      <w:bookmarkEnd w:id="58"/>
      <w:r>
        <w:rPr>
          <w:rFonts w:ascii="Adelle Sans;sans-serif" w:hAnsi="Adelle Sans;sans-serif"/>
          <w:b/>
          <w:color w:val="000000"/>
          <w:sz w:val="20"/>
        </w:rPr>
        <w:t>12.Income Taxes</w:t>
      </w:r>
    </w:p>
    <w:p>
      <w:pPr>
        <w:pStyle w:val="TextBody"/>
        <w:bidi w:val="0"/>
        <w:spacing w:lineRule="auto" w:line="288" w:before="0" w:after="200"/>
        <w:jc w:val="both"/>
        <w:rPr>
          <w:rFonts w:ascii="Adelle Sans Light;sans-serif" w:hAnsi="Adelle Sans Light;sans-serif"/>
          <w:b w:val="false"/>
          <w:color w:val="000000"/>
          <w:sz w:val="20"/>
        </w:rPr>
      </w:pPr>
      <w:r>
        <w:rPr>
          <w:rFonts w:ascii="Adelle Sans Light;sans-serif" w:hAnsi="Adelle Sans Light;sans-serif"/>
          <w:b w:val="false"/>
          <w:color w:val="000000"/>
          <w:sz w:val="20"/>
        </w:rPr>
        <w:t>The Company's provision for income taxes is determined by applying the estimated annual effective tax rate to income or loss from recurring operations and adjusting for the effects of any discrete income tax items specific to the period.</w:t>
      </w:r>
    </w:p>
    <w:p>
      <w:pPr>
        <w:pStyle w:val="TextBody"/>
        <w:bidi w:val="0"/>
        <w:spacing w:lineRule="auto" w:line="288" w:before="0" w:after="200"/>
        <w:jc w:val="both"/>
        <w:rPr>
          <w:rFonts w:ascii="Adelle Sans Light;sans-serif" w:hAnsi="Adelle Sans Light;sans-serif"/>
          <w:b w:val="false"/>
          <w:color w:val="000000"/>
          <w:sz w:val="20"/>
        </w:rPr>
      </w:pPr>
      <w:r>
        <w:rPr>
          <w:rFonts w:ascii="Adelle Sans Light;sans-serif" w:hAnsi="Adelle Sans Light;sans-serif"/>
          <w:b w:val="false"/>
          <w:color w:val="000000"/>
          <w:sz w:val="20"/>
        </w:rPr>
        <w:t>The Company updates its estimate of the annual effective tax rate each quarter and makes cumulative adjustments if its estimated annual tax rate is expected to change. The Company’s effective tax rate may be subject to fluctuation during the year as new information is obtained, which may affect the assumptions used to estimate the annual effective tax rate, including factors such as the mix of forecasted pre-tax earnings in the various jurisdictions in which the Company operates, any valuation allowance against deferred tax assets, the recognition and derecognition of tax benefits related to uncertain tax positions and changes in or the interpretation of tax laws in jurisdictions where the Company conducts business.</w:t>
      </w:r>
    </w:p>
    <w:p>
      <w:pPr>
        <w:pStyle w:val="TextBody"/>
        <w:bidi w:val="0"/>
        <w:spacing w:lineRule="auto" w:line="288" w:before="0" w:after="200"/>
        <w:jc w:val="both"/>
        <w:rPr>
          <w:rFonts w:ascii="Adelle Sans Light;sans-serif" w:hAnsi="Adelle Sans Light;sans-serif"/>
          <w:b w:val="false"/>
          <w:color w:val="000000"/>
          <w:sz w:val="20"/>
        </w:rPr>
      </w:pPr>
      <w:r>
        <w:rPr>
          <w:rFonts w:ascii="Adelle Sans Light;sans-serif" w:hAnsi="Adelle Sans Light;sans-serif"/>
          <w:b w:val="false"/>
          <w:color w:val="000000"/>
          <w:sz w:val="20"/>
        </w:rPr>
        <w:t>The Company had a provision for income taxes of $273 million and $220 million in the three and six months ended June 30, 2026, respectively, as a result of earnings in various jurisdictions and unrealized gain on equity and other investments.</w:t>
      </w:r>
    </w:p>
    <w:p>
      <w:pPr>
        <w:pStyle w:val="TextBody"/>
        <w:bidi w:val="0"/>
        <w:spacing w:lineRule="auto" w:line="288" w:before="0" w:after="200"/>
        <w:jc w:val="both"/>
        <w:rPr>
          <w:rFonts w:ascii="Adelle Sans Light;sans-serif" w:hAnsi="Adelle Sans Light;sans-serif"/>
          <w:b w:val="false"/>
          <w:color w:val="000000"/>
          <w:sz w:val="20"/>
        </w:rPr>
      </w:pPr>
      <w:r>
        <w:rPr>
          <w:rFonts w:ascii="Adelle Sans Light;sans-serif" w:hAnsi="Adelle Sans Light;sans-serif"/>
          <w:b w:val="false"/>
          <w:color w:val="000000"/>
          <w:sz w:val="20"/>
        </w:rPr>
        <w:t>The Company had a provision for income taxes of $173 million in the three months ended June 30, 2025, as a result of unrealized gain on equity and other investments and on account of earnings in various jurisdictions.</w:t>
      </w:r>
    </w:p>
    <w:p>
      <w:pPr>
        <w:pStyle w:val="TextBody"/>
        <w:bidi w:val="0"/>
        <w:spacing w:lineRule="auto" w:line="288" w:before="0" w:after="200"/>
        <w:jc w:val="both"/>
        <w:rPr>
          <w:rFonts w:ascii="Adelle Sans Light;sans-serif" w:hAnsi="Adelle Sans Light;sans-serif"/>
          <w:b w:val="false"/>
          <w:color w:val="000000"/>
          <w:sz w:val="20"/>
        </w:rPr>
      </w:pPr>
      <w:r>
        <w:rPr>
          <w:rFonts w:ascii="Adelle Sans Light;sans-serif" w:hAnsi="Adelle Sans Light;sans-serif"/>
          <w:b w:val="false"/>
          <w:color w:val="000000"/>
          <w:sz w:val="20"/>
        </w:rPr>
        <w:t>The Company had a provision for income taxes of $85 million in the six months ended June 30, 2025, as a result of earnings in various jurisdictions, partially offset by unrealized loss on equity and other investments.</w:t>
      </w:r>
    </w:p>
    <w:p>
      <w:pPr>
        <w:pStyle w:val="TextBody"/>
        <w:bidi w:val="0"/>
        <w:spacing w:lineRule="auto" w:line="288" w:before="0" w:after="200"/>
        <w:jc w:val="both"/>
        <w:rPr>
          <w:rFonts w:ascii="Adelle Sans Light;sans-serif" w:hAnsi="Adelle Sans Light;sans-serif"/>
          <w:b w:val="false"/>
          <w:color w:val="000000"/>
          <w:sz w:val="20"/>
        </w:rPr>
      </w:pPr>
      <w:r>
        <w:rPr>
          <w:rFonts w:ascii="Adelle Sans Light;sans-serif" w:hAnsi="Adelle Sans Light;sans-serif"/>
          <w:b w:val="false"/>
          <w:color w:val="000000"/>
          <w:sz w:val="20"/>
        </w:rPr>
        <w:t xml:space="preserve">We continue to be subject to review and audit by tax authorities around the world, which may lead to adjustments to our tax liabilities. In 2025, we received a proposed assessment from the Canada Revenue Agency ("CRA") related to our transfer pricing for tax year 2020. We disagree with the proposed assessment and intend to defend our position. </w:t>
      </w:r>
    </w:p>
    <w:p>
      <w:pPr>
        <w:pStyle w:val="TextBody"/>
        <w:bidi w:val="0"/>
        <w:spacing w:lineRule="auto" w:line="288" w:before="0" w:after="200"/>
        <w:jc w:val="both"/>
        <w:rPr>
          <w:rFonts w:ascii="Adelle Sans Light;sans-serif" w:hAnsi="Adelle Sans Light;sans-serif"/>
          <w:b w:val="false"/>
          <w:color w:val="000000"/>
          <w:sz w:val="20"/>
        </w:rPr>
      </w:pPr>
      <w:r>
        <w:rPr>
          <w:rFonts w:ascii="Adelle Sans Light;sans-serif" w:hAnsi="Adelle Sans Light;sans-serif"/>
          <w:b w:val="false"/>
          <w:color w:val="000000"/>
          <w:sz w:val="20"/>
        </w:rPr>
        <w:t>While we believe that our tax position is appropriate, the final determination and timing of resolution of the above matter, and any other tax audits or litigation cannot be predicted with certainty. We continue to monitor the progress of tax audits with tax authorities. Adjustments arising from tax audits or litigation will be recorded in the period in which such matters are resolved.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7955"/>
                <wp:effectExtent l="0" t="0" r="0" b="0"/>
                <wp:wrapNone/>
                <wp:docPr id="24" name="Frame23"/>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200"/>
                              <w:jc w:val="center"/>
                              <w:rPr>
                                <w:rFonts w:ascii="Adelle Sans Light;sans-serif" w:hAnsi="Adelle Sans Light;sans-serif"/>
                                <w:b w:val="false"/>
                                <w:color w:val="000000"/>
                                <w:sz w:val="20"/>
                              </w:rPr>
                            </w:pPr>
                            <w:r>
                              <w:rPr>
                                <w:rFonts w:ascii="Adelle Sans Light;sans-serif" w:hAnsi="Adelle Sans Light;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Adelle Sans Light;sans-serif" w:hAnsi="Adelle Sans Light;sans-serif"/>
                          <w:b w:val="false"/>
                          <w:color w:val="000000"/>
                          <w:sz w:val="20"/>
                        </w:rPr>
                      </w:pPr>
                      <w:r>
                        <w:rPr>
                          <w:rFonts w:ascii="Adelle Sans Light;sans-serif" w:hAnsi="Adelle Sans Light;sans-serif"/>
                          <w:b w:val="false"/>
                          <w:color w:val="000000"/>
                          <w:sz w:val="20"/>
                        </w:rPr>
                        <w:t>23</w:t>
                      </w:r>
                    </w:p>
                  </w:txbxContent>
                </v:textbox>
                <w10:wrap type="none"/>
              </v:rect>
            </w:pict>
          </mc:Fallback>
        </mc:AlternateContent>
      </w:r>
    </w:p>
    <w:p>
      <w:pPr>
        <w:pStyle w:val="TextBody"/>
        <w:bidi w:val="0"/>
        <w:spacing w:lineRule="auto" w:line="288" w:before="0" w:after="200"/>
        <w:jc w:val="both"/>
        <w:rPr/>
      </w:pPr>
      <w:hyperlink w:anchor="iccccf23fa31e44f0aa82c99ca0859db8_7">
        <w:r>
          <w:rPr>
            <w:rStyle w:val="InternetLink"/>
            <w:rFonts w:ascii="Adelle Sans Light;sans-serif" w:hAnsi="Adelle Sans Light;sans-serif"/>
            <w:b w:val="false"/>
            <w:color w:val="0000FF"/>
            <w:sz w:val="20"/>
            <w:u w:val="single"/>
          </w:rPr>
          <w:t>Table of Contents</w:t>
        </w:r>
      </w:hyperlink>
    </w:p>
    <w:p>
      <w:pPr>
        <w:pStyle w:val="TextBody"/>
        <w:bidi w:val="0"/>
        <w:spacing w:lineRule="auto" w:line="288" w:before="0" w:after="200"/>
        <w:ind w:left="0" w:right="0" w:hanging="360"/>
        <w:jc w:val="left"/>
        <w:rPr>
          <w:rFonts w:ascii="Adelle Sans;sans-serif" w:hAnsi="Adelle Sans;sans-serif"/>
          <w:b/>
          <w:color w:val="000000"/>
          <w:sz w:val="20"/>
        </w:rPr>
      </w:pPr>
      <w:bookmarkStart w:id="59" w:name="i6fc43b7b0457464eb58d5d0813a809b8"/>
      <w:bookmarkEnd w:id="59"/>
      <w:r>
        <w:rPr>
          <w:rFonts w:ascii="Adelle Sans;sans-serif" w:hAnsi="Adelle Sans;sans-serif"/>
          <w:b/>
          <w:color w:val="000000"/>
          <w:sz w:val="20"/>
        </w:rPr>
        <w:t xml:space="preserve">13.Net Income per Share </w:t>
      </w:r>
    </w:p>
    <w:p>
      <w:pPr>
        <w:pStyle w:val="TextBody"/>
        <w:bidi w:val="0"/>
        <w:spacing w:lineRule="auto" w:line="288" w:before="0" w:after="200"/>
        <w:jc w:val="both"/>
        <w:rPr>
          <w:rFonts w:ascii="Adelle Sans Light;sans-serif" w:hAnsi="Adelle Sans Light;sans-serif"/>
          <w:b w:val="false"/>
          <w:color w:val="000000"/>
          <w:sz w:val="20"/>
        </w:rPr>
      </w:pPr>
      <w:r>
        <w:rPr>
          <w:rFonts w:ascii="Adelle Sans Light;sans-serif" w:hAnsi="Adelle Sans Light;sans-serif"/>
          <w:b w:val="false"/>
          <w:color w:val="000000"/>
          <w:sz w:val="20"/>
        </w:rPr>
        <w:t>The Company applies the two-class method to calculate its basic and diluted net income per share as Class A subordinate voting shares and Class B restricted voting shares are participating securities with equal participation rights and are entitled to receive dividends on a share for share basis. The Company uses the treasury stock method for calculating the effect of dilutive potential common stock from employee stock options and employee RSUs.</w:t>
      </w:r>
    </w:p>
    <w:p>
      <w:pPr>
        <w:pStyle w:val="TextBody"/>
        <w:bidi w:val="0"/>
        <w:spacing w:lineRule="auto" w:line="288" w:before="0" w:after="200"/>
        <w:jc w:val="both"/>
        <w:rPr>
          <w:rFonts w:ascii="Adelle Sans Light;sans-serif" w:hAnsi="Adelle Sans Light;sans-serif"/>
          <w:b w:val="false"/>
          <w:color w:val="000000"/>
          <w:sz w:val="20"/>
        </w:rPr>
      </w:pPr>
      <w:r>
        <w:rPr>
          <w:rFonts w:ascii="Adelle Sans Light;sans-serif" w:hAnsi="Adelle Sans Light;sans-serif"/>
          <w:b w:val="false"/>
          <w:color w:val="000000"/>
          <w:sz w:val="20"/>
        </w:rPr>
        <w:t>The following table summarizes the reconciliation of the basic weighted average number of shares outstanding and the diluted weighted average number of shares outstanding:</w:t>
      </w:r>
    </w:p>
    <w:tbl>
      <w:tblPr>
        <w:tblW w:w="10205" w:type="dxa"/>
        <w:jc w:val="left"/>
        <w:tblInd w:w="0" w:type="dxa"/>
        <w:tblLayout w:type="fixed"/>
        <w:tblCellMar>
          <w:top w:w="28" w:type="dxa"/>
          <w:left w:w="28" w:type="dxa"/>
          <w:bottom w:w="28" w:type="dxa"/>
          <w:right w:w="28" w:type="dxa"/>
        </w:tblCellMar>
      </w:tblPr>
      <w:tblGrid>
        <w:gridCol w:w="1000"/>
        <w:gridCol w:w="878"/>
        <w:gridCol w:w="885"/>
        <w:gridCol w:w="364"/>
        <w:gridCol w:w="945"/>
        <w:gridCol w:w="177"/>
        <w:gridCol w:w="115"/>
        <w:gridCol w:w="115"/>
        <w:gridCol w:w="115"/>
        <w:gridCol w:w="364"/>
        <w:gridCol w:w="945"/>
        <w:gridCol w:w="177"/>
        <w:gridCol w:w="109"/>
        <w:gridCol w:w="109"/>
        <w:gridCol w:w="109"/>
        <w:gridCol w:w="364"/>
        <w:gridCol w:w="945"/>
        <w:gridCol w:w="177"/>
        <w:gridCol w:w="113"/>
        <w:gridCol w:w="113"/>
        <w:gridCol w:w="113"/>
        <w:gridCol w:w="364"/>
        <w:gridCol w:w="945"/>
        <w:gridCol w:w="177"/>
        <w:gridCol w:w="109"/>
        <w:gridCol w:w="109"/>
        <w:gridCol w:w="109"/>
        <w:gridCol w:w="160"/>
      </w:tblGrid>
      <w:tr>
        <w:trPr/>
        <w:tc>
          <w:tcPr>
            <w:tcW w:w="1000"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885"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7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7"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delle Sans;sans-serif" w:hAnsi="Adelle Sans;sans-serif"/>
                <w:b/>
                <w:color w:val="000000"/>
                <w:sz w:val="18"/>
              </w:rPr>
            </w:pPr>
            <w:r>
              <w:rPr>
                <w:rFonts w:ascii="Adelle Sans;sans-serif" w:hAnsi="Adelle Sans;sans-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1"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delle Sans;sans-serif" w:hAnsi="Adelle Sans;sans-serif"/>
                <w:b/>
                <w:color w:val="000000"/>
                <w:sz w:val="18"/>
              </w:rPr>
            </w:pPr>
            <w:r>
              <w:rPr>
                <w:rFonts w:ascii="Adelle Sans;sans-serif" w:hAnsi="Adelle Sans;sans-serif"/>
                <w:b/>
                <w:color w:val="000000"/>
                <w:sz w:val="18"/>
              </w:rPr>
              <w:t>Six months ended June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gridSpan w:val="2"/>
            <w:tcBorders/>
          </w:tcPr>
          <w:p>
            <w:pPr>
              <w:pStyle w:val="TableContents"/>
              <w:bidi w:val="0"/>
              <w:spacing w:before="0" w:after="283"/>
              <w:jc w:val="left"/>
              <w:rPr>
                <w:sz w:val="4"/>
                <w:szCs w:val="4"/>
              </w:rPr>
            </w:pPr>
            <w:r>
              <w:rPr>
                <w:sz w:val="4"/>
                <w:szCs w:val="4"/>
              </w:rPr>
            </w:r>
          </w:p>
        </w:tc>
      </w:tr>
      <w:tr>
        <w:trPr/>
        <w:tc>
          <w:tcPr>
            <w:tcW w:w="27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delle Sans;sans-serif" w:hAnsi="Adelle Sans;sans-serif"/>
                <w:b/>
                <w:color w:val="000000"/>
                <w:sz w:val="18"/>
              </w:rPr>
            </w:pPr>
            <w:r>
              <w:rPr>
                <w:rFonts w:ascii="Adelle Sans;sans-serif" w:hAnsi="Adelle Sans;sans-serif"/>
                <w:b/>
                <w:color w:val="000000"/>
                <w:sz w:val="18"/>
              </w:rPr>
              <w:t>2026</w:t>
            </w:r>
          </w:p>
        </w:tc>
        <w:tc>
          <w:tcPr>
            <w:tcW w:w="3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delle Sans;sans-serif" w:hAnsi="Adelle Sans;sans-serif"/>
                <w:b/>
                <w:color w:val="000000"/>
                <w:sz w:val="18"/>
              </w:rPr>
            </w:pPr>
            <w:r>
              <w:rPr>
                <w:rFonts w:ascii="Adelle Sans;sans-serif" w:hAnsi="Adelle Sans;sans-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delle Sans;sans-serif" w:hAnsi="Adelle Sans;sans-serif"/>
                <w:b/>
                <w:color w:val="000000"/>
                <w:sz w:val="18"/>
              </w:rPr>
            </w:pPr>
            <w:r>
              <w:rPr>
                <w:rFonts w:ascii="Adelle Sans;sans-serif" w:hAnsi="Adelle Sans;sans-serif"/>
                <w:b/>
                <w:color w:val="000000"/>
                <w:sz w:val="18"/>
              </w:rPr>
              <w:t>2026</w:t>
            </w:r>
          </w:p>
        </w:tc>
        <w:tc>
          <w:tcPr>
            <w:tcW w:w="3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delle Sans;sans-serif" w:hAnsi="Adelle Sans;sans-serif"/>
                <w:b/>
                <w:color w:val="000000"/>
                <w:sz w:val="18"/>
              </w:rPr>
            </w:pPr>
            <w:r>
              <w:rPr>
                <w:rFonts w:ascii="Adelle Sans;sans-serif" w:hAnsi="Adelle Sans;sans-serif"/>
                <w:b/>
                <w:color w:val="000000"/>
                <w:sz w:val="18"/>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763" w:type="dxa"/>
            <w:gridSpan w:val="3"/>
            <w:tcBorders/>
            <w:vAlign w:val="center"/>
          </w:tcPr>
          <w:p>
            <w:pPr>
              <w:pStyle w:val="TableContents"/>
              <w:bidi w:val="0"/>
              <w:spacing w:before="0" w:after="283"/>
              <w:jc w:val="left"/>
              <w:rPr>
                <w:sz w:val="4"/>
                <w:szCs w:val="4"/>
              </w:rPr>
            </w:pPr>
            <w:r>
              <w:rPr>
                <w:sz w:val="4"/>
                <w:szCs w:val="4"/>
              </w:rPr>
            </w:r>
          </w:p>
        </w:tc>
        <w:tc>
          <w:tcPr>
            <w:tcW w:w="1486"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4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6"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48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763" w:type="dxa"/>
            <w:gridSpan w:val="3"/>
            <w:tcBorders/>
            <w:vAlign w:val="center"/>
          </w:tcPr>
          <w:p>
            <w:pPr>
              <w:pStyle w:val="TableContents"/>
              <w:bidi w:val="0"/>
              <w:spacing w:before="0" w:after="283"/>
              <w:jc w:val="left"/>
              <w:rPr>
                <w:sz w:val="4"/>
                <w:szCs w:val="4"/>
              </w:rPr>
            </w:pPr>
            <w:r>
              <w:rPr>
                <w:sz w:val="4"/>
                <w:szCs w:val="4"/>
              </w:rPr>
            </w:r>
          </w:p>
        </w:tc>
        <w:tc>
          <w:tcPr>
            <w:tcW w:w="1486"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4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6"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48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763" w:type="dxa"/>
            <w:gridSpan w:val="3"/>
            <w:tcBorders/>
            <w:vAlign w:val="center"/>
          </w:tcPr>
          <w:p>
            <w:pPr>
              <w:pStyle w:val="TableContents"/>
              <w:bidi w:val="0"/>
              <w:spacing w:before="0" w:after="283"/>
              <w:jc w:val="left"/>
              <w:rPr>
                <w:sz w:val="4"/>
                <w:szCs w:val="4"/>
              </w:rPr>
            </w:pPr>
            <w:r>
              <w:rPr>
                <w:sz w:val="4"/>
                <w:szCs w:val="4"/>
              </w:rPr>
            </w:r>
          </w:p>
        </w:tc>
        <w:tc>
          <w:tcPr>
            <w:tcW w:w="1486"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4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6"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48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763" w:type="dxa"/>
            <w:gridSpan w:val="3"/>
            <w:tcBorders/>
            <w:vAlign w:val="center"/>
          </w:tcPr>
          <w:p>
            <w:pPr>
              <w:pStyle w:val="TableContents"/>
              <w:bidi w:val="0"/>
              <w:spacing w:before="0" w:after="283"/>
              <w:jc w:val="left"/>
              <w:rPr>
                <w:sz w:val="4"/>
                <w:szCs w:val="4"/>
              </w:rPr>
            </w:pPr>
            <w:r>
              <w:rPr>
                <w:sz w:val="4"/>
                <w:szCs w:val="4"/>
              </w:rPr>
            </w:r>
          </w:p>
        </w:tc>
        <w:tc>
          <w:tcPr>
            <w:tcW w:w="1486"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4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6"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48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763" w:type="dxa"/>
            <w:gridSpan w:val="3"/>
            <w:tcBorders/>
            <w:vAlign w:val="center"/>
          </w:tcPr>
          <w:p>
            <w:pPr>
              <w:pStyle w:val="TableContents"/>
              <w:bidi w:val="0"/>
              <w:spacing w:before="0" w:after="283"/>
              <w:jc w:val="left"/>
              <w:rPr>
                <w:sz w:val="4"/>
                <w:szCs w:val="4"/>
              </w:rPr>
            </w:pPr>
            <w:r>
              <w:rPr>
                <w:sz w:val="4"/>
                <w:szCs w:val="4"/>
              </w:rPr>
            </w:r>
          </w:p>
        </w:tc>
        <w:tc>
          <w:tcPr>
            <w:tcW w:w="1486"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4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6"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48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763" w:type="dxa"/>
            <w:gridSpan w:val="3"/>
            <w:tcBorders/>
            <w:vAlign w:val="center"/>
          </w:tcPr>
          <w:p>
            <w:pPr>
              <w:pStyle w:val="TableContents"/>
              <w:bidi w:val="0"/>
              <w:spacing w:before="0" w:after="283"/>
              <w:jc w:val="left"/>
              <w:rPr>
                <w:sz w:val="4"/>
                <w:szCs w:val="4"/>
              </w:rPr>
            </w:pPr>
            <w:r>
              <w:rPr>
                <w:sz w:val="4"/>
                <w:szCs w:val="4"/>
              </w:rPr>
            </w:r>
          </w:p>
        </w:tc>
        <w:tc>
          <w:tcPr>
            <w:tcW w:w="1486"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4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6"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48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763" w:type="dxa"/>
            <w:gridSpan w:val="3"/>
            <w:tcBorders/>
            <w:vAlign w:val="center"/>
          </w:tcPr>
          <w:p>
            <w:pPr>
              <w:pStyle w:val="TableContents"/>
              <w:bidi w:val="0"/>
              <w:spacing w:before="0" w:after="283"/>
              <w:jc w:val="left"/>
              <w:rPr>
                <w:sz w:val="4"/>
                <w:szCs w:val="4"/>
              </w:rPr>
            </w:pPr>
            <w:r>
              <w:rPr>
                <w:sz w:val="4"/>
                <w:szCs w:val="4"/>
              </w:rPr>
            </w:r>
          </w:p>
        </w:tc>
        <w:tc>
          <w:tcPr>
            <w:tcW w:w="1486"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4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6"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48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76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5" w:type="dxa"/>
            <w:gridSpan w:val="21"/>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0"/>
              <w:jc w:val="center"/>
              <w:rPr>
                <w:rFonts w:ascii="Adelle Sans;sans-serif" w:hAnsi="Adelle Sans;sans-serif"/>
                <w:b w:val="false"/>
                <w:color w:val="000000"/>
                <w:sz w:val="18"/>
              </w:rPr>
            </w:pPr>
            <w:r>
              <w:rPr>
                <w:rFonts w:ascii="Adelle Sans;sans-serif" w:hAnsi="Adelle Sans;sans-serif"/>
                <w:b w:val="false"/>
                <w:color w:val="000000"/>
                <w:sz w:val="18"/>
              </w:rPr>
              <w:t>(in US $ millions, except share and per share amounts)</w:t>
            </w:r>
          </w:p>
        </w:tc>
        <w:tc>
          <w:tcPr>
            <w:tcW w:w="487" w:type="dxa"/>
            <w:gridSpan w:val="4"/>
            <w:tcBorders/>
          </w:tcPr>
          <w:p>
            <w:pPr>
              <w:pStyle w:val="TableContents"/>
              <w:bidi w:val="0"/>
              <w:spacing w:before="0" w:after="283"/>
              <w:jc w:val="left"/>
              <w:rPr>
                <w:sz w:val="4"/>
                <w:szCs w:val="4"/>
              </w:rPr>
            </w:pPr>
            <w:r>
              <w:rPr>
                <w:sz w:val="4"/>
                <w:szCs w:val="4"/>
              </w:rPr>
            </w:r>
          </w:p>
        </w:tc>
      </w:tr>
      <w:tr>
        <w:trPr/>
        <w:tc>
          <w:tcPr>
            <w:tcW w:w="2763" w:type="dxa"/>
            <w:gridSpan w:val="3"/>
            <w:tcBorders/>
            <w:shd w:fill="F7F7F7" w:val="clear"/>
            <w:tcMar>
              <w:top w:w="0" w:type="dxa"/>
              <w:left w:w="0" w:type="dxa"/>
              <w:bottom w:w="0" w:type="dxa"/>
              <w:right w:w="0" w:type="dxa"/>
            </w:tcMar>
            <w:vAlign w:val="center"/>
          </w:tcPr>
          <w:p>
            <w:pPr>
              <w:pStyle w:val="TableContents"/>
              <w:bidi w:val="0"/>
              <w:spacing w:lineRule="auto" w:line="240" w:before="0" w:after="283"/>
              <w:jc w:val="left"/>
              <w:rPr>
                <w:rFonts w:ascii="Adelle Sans;sans-serif" w:hAnsi="Adelle Sans;sans-serif"/>
                <w:b/>
                <w:color w:val="000000"/>
                <w:sz w:val="18"/>
              </w:rPr>
            </w:pPr>
            <w:r>
              <w:rPr>
                <w:rFonts w:ascii="Adelle Sans;sans-serif" w:hAnsi="Adelle Sans;sans-serif"/>
                <w:b/>
                <w:color w:val="000000"/>
                <w:sz w:val="18"/>
              </w:rPr>
              <w:t>Numerator:</w:t>
            </w:r>
          </w:p>
        </w:tc>
        <w:tc>
          <w:tcPr>
            <w:tcW w:w="1486"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7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delle Sans;sans-serif" w:hAnsi="Adelle Sans;sans-serif"/>
                <w:b w:val="false"/>
                <w:color w:val="000000"/>
                <w:sz w:val="18"/>
              </w:rPr>
            </w:pPr>
            <w:r>
              <w:rPr>
                <w:rFonts w:ascii="Adelle Sans;sans-serif" w:hAnsi="Adelle Sans;sans-serif"/>
                <w:b w:val="false"/>
                <w:color w:val="000000"/>
                <w:sz w:val="18"/>
              </w:rPr>
              <w:t>Net income</w:t>
            </w:r>
          </w:p>
        </w:tc>
        <w:tc>
          <w:tcPr>
            <w:tcW w:w="13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1,502 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906 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921 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224 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763"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7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delle Sans;sans-serif" w:hAnsi="Adelle Sans;sans-serif"/>
                <w:b/>
                <w:color w:val="000000"/>
                <w:sz w:val="18"/>
              </w:rPr>
            </w:pPr>
            <w:r>
              <w:rPr>
                <w:rFonts w:ascii="Adelle Sans;sans-serif" w:hAnsi="Adelle Sans;sans-serif"/>
                <w:b/>
                <w:color w:val="000000"/>
                <w:sz w:val="18"/>
              </w:rPr>
              <w:t>Denominator:</w:t>
            </w:r>
          </w:p>
        </w:tc>
        <w:tc>
          <w:tcPr>
            <w:tcW w:w="14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763" w:type="dxa"/>
            <w:gridSpan w:val="3"/>
            <w:tcBorders/>
            <w:shd w:fill="F7F7F7" w:val="clear"/>
            <w:tcMar>
              <w:top w:w="0" w:type="dxa"/>
              <w:left w:w="0" w:type="dxa"/>
              <w:bottom w:w="0" w:type="dxa"/>
              <w:right w:w="0" w:type="dxa"/>
            </w:tcMar>
            <w:vAlign w:val="center"/>
          </w:tcPr>
          <w:p>
            <w:pPr>
              <w:pStyle w:val="TableContents"/>
              <w:bidi w:val="0"/>
              <w:spacing w:lineRule="auto" w:line="240" w:before="0" w:after="283"/>
              <w:jc w:val="left"/>
              <w:rPr>
                <w:rFonts w:ascii="Adelle Sans;sans-serif" w:hAnsi="Adelle Sans;sans-serif"/>
                <w:b w:val="false"/>
                <w:color w:val="000000"/>
                <w:sz w:val="18"/>
              </w:rPr>
            </w:pPr>
            <w:r>
              <w:rPr>
                <w:rFonts w:ascii="Adelle Sans;sans-serif" w:hAnsi="Adelle Sans;sans-serif"/>
                <w:b w:val="false"/>
                <w:color w:val="000000"/>
                <w:sz w:val="18"/>
              </w:rPr>
              <w:t>Basic weighted average number of shares outstanding</w:t>
            </w:r>
          </w:p>
        </w:tc>
        <w:tc>
          <w:tcPr>
            <w:tcW w:w="1486" w:type="dxa"/>
            <w:gridSpan w:val="3"/>
            <w:tcBorders/>
            <w:shd w:fill="F7F7F7"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1,295,220,307</w:t>
            </w:r>
          </w:p>
        </w:tc>
        <w:tc>
          <w:tcPr>
            <w:tcW w:w="345"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3"/>
            <w:tcBorders/>
            <w:shd w:fill="F7F7F7"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1,297,746,050</w:t>
            </w:r>
          </w:p>
        </w:tc>
        <w:tc>
          <w:tcPr>
            <w:tcW w:w="327"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3"/>
            <w:tcBorders/>
            <w:shd w:fill="F7F7F7"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1,299,266,611</w:t>
            </w:r>
          </w:p>
        </w:tc>
        <w:tc>
          <w:tcPr>
            <w:tcW w:w="339"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3"/>
            <w:tcBorders/>
            <w:shd w:fill="F7F7F7"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1,296,593,342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7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delle Sans;sans-serif" w:hAnsi="Adelle Sans;sans-serif"/>
                <w:b w:val="false"/>
                <w:color w:val="000000"/>
                <w:sz w:val="18"/>
              </w:rPr>
            </w:pPr>
            <w:r>
              <w:rPr>
                <w:rFonts w:ascii="Adelle Sans;sans-serif" w:hAnsi="Adelle Sans;sans-serif"/>
                <w:b w:val="false"/>
                <w:color w:val="000000"/>
                <w:sz w:val="18"/>
              </w:rPr>
              <w:t>Weighted average effect of dilutive securities:</w:t>
            </w:r>
          </w:p>
        </w:tc>
        <w:tc>
          <w:tcPr>
            <w:tcW w:w="14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763" w:type="dxa"/>
            <w:gridSpan w:val="3"/>
            <w:tcBorders/>
            <w:shd w:fill="F7F7F7" w:val="clear"/>
            <w:tcMar>
              <w:top w:w="0" w:type="dxa"/>
              <w:left w:w="0" w:type="dxa"/>
              <w:bottom w:w="0" w:type="dxa"/>
              <w:right w:w="0" w:type="dxa"/>
            </w:tcMar>
            <w:vAlign w:val="center"/>
          </w:tcPr>
          <w:p>
            <w:pPr>
              <w:pStyle w:val="TableContents"/>
              <w:bidi w:val="0"/>
              <w:spacing w:lineRule="auto" w:line="240" w:before="0" w:after="283"/>
              <w:jc w:val="left"/>
              <w:rPr>
                <w:rFonts w:ascii="Adelle Sans;sans-serif" w:hAnsi="Adelle Sans;sans-serif"/>
                <w:b w:val="false"/>
                <w:color w:val="000000"/>
                <w:sz w:val="18"/>
              </w:rPr>
            </w:pPr>
            <w:r>
              <w:rPr>
                <w:rFonts w:ascii="Adelle Sans;sans-serif" w:hAnsi="Adelle Sans;sans-serif"/>
                <w:b w:val="false"/>
                <w:color w:val="000000"/>
                <w:sz w:val="18"/>
              </w:rPr>
              <w:t>Stock options</w:t>
            </w:r>
          </w:p>
        </w:tc>
        <w:tc>
          <w:tcPr>
            <w:tcW w:w="1486" w:type="dxa"/>
            <w:gridSpan w:val="3"/>
            <w:tcBorders/>
            <w:shd w:fill="F7F7F7"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2,062,973</w:t>
            </w:r>
          </w:p>
        </w:tc>
        <w:tc>
          <w:tcPr>
            <w:tcW w:w="345"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3"/>
            <w:tcBorders/>
            <w:shd w:fill="F7F7F7"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3,290,102</w:t>
            </w:r>
          </w:p>
        </w:tc>
        <w:tc>
          <w:tcPr>
            <w:tcW w:w="327"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3"/>
            <w:tcBorders/>
            <w:shd w:fill="F7F7F7"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2,477,142</w:t>
            </w:r>
          </w:p>
        </w:tc>
        <w:tc>
          <w:tcPr>
            <w:tcW w:w="339"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3"/>
            <w:tcBorders/>
            <w:shd w:fill="F7F7F7"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3,700,679</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7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delle Sans;sans-serif" w:hAnsi="Adelle Sans;sans-serif"/>
                <w:b w:val="false"/>
                <w:color w:val="000000"/>
                <w:sz w:val="18"/>
              </w:rPr>
            </w:pPr>
            <w:r>
              <w:rPr>
                <w:rFonts w:ascii="Adelle Sans;sans-serif" w:hAnsi="Adelle Sans;sans-serif"/>
                <w:b w:val="false"/>
                <w:color w:val="000000"/>
                <w:sz w:val="18"/>
              </w:rPr>
              <w:t>Restricted share units</w:t>
            </w:r>
          </w:p>
        </w:tc>
        <w:tc>
          <w:tcPr>
            <w:tcW w:w="14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655,853</w:t>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1,557,363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882,310</w:t>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1,768,333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763" w:type="dxa"/>
            <w:gridSpan w:val="3"/>
            <w:tcBorders/>
            <w:shd w:fill="F7F7F7" w:val="clear"/>
            <w:tcMar>
              <w:top w:w="0" w:type="dxa"/>
              <w:left w:w="0" w:type="dxa"/>
              <w:bottom w:w="0" w:type="dxa"/>
              <w:right w:w="0" w:type="dxa"/>
            </w:tcMar>
            <w:vAlign w:val="center"/>
          </w:tcPr>
          <w:p>
            <w:pPr>
              <w:pStyle w:val="TableContents"/>
              <w:bidi w:val="0"/>
              <w:spacing w:lineRule="auto" w:line="240" w:before="0" w:after="283"/>
              <w:jc w:val="left"/>
              <w:rPr>
                <w:rFonts w:ascii="Adelle Sans;sans-serif" w:hAnsi="Adelle Sans;sans-serif"/>
                <w:b w:val="false"/>
                <w:color w:val="000000"/>
                <w:sz w:val="18"/>
              </w:rPr>
            </w:pPr>
            <w:r>
              <w:rPr>
                <w:rFonts w:ascii="Adelle Sans;sans-serif" w:hAnsi="Adelle Sans;sans-serif"/>
                <w:b w:val="false"/>
                <w:color w:val="000000"/>
                <w:sz w:val="18"/>
              </w:rPr>
              <w:t>Convertible senior notes</w:t>
            </w:r>
          </w:p>
        </w:tc>
        <w:tc>
          <w:tcPr>
            <w:tcW w:w="1486" w:type="dxa"/>
            <w:gridSpan w:val="3"/>
            <w:tcBorders/>
            <w:shd w:fill="F7F7F7"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45"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3"/>
            <w:tcBorders/>
            <w:shd w:fill="F7F7F7"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6,388,480</w:t>
            </w:r>
          </w:p>
        </w:tc>
        <w:tc>
          <w:tcPr>
            <w:tcW w:w="327"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3"/>
            <w:tcBorders/>
            <w:shd w:fill="F7F7F7"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39"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3"/>
            <w:tcBorders/>
            <w:shd w:fill="F7F7F7"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6,388,480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7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delle Sans;sans-serif" w:hAnsi="Adelle Sans;sans-serif"/>
                <w:b w:val="false"/>
                <w:color w:val="000000"/>
                <w:sz w:val="18"/>
              </w:rPr>
            </w:pPr>
            <w:r>
              <w:rPr>
                <w:rFonts w:ascii="Adelle Sans;sans-serif" w:hAnsi="Adelle Sans;sans-serif"/>
                <w:b w:val="false"/>
                <w:color w:val="000000"/>
                <w:sz w:val="18"/>
              </w:rPr>
              <w:t>Deferred share units</w:t>
            </w:r>
          </w:p>
        </w:tc>
        <w:tc>
          <w:tcPr>
            <w:tcW w:w="14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1,825</w:t>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11,843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1,864</w:t>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12,705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763" w:type="dxa"/>
            <w:gridSpan w:val="3"/>
            <w:tcBorders/>
            <w:shd w:fill="F7F7F7" w:val="clear"/>
            <w:tcMar>
              <w:top w:w="0" w:type="dxa"/>
              <w:left w:w="0" w:type="dxa"/>
              <w:bottom w:w="0" w:type="dxa"/>
              <w:right w:w="0" w:type="dxa"/>
            </w:tcMar>
            <w:vAlign w:val="center"/>
          </w:tcPr>
          <w:p>
            <w:pPr>
              <w:pStyle w:val="TableContents"/>
              <w:bidi w:val="0"/>
              <w:spacing w:lineRule="auto" w:line="240" w:before="0" w:after="283"/>
              <w:jc w:val="left"/>
              <w:rPr>
                <w:rFonts w:ascii="Adelle Sans;sans-serif" w:hAnsi="Adelle Sans;sans-serif"/>
                <w:b w:val="false"/>
                <w:color w:val="000000"/>
                <w:sz w:val="18"/>
              </w:rPr>
            </w:pPr>
            <w:r>
              <w:rPr>
                <w:rFonts w:ascii="Adelle Sans;sans-serif" w:hAnsi="Adelle Sans;sans-serif"/>
                <w:b w:val="false"/>
                <w:color w:val="000000"/>
                <w:sz w:val="18"/>
              </w:rPr>
              <w:t>Diluted weighted average number of shares</w:t>
            </w:r>
          </w:p>
        </w:tc>
        <w:tc>
          <w:tcPr>
            <w:tcW w:w="1486" w:type="dxa"/>
            <w:gridSpan w:val="3"/>
            <w:tcBorders>
              <w:top w:val="single" w:sz="4" w:space="0" w:color="000000"/>
            </w:tcBorders>
            <w:shd w:fill="F7F7F7" w:val="clear"/>
            <w:tcMar>
              <w:top w:w="52"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1,297,940,958</w:t>
            </w:r>
          </w:p>
        </w:tc>
        <w:tc>
          <w:tcPr>
            <w:tcW w:w="345" w:type="dxa"/>
            <w:gridSpan w:val="3"/>
            <w:tcBorders>
              <w:top w:val="single" w:sz="4" w:space="0" w:color="000000"/>
            </w:tcBorders>
            <w:shd w:fill="F7F7F7"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3"/>
            <w:tcBorders>
              <w:top w:val="single" w:sz="4" w:space="0" w:color="000000"/>
            </w:tcBorders>
            <w:shd w:fill="F7F7F7" w:val="clear"/>
            <w:tcMar>
              <w:top w:w="52"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1,308,993,838</w:t>
            </w:r>
          </w:p>
        </w:tc>
        <w:tc>
          <w:tcPr>
            <w:tcW w:w="327"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3"/>
            <w:tcBorders>
              <w:top w:val="single" w:sz="4" w:space="0" w:color="000000"/>
            </w:tcBorders>
            <w:shd w:fill="F7F7F7" w:val="clear"/>
            <w:tcMar>
              <w:top w:w="52"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1,302,627,927</w:t>
            </w:r>
          </w:p>
        </w:tc>
        <w:tc>
          <w:tcPr>
            <w:tcW w:w="339" w:type="dxa"/>
            <w:gridSpan w:val="3"/>
            <w:tcBorders>
              <w:top w:val="single" w:sz="4" w:space="0" w:color="000000"/>
            </w:tcBorders>
            <w:shd w:fill="F7F7F7"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3"/>
            <w:tcBorders>
              <w:top w:val="single" w:sz="4" w:space="0" w:color="000000"/>
            </w:tcBorders>
            <w:shd w:fill="F7F7F7" w:val="clear"/>
            <w:tcMar>
              <w:top w:w="52"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1,308,463,539</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76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763" w:type="dxa"/>
            <w:gridSpan w:val="3"/>
            <w:tcBorders/>
            <w:shd w:fill="F7F7F7" w:val="clear"/>
            <w:tcMar>
              <w:top w:w="0" w:type="dxa"/>
              <w:left w:w="0" w:type="dxa"/>
              <w:bottom w:w="0" w:type="dxa"/>
              <w:right w:w="0" w:type="dxa"/>
            </w:tcMar>
            <w:vAlign w:val="center"/>
          </w:tcPr>
          <w:p>
            <w:pPr>
              <w:pStyle w:val="TableContents"/>
              <w:bidi w:val="0"/>
              <w:spacing w:lineRule="auto" w:line="240" w:before="0" w:after="283"/>
              <w:jc w:val="left"/>
              <w:rPr>
                <w:rFonts w:ascii="Adelle Sans;sans-serif" w:hAnsi="Adelle Sans;sans-serif"/>
                <w:b/>
                <w:color w:val="000000"/>
                <w:sz w:val="18"/>
              </w:rPr>
            </w:pPr>
            <w:r>
              <w:rPr>
                <w:rFonts w:ascii="Adelle Sans;sans-serif" w:hAnsi="Adelle Sans;sans-serif"/>
                <w:b/>
                <w:color w:val="000000"/>
                <w:sz w:val="18"/>
              </w:rPr>
              <w:t>Net income per share:</w:t>
            </w:r>
          </w:p>
        </w:tc>
        <w:tc>
          <w:tcPr>
            <w:tcW w:w="1486"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7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delle Sans;sans-serif" w:hAnsi="Adelle Sans;sans-serif"/>
                <w:b w:val="false"/>
                <w:color w:val="000000"/>
                <w:sz w:val="18"/>
              </w:rPr>
            </w:pPr>
            <w:r>
              <w:rPr>
                <w:rFonts w:ascii="Adelle Sans;sans-serif" w:hAnsi="Adelle Sans;sans-serif"/>
                <w:b w:val="false"/>
                <w:color w:val="000000"/>
                <w:sz w:val="18"/>
              </w:rPr>
              <w:t>Basic</w:t>
            </w:r>
          </w:p>
        </w:tc>
        <w:tc>
          <w:tcPr>
            <w:tcW w:w="36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delle Sans;sans-serif" w:hAnsi="Adelle Sans;sans-serif"/>
                <w:b w:val="false"/>
                <w:color w:val="000000"/>
                <w:sz w:val="18"/>
              </w:rPr>
            </w:pPr>
            <w:r>
              <w:rPr>
                <w:rFonts w:ascii="Adelle Sans;sans-serif" w:hAnsi="Adelle Sans;sans-serif"/>
                <w:b w:val="false"/>
                <w:color w:val="000000"/>
                <w:sz w:val="18"/>
              </w:rPr>
              <w:t>$</w:t>
            </w:r>
          </w:p>
        </w:tc>
        <w:tc>
          <w:tcPr>
            <w:tcW w:w="9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1.16 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delle Sans;sans-serif" w:hAnsi="Adelle Sans;sans-serif"/>
                <w:b w:val="false"/>
                <w:color w:val="000000"/>
                <w:sz w:val="18"/>
              </w:rPr>
            </w:pPr>
            <w:r>
              <w:rPr>
                <w:rFonts w:ascii="Adelle Sans;sans-serif" w:hAnsi="Adelle Sans;sans-serif"/>
                <w:b w:val="false"/>
                <w:color w:val="000000"/>
                <w:sz w:val="18"/>
              </w:rPr>
              <w:t>$</w:t>
            </w:r>
          </w:p>
        </w:tc>
        <w:tc>
          <w:tcPr>
            <w:tcW w:w="9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0.70 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delle Sans;sans-serif" w:hAnsi="Adelle Sans;sans-serif"/>
                <w:b w:val="false"/>
                <w:color w:val="000000"/>
                <w:sz w:val="18"/>
              </w:rPr>
            </w:pPr>
            <w:r>
              <w:rPr>
                <w:rFonts w:ascii="Adelle Sans;sans-serif" w:hAnsi="Adelle Sans;sans-serif"/>
                <w:b w:val="false"/>
                <w:color w:val="000000"/>
                <w:sz w:val="18"/>
              </w:rPr>
              <w:t>$</w:t>
            </w:r>
          </w:p>
        </w:tc>
        <w:tc>
          <w:tcPr>
            <w:tcW w:w="9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0.71 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delle Sans;sans-serif" w:hAnsi="Adelle Sans;sans-serif"/>
                <w:b w:val="false"/>
                <w:color w:val="000000"/>
                <w:sz w:val="18"/>
              </w:rPr>
            </w:pPr>
            <w:r>
              <w:rPr>
                <w:rFonts w:ascii="Adelle Sans;sans-serif" w:hAnsi="Adelle Sans;sans-serif"/>
                <w:b w:val="false"/>
                <w:color w:val="000000"/>
                <w:sz w:val="18"/>
              </w:rPr>
              <w:t>$</w:t>
            </w:r>
          </w:p>
        </w:tc>
        <w:tc>
          <w:tcPr>
            <w:tcW w:w="9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0.17 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763" w:type="dxa"/>
            <w:gridSpan w:val="3"/>
            <w:tcBorders/>
            <w:shd w:fill="F7F7F7" w:val="clear"/>
            <w:tcMar>
              <w:top w:w="0" w:type="dxa"/>
              <w:left w:w="0" w:type="dxa"/>
              <w:bottom w:w="0" w:type="dxa"/>
              <w:right w:w="0" w:type="dxa"/>
            </w:tcMar>
            <w:vAlign w:val="center"/>
          </w:tcPr>
          <w:p>
            <w:pPr>
              <w:pStyle w:val="TableContents"/>
              <w:bidi w:val="0"/>
              <w:spacing w:lineRule="auto" w:line="240" w:before="0" w:after="283"/>
              <w:jc w:val="left"/>
              <w:rPr>
                <w:rFonts w:ascii="Adelle Sans;sans-serif" w:hAnsi="Adelle Sans;sans-serif"/>
                <w:b w:val="false"/>
                <w:color w:val="000000"/>
                <w:sz w:val="18"/>
              </w:rPr>
            </w:pPr>
            <w:r>
              <w:rPr>
                <w:rFonts w:ascii="Adelle Sans;sans-serif" w:hAnsi="Adelle Sans;sans-serif"/>
                <w:b w:val="false"/>
                <w:color w:val="000000"/>
                <w:sz w:val="18"/>
              </w:rPr>
              <w:t>Diluted</w:t>
            </w:r>
          </w:p>
        </w:tc>
        <w:tc>
          <w:tcPr>
            <w:tcW w:w="364" w:type="dxa"/>
            <w:tcBorders/>
            <w:shd w:fill="F7F7F7" w:val="clear"/>
            <w:tcMar>
              <w:top w:w="0" w:type="dxa"/>
              <w:left w:w="0" w:type="dxa"/>
              <w:bottom w:w="0" w:type="dxa"/>
              <w:right w:w="0" w:type="dxa"/>
            </w:tcMar>
            <w:vAlign w:val="center"/>
          </w:tcPr>
          <w:p>
            <w:pPr>
              <w:pStyle w:val="TableContents"/>
              <w:bidi w:val="0"/>
              <w:spacing w:lineRule="auto" w:line="240" w:before="0" w:after="283"/>
              <w:jc w:val="left"/>
              <w:rPr>
                <w:rFonts w:ascii="Adelle Sans;sans-serif" w:hAnsi="Adelle Sans;sans-serif"/>
                <w:b w:val="false"/>
                <w:color w:val="000000"/>
                <w:sz w:val="18"/>
              </w:rPr>
            </w:pPr>
            <w:r>
              <w:rPr>
                <w:rFonts w:ascii="Adelle Sans;sans-serif" w:hAnsi="Adelle Sans;sans-serif"/>
                <w:b w:val="false"/>
                <w:color w:val="000000"/>
                <w:sz w:val="18"/>
              </w:rPr>
              <w:t>$</w:t>
            </w:r>
          </w:p>
        </w:tc>
        <w:tc>
          <w:tcPr>
            <w:tcW w:w="945" w:type="dxa"/>
            <w:tcBorders/>
            <w:shd w:fill="F7F7F7"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1.16 </w:t>
            </w:r>
          </w:p>
        </w:tc>
        <w:tc>
          <w:tcPr>
            <w:tcW w:w="177" w:type="dxa"/>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 w:type="dxa"/>
            <w:tcBorders/>
            <w:shd w:fill="F7F7F7" w:val="clear"/>
            <w:tcMar>
              <w:top w:w="0" w:type="dxa"/>
              <w:left w:w="0" w:type="dxa"/>
              <w:bottom w:w="0" w:type="dxa"/>
              <w:right w:w="0" w:type="dxa"/>
            </w:tcMar>
            <w:vAlign w:val="center"/>
          </w:tcPr>
          <w:p>
            <w:pPr>
              <w:pStyle w:val="TableContents"/>
              <w:bidi w:val="0"/>
              <w:spacing w:lineRule="auto" w:line="240" w:before="0" w:after="283"/>
              <w:jc w:val="left"/>
              <w:rPr>
                <w:rFonts w:ascii="Adelle Sans;sans-serif" w:hAnsi="Adelle Sans;sans-serif"/>
                <w:b w:val="false"/>
                <w:color w:val="000000"/>
                <w:sz w:val="18"/>
              </w:rPr>
            </w:pPr>
            <w:r>
              <w:rPr>
                <w:rFonts w:ascii="Adelle Sans;sans-serif" w:hAnsi="Adelle Sans;sans-serif"/>
                <w:b w:val="false"/>
                <w:color w:val="000000"/>
                <w:sz w:val="18"/>
              </w:rPr>
              <w:t>$</w:t>
            </w:r>
          </w:p>
        </w:tc>
        <w:tc>
          <w:tcPr>
            <w:tcW w:w="945" w:type="dxa"/>
            <w:tcBorders/>
            <w:shd w:fill="F7F7F7"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0.69 </w:t>
            </w:r>
          </w:p>
        </w:tc>
        <w:tc>
          <w:tcPr>
            <w:tcW w:w="177" w:type="dxa"/>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 w:type="dxa"/>
            <w:tcBorders/>
            <w:shd w:fill="F7F7F7" w:val="clear"/>
            <w:tcMar>
              <w:top w:w="0" w:type="dxa"/>
              <w:left w:w="0" w:type="dxa"/>
              <w:bottom w:w="0" w:type="dxa"/>
              <w:right w:w="0" w:type="dxa"/>
            </w:tcMar>
            <w:vAlign w:val="center"/>
          </w:tcPr>
          <w:p>
            <w:pPr>
              <w:pStyle w:val="TableContents"/>
              <w:bidi w:val="0"/>
              <w:spacing w:lineRule="auto" w:line="240" w:before="0" w:after="283"/>
              <w:jc w:val="left"/>
              <w:rPr>
                <w:rFonts w:ascii="Adelle Sans;sans-serif" w:hAnsi="Adelle Sans;sans-serif"/>
                <w:b w:val="false"/>
                <w:color w:val="000000"/>
                <w:sz w:val="18"/>
              </w:rPr>
            </w:pPr>
            <w:r>
              <w:rPr>
                <w:rFonts w:ascii="Adelle Sans;sans-serif" w:hAnsi="Adelle Sans;sans-serif"/>
                <w:b w:val="false"/>
                <w:color w:val="000000"/>
                <w:sz w:val="18"/>
              </w:rPr>
              <w:t>$</w:t>
            </w:r>
          </w:p>
        </w:tc>
        <w:tc>
          <w:tcPr>
            <w:tcW w:w="945" w:type="dxa"/>
            <w:tcBorders/>
            <w:shd w:fill="F7F7F7"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0.71 </w:t>
            </w:r>
          </w:p>
        </w:tc>
        <w:tc>
          <w:tcPr>
            <w:tcW w:w="177" w:type="dxa"/>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 w:type="dxa"/>
            <w:tcBorders/>
            <w:shd w:fill="F7F7F7" w:val="clear"/>
            <w:tcMar>
              <w:top w:w="0" w:type="dxa"/>
              <w:left w:w="0" w:type="dxa"/>
              <w:bottom w:w="0" w:type="dxa"/>
              <w:right w:w="0" w:type="dxa"/>
            </w:tcMar>
            <w:vAlign w:val="center"/>
          </w:tcPr>
          <w:p>
            <w:pPr>
              <w:pStyle w:val="TableContents"/>
              <w:bidi w:val="0"/>
              <w:spacing w:lineRule="auto" w:line="240" w:before="0" w:after="283"/>
              <w:jc w:val="left"/>
              <w:rPr>
                <w:rFonts w:ascii="Adelle Sans;sans-serif" w:hAnsi="Adelle Sans;sans-serif"/>
                <w:b w:val="false"/>
                <w:color w:val="000000"/>
                <w:sz w:val="18"/>
              </w:rPr>
            </w:pPr>
            <w:r>
              <w:rPr>
                <w:rFonts w:ascii="Adelle Sans;sans-serif" w:hAnsi="Adelle Sans;sans-serif"/>
                <w:b w:val="false"/>
                <w:color w:val="000000"/>
                <w:sz w:val="18"/>
              </w:rPr>
              <w:t>$</w:t>
            </w:r>
          </w:p>
        </w:tc>
        <w:tc>
          <w:tcPr>
            <w:tcW w:w="945" w:type="dxa"/>
            <w:tcBorders/>
            <w:shd w:fill="F7F7F7"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0.17 </w:t>
            </w:r>
          </w:p>
        </w:tc>
        <w:tc>
          <w:tcPr>
            <w:tcW w:w="177" w:type="dxa"/>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76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763" w:type="dxa"/>
            <w:gridSpan w:val="3"/>
            <w:tcBorders/>
            <w:shd w:fill="F7F7F7" w:val="clear"/>
            <w:tcMar>
              <w:top w:w="0" w:type="dxa"/>
              <w:left w:w="0" w:type="dxa"/>
              <w:bottom w:w="0" w:type="dxa"/>
              <w:right w:w="0" w:type="dxa"/>
            </w:tcMar>
            <w:vAlign w:val="center"/>
          </w:tcPr>
          <w:p>
            <w:pPr>
              <w:pStyle w:val="TableContents"/>
              <w:bidi w:val="0"/>
              <w:spacing w:lineRule="auto" w:line="240" w:before="0" w:after="283"/>
              <w:jc w:val="left"/>
              <w:rPr>
                <w:rFonts w:ascii="Adelle Sans;sans-serif" w:hAnsi="Adelle Sans;sans-serif"/>
                <w:b/>
                <w:color w:val="000000"/>
                <w:sz w:val="18"/>
              </w:rPr>
            </w:pPr>
            <w:r>
              <w:rPr>
                <w:rFonts w:ascii="Adelle Sans;sans-serif" w:hAnsi="Adelle Sans;sans-serif"/>
                <w:b/>
                <w:color w:val="000000"/>
                <w:sz w:val="18"/>
              </w:rPr>
              <w:t>Common stock equivalents excluded from net income per diluted share because they are anti-dilutive:</w:t>
            </w:r>
          </w:p>
        </w:tc>
        <w:tc>
          <w:tcPr>
            <w:tcW w:w="1486"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7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delle Sans;sans-serif" w:hAnsi="Adelle Sans;sans-serif"/>
                <w:b w:val="false"/>
                <w:color w:val="000000"/>
                <w:sz w:val="18"/>
              </w:rPr>
            </w:pPr>
            <w:r>
              <w:rPr>
                <w:rFonts w:ascii="Adelle Sans;sans-serif" w:hAnsi="Adelle Sans;sans-serif"/>
                <w:b w:val="false"/>
                <w:color w:val="000000"/>
                <w:sz w:val="18"/>
              </w:rPr>
              <w:t>Stock options</w:t>
            </w:r>
          </w:p>
        </w:tc>
        <w:tc>
          <w:tcPr>
            <w:tcW w:w="14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958,367</w:t>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675,113 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570,252 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458,122 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763" w:type="dxa"/>
            <w:gridSpan w:val="3"/>
            <w:tcBorders/>
            <w:shd w:fill="F7F7F7" w:val="clear"/>
            <w:tcMar>
              <w:top w:w="0" w:type="dxa"/>
              <w:left w:w="0" w:type="dxa"/>
              <w:bottom w:w="0" w:type="dxa"/>
              <w:right w:w="0" w:type="dxa"/>
            </w:tcMar>
            <w:vAlign w:val="center"/>
          </w:tcPr>
          <w:p>
            <w:pPr>
              <w:pStyle w:val="TableContents"/>
              <w:bidi w:val="0"/>
              <w:spacing w:lineRule="auto" w:line="240" w:before="0" w:after="283"/>
              <w:jc w:val="left"/>
              <w:rPr>
                <w:rFonts w:ascii="Adelle Sans;sans-serif" w:hAnsi="Adelle Sans;sans-serif"/>
                <w:b w:val="false"/>
                <w:color w:val="000000"/>
                <w:sz w:val="18"/>
              </w:rPr>
            </w:pPr>
            <w:r>
              <w:rPr>
                <w:rFonts w:ascii="Adelle Sans;sans-serif" w:hAnsi="Adelle Sans;sans-serif"/>
                <w:b w:val="false"/>
                <w:color w:val="000000"/>
                <w:sz w:val="18"/>
              </w:rPr>
              <w:t>Restricted share units</w:t>
            </w:r>
          </w:p>
        </w:tc>
        <w:tc>
          <w:tcPr>
            <w:tcW w:w="1486" w:type="dxa"/>
            <w:gridSpan w:val="3"/>
            <w:tcBorders/>
            <w:shd w:fill="F7F7F7"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208,663</w:t>
            </w:r>
          </w:p>
        </w:tc>
        <w:tc>
          <w:tcPr>
            <w:tcW w:w="345"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9" w:type="dxa"/>
            <w:gridSpan w:val="2"/>
            <w:tcBorders/>
            <w:shd w:fill="F7F7F7"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145,745 </w:t>
            </w:r>
          </w:p>
        </w:tc>
        <w:tc>
          <w:tcPr>
            <w:tcW w:w="177" w:type="dxa"/>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9" w:type="dxa"/>
            <w:gridSpan w:val="2"/>
            <w:tcBorders/>
            <w:shd w:fill="F7F7F7"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271,799 </w:t>
            </w:r>
          </w:p>
        </w:tc>
        <w:tc>
          <w:tcPr>
            <w:tcW w:w="177" w:type="dxa"/>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9" w:type="dxa"/>
            <w:gridSpan w:val="2"/>
            <w:tcBorders/>
            <w:shd w:fill="F7F7F7"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195,807 </w:t>
            </w:r>
          </w:p>
        </w:tc>
        <w:tc>
          <w:tcPr>
            <w:tcW w:w="177" w:type="dxa"/>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763" w:type="dxa"/>
            <w:gridSpan w:val="3"/>
            <w:tcBorders/>
            <w:vAlign w:val="center"/>
          </w:tcPr>
          <w:p>
            <w:pPr>
              <w:pStyle w:val="TableContents"/>
              <w:bidi w:val="0"/>
              <w:spacing w:before="0" w:after="283"/>
              <w:jc w:val="left"/>
              <w:rPr>
                <w:sz w:val="4"/>
                <w:szCs w:val="4"/>
              </w:rPr>
            </w:pPr>
            <w:r>
              <w:rPr>
                <w:sz w:val="4"/>
                <w:szCs w:val="4"/>
              </w:rPr>
            </w:r>
          </w:p>
        </w:tc>
        <w:tc>
          <w:tcPr>
            <w:tcW w:w="1486"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4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6"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48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7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delle Sans;sans-serif" w:hAnsi="Adelle Sans;sans-serif"/>
                <w:b w:val="false"/>
                <w:color w:val="000000"/>
                <w:sz w:val="18"/>
              </w:rPr>
            </w:pPr>
            <w:r>
              <w:rPr>
                <w:rFonts w:ascii="Adelle Sans;sans-serif" w:hAnsi="Adelle Sans;sans-serif"/>
                <w:b w:val="false"/>
                <w:color w:val="000000"/>
                <w:sz w:val="18"/>
              </w:rPr>
              <w:t>Deferred share units</w:t>
            </w:r>
          </w:p>
        </w:tc>
        <w:tc>
          <w:tcPr>
            <w:tcW w:w="14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34</w:t>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102 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340 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95 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763"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3"/>
            <w:tcBorders>
              <w:top w:val="single" w:sz="8" w:space="0" w:color="000000"/>
            </w:tcBorders>
            <w:shd w:fill="F7F7F7" w:val="clear"/>
            <w:tcMar>
              <w:top w:w="52"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1,167,064</w:t>
            </w:r>
          </w:p>
        </w:tc>
        <w:tc>
          <w:tcPr>
            <w:tcW w:w="345" w:type="dxa"/>
            <w:gridSpan w:val="3"/>
            <w:tcBorders>
              <w:top w:val="single" w:sz="8" w:space="0" w:color="000000"/>
            </w:tcBorders>
            <w:shd w:fill="F7F7F7"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9" w:type="dxa"/>
            <w:gridSpan w:val="2"/>
            <w:tcBorders>
              <w:top w:val="single" w:sz="8" w:space="0" w:color="000000"/>
            </w:tcBorders>
            <w:shd w:fill="F7F7F7" w:val="clear"/>
            <w:tcMar>
              <w:top w:w="52"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820,960 </w:t>
            </w:r>
          </w:p>
        </w:tc>
        <w:tc>
          <w:tcPr>
            <w:tcW w:w="177" w:type="dxa"/>
            <w:tcBorders>
              <w:top w:val="single" w:sz="8" w:space="0" w:color="000000"/>
            </w:tcBorders>
            <w:shd w:fill="F7F7F7"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9" w:type="dxa"/>
            <w:gridSpan w:val="2"/>
            <w:tcBorders>
              <w:top w:val="single" w:sz="8" w:space="0" w:color="000000"/>
            </w:tcBorders>
            <w:shd w:fill="F7F7F7" w:val="clear"/>
            <w:tcMar>
              <w:top w:w="52"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842,391 </w:t>
            </w:r>
          </w:p>
        </w:tc>
        <w:tc>
          <w:tcPr>
            <w:tcW w:w="177" w:type="dxa"/>
            <w:tcBorders>
              <w:top w:val="single" w:sz="8" w:space="0" w:color="000000"/>
            </w:tcBorders>
            <w:shd w:fill="F7F7F7"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op w:val="single" w:sz="8" w:space="0" w:color="000000"/>
            </w:tcBorders>
            <w:shd w:fill="F7F7F7"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9" w:type="dxa"/>
            <w:gridSpan w:val="2"/>
            <w:tcBorders>
              <w:top w:val="single" w:sz="8" w:space="0" w:color="000000"/>
            </w:tcBorders>
            <w:shd w:fill="F7F7F7" w:val="clear"/>
            <w:tcMar>
              <w:top w:w="52"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654,024 </w:t>
            </w:r>
          </w:p>
        </w:tc>
        <w:tc>
          <w:tcPr>
            <w:tcW w:w="177" w:type="dxa"/>
            <w:tcBorders>
              <w:top w:val="single" w:sz="8" w:space="0" w:color="000000"/>
            </w:tcBorders>
            <w:shd w:fill="F7F7F7"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1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7955"/>
                <wp:effectExtent l="0" t="0" r="0" b="0"/>
                <wp:wrapNone/>
                <wp:docPr id="25" name="Frame24"/>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200"/>
                              <w:jc w:val="center"/>
                              <w:rPr>
                                <w:rFonts w:ascii="Adelle Sans Light;sans-serif" w:hAnsi="Adelle Sans Light;sans-serif"/>
                                <w:b w:val="false"/>
                                <w:color w:val="000000"/>
                                <w:sz w:val="20"/>
                              </w:rPr>
                            </w:pPr>
                            <w:r>
                              <w:rPr>
                                <w:rFonts w:ascii="Adelle Sans Light;sans-serif" w:hAnsi="Adelle Sans Light;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Adelle Sans Light;sans-serif" w:hAnsi="Adelle Sans Light;sans-serif"/>
                          <w:b w:val="false"/>
                          <w:color w:val="000000"/>
                          <w:sz w:val="20"/>
                        </w:rPr>
                      </w:pPr>
                      <w:r>
                        <w:rPr>
                          <w:rFonts w:ascii="Adelle Sans Light;sans-serif" w:hAnsi="Adelle Sans Light;sans-serif"/>
                          <w:b w:val="false"/>
                          <w:color w:val="000000"/>
                          <w:sz w:val="20"/>
                        </w:rPr>
                        <w:t>24</w:t>
                      </w:r>
                    </w:p>
                  </w:txbxContent>
                </v:textbox>
                <w10:wrap type="none"/>
              </v:rect>
            </w:pict>
          </mc:Fallback>
        </mc:AlternateContent>
      </w:r>
    </w:p>
    <w:p>
      <w:pPr>
        <w:pStyle w:val="TextBody"/>
        <w:bidi w:val="0"/>
        <w:spacing w:lineRule="auto" w:line="288" w:before="0" w:after="200"/>
        <w:jc w:val="both"/>
        <w:rPr/>
      </w:pPr>
      <w:hyperlink w:anchor="iccccf23fa31e44f0aa82c99ca0859db8_7">
        <w:r>
          <w:rPr>
            <w:rStyle w:val="InternetLink"/>
            <w:rFonts w:ascii="Adelle Sans Light;sans-serif" w:hAnsi="Adelle Sans Light;sans-serif"/>
            <w:b w:val="false"/>
            <w:color w:val="0000FF"/>
            <w:sz w:val="20"/>
            <w:u w:val="single"/>
          </w:rPr>
          <w:t>Table of Contents</w:t>
        </w:r>
      </w:hyperlink>
    </w:p>
    <w:p>
      <w:pPr>
        <w:pStyle w:val="TextBody"/>
        <w:bidi w:val="0"/>
        <w:spacing w:lineRule="auto" w:line="288" w:before="0" w:after="200"/>
        <w:ind w:left="0" w:right="0" w:hanging="360"/>
        <w:jc w:val="left"/>
        <w:rPr>
          <w:rFonts w:ascii="Adelle Sans;sans-serif" w:hAnsi="Adelle Sans;sans-serif"/>
          <w:b/>
          <w:color w:val="000000"/>
          <w:sz w:val="20"/>
        </w:rPr>
      </w:pPr>
      <w:bookmarkStart w:id="60" w:name="ie9b971e6f29046eebd6a3d08f278ade1"/>
      <w:bookmarkEnd w:id="60"/>
      <w:r>
        <w:rPr>
          <w:rFonts w:ascii="Adelle Sans;sans-serif" w:hAnsi="Adelle Sans;sans-serif"/>
          <w:b/>
          <w:color w:val="000000"/>
          <w:sz w:val="20"/>
        </w:rPr>
        <w:t xml:space="preserve">14.Segment and Geographical Information </w:t>
      </w:r>
    </w:p>
    <w:p>
      <w:pPr>
        <w:pStyle w:val="TextBody"/>
        <w:bidi w:val="0"/>
        <w:spacing w:lineRule="auto" w:line="288" w:before="0" w:after="200"/>
        <w:jc w:val="both"/>
        <w:rPr>
          <w:rFonts w:ascii="Adelle Sans Light;sans-serif" w:hAnsi="Adelle Sans Light;sans-serif"/>
          <w:b w:val="false"/>
          <w:color w:val="000000"/>
          <w:sz w:val="20"/>
        </w:rPr>
      </w:pPr>
      <w:r>
        <w:rPr>
          <w:rFonts w:ascii="Adelle Sans Light;sans-serif" w:hAnsi="Adelle Sans Light;sans-serif"/>
          <w:b w:val="false"/>
          <w:color w:val="000000"/>
          <w:sz w:val="20"/>
        </w:rPr>
        <w:t>The Company's chief operating decision maker ("CODM") is its Chief Executive Officer. The CODM has determined that the Company operates in one single operating and reportable segment and manages segment performance and resource allocation based upon consolidated net income. The CODM uses consolidated net income in deciding whether to reinvest profits into opportunities for the business, invest in business combinations or equity investments or return a portion of such profits to shareholders. The measure of segment assets is reported on the condensed consolidated balance sheets as total consolidated assets. Significant expenses reviewed by the CODM include those that are presented in the condensed consolidated statements of operations and comprehensive income.</w:t>
      </w:r>
    </w:p>
    <w:p>
      <w:pPr>
        <w:pStyle w:val="TextBody"/>
        <w:bidi w:val="0"/>
        <w:spacing w:lineRule="auto" w:line="288" w:before="0" w:after="200"/>
        <w:jc w:val="both"/>
        <w:rPr>
          <w:rFonts w:ascii="Adelle Sans Light;sans-serif" w:hAnsi="Adelle Sans Light;sans-serif"/>
          <w:b w:val="false"/>
          <w:color w:val="000000"/>
          <w:sz w:val="20"/>
        </w:rPr>
      </w:pPr>
      <w:r>
        <w:rPr>
          <w:rFonts w:ascii="Adelle Sans Light;sans-serif" w:hAnsi="Adelle Sans Light;sans-serif"/>
          <w:b w:val="false"/>
          <w:color w:val="000000"/>
          <w:sz w:val="20"/>
        </w:rPr>
        <w:t>The following table presents total external revenues by geographic location, based on the location of the Company’s merchants:</w:t>
      </w:r>
    </w:p>
    <w:tbl>
      <w:tblPr>
        <w:tblW w:w="10555" w:type="dxa"/>
        <w:jc w:val="left"/>
        <w:tblInd w:w="0" w:type="dxa"/>
        <w:tblLayout w:type="fixed"/>
        <w:tblCellMar>
          <w:top w:w="28" w:type="dxa"/>
          <w:left w:w="28" w:type="dxa"/>
          <w:bottom w:w="28" w:type="dxa"/>
          <w:right w:w="28" w:type="dxa"/>
        </w:tblCellMar>
      </w:tblPr>
      <w:tblGrid>
        <w:gridCol w:w="355"/>
        <w:gridCol w:w="272"/>
        <w:gridCol w:w="274"/>
        <w:gridCol w:w="353"/>
        <w:gridCol w:w="353"/>
        <w:gridCol w:w="109"/>
        <w:gridCol w:w="109"/>
        <w:gridCol w:w="109"/>
        <w:gridCol w:w="109"/>
        <w:gridCol w:w="263"/>
        <w:gridCol w:w="263"/>
        <w:gridCol w:w="271"/>
        <w:gridCol w:w="109"/>
        <w:gridCol w:w="109"/>
        <w:gridCol w:w="109"/>
        <w:gridCol w:w="353"/>
        <w:gridCol w:w="353"/>
        <w:gridCol w:w="109"/>
        <w:gridCol w:w="109"/>
        <w:gridCol w:w="109"/>
        <w:gridCol w:w="109"/>
        <w:gridCol w:w="263"/>
        <w:gridCol w:w="263"/>
        <w:gridCol w:w="271"/>
        <w:gridCol w:w="109"/>
        <w:gridCol w:w="109"/>
        <w:gridCol w:w="109"/>
        <w:gridCol w:w="353"/>
        <w:gridCol w:w="353"/>
        <w:gridCol w:w="109"/>
        <w:gridCol w:w="109"/>
        <w:gridCol w:w="109"/>
        <w:gridCol w:w="109"/>
        <w:gridCol w:w="263"/>
        <w:gridCol w:w="263"/>
        <w:gridCol w:w="271"/>
        <w:gridCol w:w="109"/>
        <w:gridCol w:w="109"/>
        <w:gridCol w:w="109"/>
        <w:gridCol w:w="353"/>
        <w:gridCol w:w="353"/>
        <w:gridCol w:w="109"/>
        <w:gridCol w:w="109"/>
        <w:gridCol w:w="109"/>
        <w:gridCol w:w="109"/>
        <w:gridCol w:w="263"/>
        <w:gridCol w:w="263"/>
        <w:gridCol w:w="271"/>
        <w:gridCol w:w="109"/>
        <w:gridCol w:w="109"/>
        <w:gridCol w:w="109"/>
        <w:gridCol w:w="109"/>
        <w:gridCol w:w="109"/>
        <w:gridCol w:w="109"/>
        <w:gridCol w:w="109"/>
        <w:gridCol w:w="154"/>
      </w:tblGrid>
      <w:tr>
        <w:trPr/>
        <w:tc>
          <w:tcPr>
            <w:tcW w:w="355"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5"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delle Sans;sans-serif" w:hAnsi="Adelle Sans;sans-serif"/>
                <w:b/>
                <w:color w:val="000000"/>
                <w:sz w:val="18"/>
              </w:rPr>
            </w:pPr>
            <w:r>
              <w:rPr>
                <w:rFonts w:ascii="Adelle Sans;sans-serif" w:hAnsi="Adelle Sans;sans-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5"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delle Sans;sans-serif" w:hAnsi="Adelle Sans;sans-serif"/>
                <w:b/>
                <w:color w:val="000000"/>
                <w:sz w:val="18"/>
              </w:rPr>
            </w:pPr>
            <w:r>
              <w:rPr>
                <w:rFonts w:ascii="Adelle Sans;sans-serif" w:hAnsi="Adelle Sans;sans-serif"/>
                <w:b/>
                <w:color w:val="000000"/>
                <w:sz w:val="18"/>
              </w:rPr>
              <w:t>Six months ended June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9" w:type="dxa"/>
            <w:gridSpan w:val="6"/>
            <w:tcBorders/>
          </w:tcPr>
          <w:p>
            <w:pPr>
              <w:pStyle w:val="TableContents"/>
              <w:bidi w:val="0"/>
              <w:spacing w:before="0" w:after="283"/>
              <w:jc w:val="left"/>
              <w:rPr>
                <w:sz w:val="4"/>
                <w:szCs w:val="4"/>
              </w:rPr>
            </w:pPr>
            <w:r>
              <w:rPr>
                <w:sz w:val="4"/>
                <w:szCs w:val="4"/>
              </w:rPr>
            </w:r>
          </w:p>
        </w:tc>
      </w:tr>
      <w:tr>
        <w:trPr/>
        <w:tc>
          <w:tcPr>
            <w:tcW w:w="9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9"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delle Sans;sans-serif" w:hAnsi="Adelle Sans;sans-serif"/>
                <w:b/>
                <w:color w:val="000000"/>
                <w:sz w:val="18"/>
              </w:rPr>
            </w:pPr>
            <w:r>
              <w:rPr>
                <w:rFonts w:ascii="Adelle Sans;sans-serif" w:hAnsi="Adelle Sans;sans-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9"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delle Sans;sans-serif" w:hAnsi="Adelle Sans;sans-serif"/>
                <w:b/>
                <w:color w:val="000000"/>
                <w:sz w:val="18"/>
              </w:rPr>
            </w:pPr>
            <w:r>
              <w:rPr>
                <w:rFonts w:ascii="Adelle Sans;sans-serif" w:hAnsi="Adelle Sans;sans-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9"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delle Sans;sans-serif" w:hAnsi="Adelle Sans;sans-serif"/>
                <w:b/>
                <w:color w:val="000000"/>
                <w:sz w:val="18"/>
              </w:rPr>
            </w:pPr>
            <w:r>
              <w:rPr>
                <w:rFonts w:ascii="Adelle Sans;sans-serif" w:hAnsi="Adelle Sans;sans-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9"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delle Sans;sans-serif" w:hAnsi="Adelle Sans;sans-serif"/>
                <w:b/>
                <w:color w:val="000000"/>
                <w:sz w:val="18"/>
              </w:rPr>
            </w:pPr>
            <w:r>
              <w:rPr>
                <w:rFonts w:ascii="Adelle Sans;sans-serif" w:hAnsi="Adelle Sans;sans-serif"/>
                <w:b/>
                <w:color w:val="000000"/>
                <w:sz w:val="18"/>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gridSpan w:val="4"/>
            <w:tcBorders/>
          </w:tcPr>
          <w:p>
            <w:pPr>
              <w:pStyle w:val="TableContents"/>
              <w:bidi w:val="0"/>
              <w:spacing w:before="0" w:after="283"/>
              <w:jc w:val="left"/>
              <w:rPr>
                <w:sz w:val="4"/>
                <w:szCs w:val="4"/>
              </w:rPr>
            </w:pPr>
            <w:r>
              <w:rPr>
                <w:sz w:val="4"/>
                <w:szCs w:val="4"/>
              </w:rPr>
            </w:r>
          </w:p>
        </w:tc>
      </w:tr>
      <w:tr>
        <w:trPr/>
        <w:tc>
          <w:tcPr>
            <w:tcW w:w="901" w:type="dxa"/>
            <w:gridSpan w:val="3"/>
            <w:tcBorders/>
            <w:vAlign w:val="center"/>
          </w:tcPr>
          <w:p>
            <w:pPr>
              <w:pStyle w:val="TableContents"/>
              <w:bidi w:val="0"/>
              <w:spacing w:before="0" w:after="283"/>
              <w:jc w:val="left"/>
              <w:rPr>
                <w:sz w:val="4"/>
                <w:szCs w:val="4"/>
              </w:rPr>
            </w:pPr>
            <w:r>
              <w:rPr>
                <w:sz w:val="4"/>
                <w:szCs w:val="4"/>
              </w:rPr>
            </w:r>
          </w:p>
        </w:tc>
        <w:tc>
          <w:tcPr>
            <w:tcW w:w="8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0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7" w:type="dxa"/>
            <w:gridSpan w:val="45"/>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Adelle Sans;sans-serif" w:hAnsi="Adelle Sans;sans-serif"/>
                <w:b w:val="false"/>
                <w:color w:val="000000"/>
                <w:sz w:val="18"/>
              </w:rPr>
            </w:pPr>
            <w:r>
              <w:rPr>
                <w:rFonts w:ascii="Adelle Sans;sans-serif" w:hAnsi="Adelle Sans;sans-serif"/>
                <w:b w:val="false"/>
                <w:color w:val="000000"/>
                <w:sz w:val="18"/>
              </w:rPr>
              <w:t>(in US $ millions, except percentages)</w:t>
            </w:r>
          </w:p>
        </w:tc>
        <w:tc>
          <w:tcPr>
            <w:tcW w:w="917" w:type="dxa"/>
            <w:gridSpan w:val="8"/>
            <w:tcBorders/>
          </w:tcPr>
          <w:p>
            <w:pPr>
              <w:pStyle w:val="TableContents"/>
              <w:bidi w:val="0"/>
              <w:spacing w:before="0" w:after="283"/>
              <w:jc w:val="left"/>
              <w:rPr>
                <w:sz w:val="4"/>
                <w:szCs w:val="4"/>
              </w:rPr>
            </w:pPr>
            <w:r>
              <w:rPr>
                <w:sz w:val="4"/>
                <w:szCs w:val="4"/>
              </w:rPr>
            </w:r>
          </w:p>
        </w:tc>
      </w:tr>
      <w:tr>
        <w:trPr/>
        <w:tc>
          <w:tcPr>
            <w:tcW w:w="901" w:type="dxa"/>
            <w:gridSpan w:val="3"/>
            <w:tcBorders/>
            <w:shd w:fill="F7F7F7" w:val="clear"/>
            <w:tcMar>
              <w:top w:w="0" w:type="dxa"/>
              <w:left w:w="0" w:type="dxa"/>
              <w:bottom w:w="0" w:type="dxa"/>
              <w:right w:w="0" w:type="dxa"/>
            </w:tcMar>
            <w:vAlign w:val="center"/>
          </w:tcPr>
          <w:p>
            <w:pPr>
              <w:pStyle w:val="TableContents"/>
              <w:bidi w:val="0"/>
              <w:spacing w:lineRule="auto" w:line="240" w:before="0" w:after="283"/>
              <w:jc w:val="left"/>
              <w:rPr>
                <w:rFonts w:ascii="Adelle Sans;sans-serif" w:hAnsi="Adelle Sans;sans-serif"/>
                <w:b w:val="false"/>
                <w:color w:val="000000"/>
                <w:sz w:val="18"/>
              </w:rPr>
            </w:pPr>
            <w:r>
              <w:rPr>
                <w:rFonts w:ascii="Adelle Sans;sans-serif" w:hAnsi="Adelle Sans;sans-serif"/>
                <w:b w:val="false"/>
                <w:color w:val="000000"/>
                <w:sz w:val="18"/>
              </w:rPr>
              <w:t>North America</w:t>
            </w:r>
          </w:p>
        </w:tc>
        <w:tc>
          <w:tcPr>
            <w:tcW w:w="815"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delle Sans;sans-serif" w:hAnsi="Adelle Sans;sans-serif"/>
                <w:b w:val="false"/>
                <w:color w:val="000000"/>
                <w:sz w:val="18"/>
              </w:rPr>
            </w:pPr>
            <w:r>
              <w:rPr>
                <w:rFonts w:ascii="Adelle Sans;sans-serif" w:hAnsi="Adelle Sans;sans-serif"/>
                <w:b w:val="false"/>
                <w:color w:val="000000"/>
                <w:sz w:val="18"/>
              </w:rPr>
              <w:t>United States</w:t>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2,283 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63 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1,703 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63 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4,284 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63 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3,203 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64 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01" w:type="dxa"/>
            <w:gridSpan w:val="3"/>
            <w:tcBorders/>
            <w:shd w:fill="F7F7F7" w:val="clear"/>
            <w:tcMar>
              <w:top w:w="0" w:type="dxa"/>
              <w:left w:w="0" w:type="dxa"/>
              <w:bottom w:w="0" w:type="dxa"/>
              <w:right w:w="0" w:type="dxa"/>
            </w:tcMar>
            <w:vAlign w:val="center"/>
          </w:tcPr>
          <w:p>
            <w:pPr>
              <w:pStyle w:val="TableContents"/>
              <w:bidi w:val="0"/>
              <w:spacing w:lineRule="auto" w:line="240" w:before="0" w:after="283"/>
              <w:jc w:val="left"/>
              <w:rPr>
                <w:rFonts w:ascii="Adelle Sans;sans-serif" w:hAnsi="Adelle Sans;sans-serif"/>
                <w:b w:val="false"/>
                <w:color w:val="000000"/>
                <w:sz w:val="18"/>
              </w:rPr>
            </w:pPr>
            <w:r>
              <w:rPr>
                <w:rFonts w:ascii="Adelle Sans;sans-serif" w:hAnsi="Adelle Sans;sans-serif"/>
                <w:b w:val="false"/>
                <w:color w:val="000000"/>
                <w:sz w:val="18"/>
              </w:rPr>
              <w:t>Canada</w:t>
            </w:r>
          </w:p>
        </w:tc>
        <w:tc>
          <w:tcPr>
            <w:tcW w:w="706" w:type="dxa"/>
            <w:gridSpan w:val="2"/>
            <w:tcBorders/>
            <w:shd w:fill="F7F7F7"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171 </w:t>
            </w:r>
          </w:p>
        </w:tc>
        <w:tc>
          <w:tcPr>
            <w:tcW w:w="109" w:type="dxa"/>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7F7F7"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5 </w:t>
            </w:r>
          </w:p>
        </w:tc>
        <w:tc>
          <w:tcPr>
            <w:tcW w:w="271" w:type="dxa"/>
            <w:tcBorders/>
            <w:shd w:fill="F7F7F7"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w:t>
            </w:r>
          </w:p>
        </w:tc>
        <w:tc>
          <w:tcPr>
            <w:tcW w:w="327"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7F7F7"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133 </w:t>
            </w:r>
          </w:p>
        </w:tc>
        <w:tc>
          <w:tcPr>
            <w:tcW w:w="109" w:type="dxa"/>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7F7F7"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5 </w:t>
            </w:r>
          </w:p>
        </w:tc>
        <w:tc>
          <w:tcPr>
            <w:tcW w:w="271" w:type="dxa"/>
            <w:tcBorders/>
            <w:shd w:fill="F7F7F7"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w:t>
            </w:r>
          </w:p>
        </w:tc>
        <w:tc>
          <w:tcPr>
            <w:tcW w:w="327"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7F7F7"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318 </w:t>
            </w:r>
          </w:p>
        </w:tc>
        <w:tc>
          <w:tcPr>
            <w:tcW w:w="109" w:type="dxa"/>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7F7F7"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5 </w:t>
            </w:r>
          </w:p>
        </w:tc>
        <w:tc>
          <w:tcPr>
            <w:tcW w:w="271" w:type="dxa"/>
            <w:tcBorders/>
            <w:shd w:fill="F7F7F7"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w:t>
            </w:r>
          </w:p>
        </w:tc>
        <w:tc>
          <w:tcPr>
            <w:tcW w:w="327"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7F7F7"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252 </w:t>
            </w:r>
          </w:p>
        </w:tc>
        <w:tc>
          <w:tcPr>
            <w:tcW w:w="109" w:type="dxa"/>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7F7F7"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5 </w:t>
            </w:r>
          </w:p>
        </w:tc>
        <w:tc>
          <w:tcPr>
            <w:tcW w:w="271" w:type="dxa"/>
            <w:tcBorders/>
            <w:shd w:fill="F7F7F7"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delle Sans;sans-serif" w:hAnsi="Adelle Sans;sans-serif"/>
                <w:b w:val="false"/>
                <w:color w:val="000000"/>
                <w:sz w:val="18"/>
              </w:rPr>
            </w:pPr>
            <w:r>
              <w:rPr>
                <w:rFonts w:ascii="Adelle Sans;sans-serif" w:hAnsi="Adelle Sans;sans-serif"/>
                <w:b w:val="false"/>
                <w:color w:val="000000"/>
                <w:sz w:val="18"/>
              </w:rPr>
              <w:t>Europe</w:t>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721 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20 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533 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20 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1,374 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20 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993 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19 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01" w:type="dxa"/>
            <w:gridSpan w:val="3"/>
            <w:tcBorders/>
            <w:shd w:fill="F7F7F7" w:val="clear"/>
            <w:tcMar>
              <w:top w:w="0" w:type="dxa"/>
              <w:left w:w="0" w:type="dxa"/>
              <w:bottom w:w="0" w:type="dxa"/>
              <w:right w:w="0" w:type="dxa"/>
            </w:tcMar>
            <w:vAlign w:val="center"/>
          </w:tcPr>
          <w:p>
            <w:pPr>
              <w:pStyle w:val="TableContents"/>
              <w:bidi w:val="0"/>
              <w:spacing w:lineRule="auto" w:line="240" w:before="0" w:after="283"/>
              <w:jc w:val="left"/>
              <w:rPr>
                <w:rFonts w:ascii="Adelle Sans;sans-serif" w:hAnsi="Adelle Sans;sans-serif"/>
                <w:b w:val="false"/>
                <w:color w:val="000000"/>
                <w:sz w:val="18"/>
              </w:rPr>
            </w:pPr>
            <w:r>
              <w:rPr>
                <w:rFonts w:ascii="Adelle Sans;sans-serif" w:hAnsi="Adelle Sans;sans-serif"/>
                <w:b w:val="false"/>
                <w:color w:val="000000"/>
                <w:sz w:val="18"/>
              </w:rPr>
              <w:t>APAC</w:t>
            </w:r>
          </w:p>
        </w:tc>
        <w:tc>
          <w:tcPr>
            <w:tcW w:w="706" w:type="dxa"/>
            <w:gridSpan w:val="2"/>
            <w:tcBorders/>
            <w:shd w:fill="F7F7F7"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346 </w:t>
            </w:r>
          </w:p>
        </w:tc>
        <w:tc>
          <w:tcPr>
            <w:tcW w:w="109" w:type="dxa"/>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7F7F7"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10 </w:t>
            </w:r>
          </w:p>
        </w:tc>
        <w:tc>
          <w:tcPr>
            <w:tcW w:w="271" w:type="dxa"/>
            <w:tcBorders/>
            <w:shd w:fill="F7F7F7"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w:t>
            </w:r>
          </w:p>
        </w:tc>
        <w:tc>
          <w:tcPr>
            <w:tcW w:w="327"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7F7F7"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265 </w:t>
            </w:r>
          </w:p>
        </w:tc>
        <w:tc>
          <w:tcPr>
            <w:tcW w:w="109" w:type="dxa"/>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7F7F7"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10 </w:t>
            </w:r>
          </w:p>
        </w:tc>
        <w:tc>
          <w:tcPr>
            <w:tcW w:w="271" w:type="dxa"/>
            <w:tcBorders/>
            <w:shd w:fill="F7F7F7"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w:t>
            </w:r>
          </w:p>
        </w:tc>
        <w:tc>
          <w:tcPr>
            <w:tcW w:w="327"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7F7F7"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658 </w:t>
            </w:r>
          </w:p>
        </w:tc>
        <w:tc>
          <w:tcPr>
            <w:tcW w:w="109" w:type="dxa"/>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7F7F7"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10 </w:t>
            </w:r>
          </w:p>
        </w:tc>
        <w:tc>
          <w:tcPr>
            <w:tcW w:w="271" w:type="dxa"/>
            <w:tcBorders/>
            <w:shd w:fill="F7F7F7"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w:t>
            </w:r>
          </w:p>
        </w:tc>
        <w:tc>
          <w:tcPr>
            <w:tcW w:w="327"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7F7F7"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505 </w:t>
            </w:r>
          </w:p>
        </w:tc>
        <w:tc>
          <w:tcPr>
            <w:tcW w:w="109" w:type="dxa"/>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7F7F7"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10 </w:t>
            </w:r>
          </w:p>
        </w:tc>
        <w:tc>
          <w:tcPr>
            <w:tcW w:w="271" w:type="dxa"/>
            <w:tcBorders/>
            <w:shd w:fill="F7F7F7"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0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delle Sans;sans-serif" w:hAnsi="Adelle Sans;sans-serif"/>
                <w:b w:val="false"/>
                <w:color w:val="000000"/>
                <w:sz w:val="18"/>
              </w:rPr>
            </w:pPr>
            <w:r>
              <w:rPr>
                <w:rFonts w:ascii="Adelle Sans;sans-serif" w:hAnsi="Adelle Sans;sans-serif"/>
                <w:b w:val="false"/>
                <w:color w:val="000000"/>
                <w:sz w:val="18"/>
              </w:rPr>
              <w:t>Rest of World</w:t>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2 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2 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119 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2 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2 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01" w:type="dxa"/>
            <w:gridSpan w:val="3"/>
            <w:tcBorders/>
            <w:vAlign w:val="center"/>
          </w:tcPr>
          <w:p>
            <w:pPr>
              <w:pStyle w:val="TableContents"/>
              <w:bidi w:val="0"/>
              <w:spacing w:before="0" w:after="283"/>
              <w:jc w:val="left"/>
              <w:rPr>
                <w:sz w:val="4"/>
                <w:szCs w:val="4"/>
              </w:rPr>
            </w:pPr>
            <w:r>
              <w:rPr>
                <w:sz w:val="4"/>
                <w:szCs w:val="4"/>
              </w:rPr>
            </w:r>
          </w:p>
        </w:tc>
        <w:tc>
          <w:tcPr>
            <w:tcW w:w="8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01" w:type="dxa"/>
            <w:gridSpan w:val="3"/>
            <w:tcBorders/>
            <w:shd w:fill="F7F7F7" w:val="clear"/>
            <w:tcMar>
              <w:top w:w="0" w:type="dxa"/>
              <w:left w:w="0" w:type="dxa"/>
              <w:bottom w:w="0" w:type="dxa"/>
              <w:right w:w="0" w:type="dxa"/>
            </w:tcMar>
            <w:vAlign w:val="center"/>
          </w:tcPr>
          <w:p>
            <w:pPr>
              <w:pStyle w:val="TableContents"/>
              <w:bidi w:val="0"/>
              <w:spacing w:lineRule="auto" w:line="240" w:before="0" w:after="0"/>
              <w:jc w:val="left"/>
              <w:rPr>
                <w:rFonts w:ascii="Adelle Sans;sans-serif" w:hAnsi="Adelle Sans;sans-serif"/>
                <w:b w:val="false"/>
                <w:color w:val="000000"/>
                <w:sz w:val="18"/>
              </w:rPr>
            </w:pPr>
            <w:r>
              <w:rPr>
                <w:rFonts w:ascii="Adelle Sans;sans-serif" w:hAnsi="Adelle Sans;sans-serif"/>
                <w:b w:val="false"/>
                <w:color w:val="000000"/>
                <w:sz w:val="18"/>
              </w:rPr>
              <w:t>Total Revenue</w:t>
            </w:r>
          </w:p>
        </w:tc>
        <w:tc>
          <w:tcPr>
            <w:tcW w:w="706" w:type="dxa"/>
            <w:gridSpan w:val="2"/>
            <w:tcBorders>
              <w:top w:val="single" w:sz="8" w:space="0" w:color="000000"/>
            </w:tcBorders>
            <w:shd w:fill="F7F7F7" w:val="clear"/>
            <w:tcMar>
              <w:top w:w="52"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3,583 </w:t>
            </w:r>
          </w:p>
        </w:tc>
        <w:tc>
          <w:tcPr>
            <w:tcW w:w="109" w:type="dxa"/>
            <w:tcBorders>
              <w:top w:val="single" w:sz="8" w:space="0" w:color="000000"/>
            </w:tcBorders>
            <w:shd w:fill="F7F7F7"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7F7F7"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single" w:sz="8" w:space="0" w:color="000000"/>
            </w:tcBorders>
            <w:shd w:fill="F7F7F7" w:val="clear"/>
            <w:tcMar>
              <w:top w:w="52"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100 </w:t>
            </w:r>
          </w:p>
        </w:tc>
        <w:tc>
          <w:tcPr>
            <w:tcW w:w="271" w:type="dxa"/>
            <w:tcBorders>
              <w:top w:val="single" w:sz="8" w:space="0" w:color="000000"/>
            </w:tcBorders>
            <w:shd w:fill="F7F7F7" w:val="clear"/>
            <w:tcMar>
              <w:top w:w="52"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w:t>
            </w:r>
          </w:p>
        </w:tc>
        <w:tc>
          <w:tcPr>
            <w:tcW w:w="327" w:type="dxa"/>
            <w:gridSpan w:val="3"/>
            <w:tcBorders>
              <w:top w:val="single" w:sz="8" w:space="0" w:color="000000"/>
            </w:tcBorders>
            <w:shd w:fill="F7F7F7"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8" w:space="0" w:color="000000"/>
            </w:tcBorders>
            <w:shd w:fill="F7F7F7" w:val="clear"/>
            <w:tcMar>
              <w:top w:w="52"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2,680 </w:t>
            </w:r>
          </w:p>
        </w:tc>
        <w:tc>
          <w:tcPr>
            <w:tcW w:w="109" w:type="dxa"/>
            <w:tcBorders>
              <w:top w:val="single" w:sz="8" w:space="0" w:color="000000"/>
            </w:tcBorders>
            <w:shd w:fill="F7F7F7"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7F7F7"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single" w:sz="8" w:space="0" w:color="000000"/>
            </w:tcBorders>
            <w:shd w:fill="F7F7F7" w:val="clear"/>
            <w:tcMar>
              <w:top w:w="52"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100 </w:t>
            </w:r>
          </w:p>
        </w:tc>
        <w:tc>
          <w:tcPr>
            <w:tcW w:w="271" w:type="dxa"/>
            <w:tcBorders>
              <w:top w:val="single" w:sz="8" w:space="0" w:color="000000"/>
            </w:tcBorders>
            <w:shd w:fill="F7F7F7" w:val="clear"/>
            <w:tcMar>
              <w:top w:w="52"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w:t>
            </w:r>
          </w:p>
        </w:tc>
        <w:tc>
          <w:tcPr>
            <w:tcW w:w="327"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8" w:space="0" w:color="000000"/>
            </w:tcBorders>
            <w:shd w:fill="F7F7F7" w:val="clear"/>
            <w:tcMar>
              <w:top w:w="52"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6,753 </w:t>
            </w:r>
          </w:p>
        </w:tc>
        <w:tc>
          <w:tcPr>
            <w:tcW w:w="109" w:type="dxa"/>
            <w:tcBorders>
              <w:top w:val="single" w:sz="8" w:space="0" w:color="000000"/>
            </w:tcBorders>
            <w:shd w:fill="F7F7F7"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7F7F7"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single" w:sz="8" w:space="0" w:color="000000"/>
            </w:tcBorders>
            <w:shd w:fill="F7F7F7" w:val="clear"/>
            <w:tcMar>
              <w:top w:w="52"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100 </w:t>
            </w:r>
          </w:p>
        </w:tc>
        <w:tc>
          <w:tcPr>
            <w:tcW w:w="271" w:type="dxa"/>
            <w:tcBorders>
              <w:top w:val="single" w:sz="8" w:space="0" w:color="000000"/>
            </w:tcBorders>
            <w:shd w:fill="F7F7F7" w:val="clear"/>
            <w:tcMar>
              <w:top w:w="52"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w:t>
            </w:r>
          </w:p>
        </w:tc>
        <w:tc>
          <w:tcPr>
            <w:tcW w:w="327" w:type="dxa"/>
            <w:gridSpan w:val="3"/>
            <w:tcBorders>
              <w:top w:val="single" w:sz="8" w:space="0" w:color="000000"/>
            </w:tcBorders>
            <w:shd w:fill="F7F7F7"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8" w:space="0" w:color="000000"/>
            </w:tcBorders>
            <w:shd w:fill="F7F7F7" w:val="clear"/>
            <w:tcMar>
              <w:top w:w="52"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5,040 </w:t>
            </w:r>
          </w:p>
        </w:tc>
        <w:tc>
          <w:tcPr>
            <w:tcW w:w="109" w:type="dxa"/>
            <w:tcBorders>
              <w:top w:val="single" w:sz="8" w:space="0" w:color="000000"/>
            </w:tcBorders>
            <w:shd w:fill="F7F7F7"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7F7F7"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single" w:sz="8" w:space="0" w:color="000000"/>
            </w:tcBorders>
            <w:shd w:fill="F7F7F7" w:val="clear"/>
            <w:tcMar>
              <w:top w:w="52"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100 </w:t>
            </w:r>
          </w:p>
        </w:tc>
        <w:tc>
          <w:tcPr>
            <w:tcW w:w="271" w:type="dxa"/>
            <w:tcBorders>
              <w:top w:val="single" w:sz="8" w:space="0" w:color="000000"/>
            </w:tcBorders>
            <w:shd w:fill="F7F7F7" w:val="clear"/>
            <w:tcMar>
              <w:top w:w="52"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01" w:type="dxa"/>
            <w:gridSpan w:val="3"/>
            <w:tcBorders/>
            <w:vAlign w:val="center"/>
          </w:tcPr>
          <w:p>
            <w:pPr>
              <w:pStyle w:val="TableContents"/>
              <w:bidi w:val="0"/>
              <w:spacing w:before="0" w:after="283"/>
              <w:jc w:val="left"/>
              <w:rPr>
                <w:sz w:val="4"/>
                <w:szCs w:val="4"/>
              </w:rPr>
            </w:pPr>
            <w:r>
              <w:rPr>
                <w:sz w:val="4"/>
                <w:szCs w:val="4"/>
              </w:rPr>
            </w:r>
          </w:p>
        </w:tc>
        <w:tc>
          <w:tcPr>
            <w:tcW w:w="8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01" w:type="dxa"/>
            <w:gridSpan w:val="3"/>
            <w:tcBorders/>
            <w:vAlign w:val="center"/>
          </w:tcPr>
          <w:p>
            <w:pPr>
              <w:pStyle w:val="TableContents"/>
              <w:bidi w:val="0"/>
              <w:spacing w:before="0" w:after="283"/>
              <w:jc w:val="left"/>
              <w:rPr>
                <w:sz w:val="4"/>
                <w:szCs w:val="4"/>
              </w:rPr>
            </w:pPr>
            <w:r>
              <w:rPr>
                <w:sz w:val="4"/>
                <w:szCs w:val="4"/>
              </w:rPr>
            </w:r>
          </w:p>
        </w:tc>
        <w:tc>
          <w:tcPr>
            <w:tcW w:w="8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7955"/>
                <wp:effectExtent l="0" t="0" r="0" b="0"/>
                <wp:wrapNone/>
                <wp:docPr id="26" name="Frame25"/>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200"/>
                              <w:jc w:val="center"/>
                              <w:rPr>
                                <w:rFonts w:ascii="Adelle Sans Light;sans-serif" w:hAnsi="Adelle Sans Light;sans-serif"/>
                                <w:b w:val="false"/>
                                <w:color w:val="000000"/>
                                <w:sz w:val="20"/>
                              </w:rPr>
                            </w:pPr>
                            <w:r>
                              <w:rPr>
                                <w:rFonts w:ascii="Adelle Sans Light;sans-serif" w:hAnsi="Adelle Sans Light;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Adelle Sans Light;sans-serif" w:hAnsi="Adelle Sans Light;sans-serif"/>
                          <w:b w:val="false"/>
                          <w:color w:val="000000"/>
                          <w:sz w:val="20"/>
                        </w:rPr>
                      </w:pPr>
                      <w:r>
                        <w:rPr>
                          <w:rFonts w:ascii="Adelle Sans Light;sans-serif" w:hAnsi="Adelle Sans Light;sans-serif"/>
                          <w:b w:val="false"/>
                          <w:color w:val="000000"/>
                          <w:sz w:val="20"/>
                        </w:rPr>
                        <w:t>25</w:t>
                      </w:r>
                    </w:p>
                  </w:txbxContent>
                </v:textbox>
                <w10:wrap type="none"/>
              </v:rect>
            </w:pict>
          </mc:Fallback>
        </mc:AlternateContent>
      </w:r>
    </w:p>
    <w:p>
      <w:pPr>
        <w:pStyle w:val="TextBody"/>
        <w:bidi w:val="0"/>
        <w:spacing w:lineRule="auto" w:line="288" w:before="0" w:after="200"/>
        <w:jc w:val="both"/>
        <w:rPr/>
      </w:pPr>
      <w:hyperlink w:anchor="iccccf23fa31e44f0aa82c99ca0859db8_7">
        <w:r>
          <w:rPr>
            <w:rStyle w:val="InternetLink"/>
            <w:rFonts w:ascii="Adelle Sans Light;sans-serif" w:hAnsi="Adelle Sans Light;sans-serif"/>
            <w:b w:val="false"/>
            <w:color w:val="0000FF"/>
            <w:sz w:val="20"/>
            <w:u w:val="single"/>
          </w:rPr>
          <w:t>Table of Contents</w:t>
        </w:r>
      </w:hyperlink>
    </w:p>
    <w:p>
      <w:pPr>
        <w:pStyle w:val="TextBody"/>
        <w:bidi w:val="0"/>
        <w:spacing w:lineRule="auto" w:line="288" w:before="0" w:after="200"/>
        <w:jc w:val="left"/>
        <w:rPr>
          <w:rFonts w:ascii="Adelle Sans;sans-serif" w:hAnsi="Adelle Sans;sans-serif"/>
          <w:b/>
          <w:color w:val="000000"/>
          <w:sz w:val="20"/>
        </w:rPr>
      </w:pPr>
      <w:bookmarkStart w:id="61" w:name="i2f71b7e5443844658a37da2455abd2cd"/>
      <w:bookmarkEnd w:id="61"/>
      <w:r>
        <w:rPr>
          <w:rFonts w:ascii="Adelle Sans;sans-serif" w:hAnsi="Adelle Sans;sans-serif"/>
          <w:b/>
          <w:color w:val="000000"/>
          <w:sz w:val="20"/>
        </w:rPr>
        <w:t>Item 2: Management's Discussion and Analysis of Financial Condition and Results of Operations</w:t>
      </w:r>
    </w:p>
    <w:p>
      <w:pPr>
        <w:pStyle w:val="TextBody"/>
        <w:bidi w:val="0"/>
        <w:spacing w:lineRule="auto" w:line="288" w:before="0" w:after="200"/>
        <w:jc w:val="both"/>
        <w:rPr>
          <w:rFonts w:ascii="Adelle Sans Light;sans-serif" w:hAnsi="Adelle Sans Light;sans-serif"/>
          <w:b w:val="false"/>
          <w:i/>
          <w:color w:val="000000"/>
          <w:sz w:val="20"/>
        </w:rPr>
      </w:pPr>
      <w:r>
        <w:rPr>
          <w:rFonts w:ascii="Adelle Sans Light;sans-serif" w:hAnsi="Adelle Sans Light;sans-serif"/>
          <w:b w:val="false"/>
          <w:i/>
          <w:color w:val="000000"/>
          <w:sz w:val="20"/>
        </w:rPr>
        <w:t>In this Management's Discussion and Analysis of Financial Condition and Results of Operations ("MD&amp;A"), "we", "us", "our", "Shopify" and "the Company" refer to Shopify Inc. and its consolidated subsidiaries, unless the context requires otherwise. In this MD&amp;A, we present Shopify's results of operations and cash flows for the three and six months ended June 30, 2026 and 2025, and our financial position as of June 30, 2026. You should read this MD&amp;A in conjunction with the unaudited condensed consolidated financial statements and the accompanying notes thereto in Part I - Item 1 of this Quarterly Report on Form 10-Q and with our audited consolidated financial statements included in the Company's 2025 Form 10-K.</w:t>
      </w:r>
    </w:p>
    <w:p>
      <w:pPr>
        <w:pStyle w:val="TextBody"/>
        <w:bidi w:val="0"/>
        <w:spacing w:lineRule="auto" w:line="288" w:before="0" w:after="200"/>
        <w:jc w:val="both"/>
        <w:rPr>
          <w:rFonts w:ascii="Adelle Sans Light;sans-serif" w:hAnsi="Adelle Sans Light;sans-serif"/>
          <w:b w:val="false"/>
          <w:i/>
          <w:color w:val="000000"/>
          <w:sz w:val="20"/>
        </w:rPr>
      </w:pPr>
      <w:r>
        <w:rPr>
          <w:rFonts w:ascii="Adelle Sans Light;sans-serif" w:hAnsi="Adelle Sans Light;sans-serif"/>
          <w:b w:val="false"/>
          <w:i/>
          <w:color w:val="000000"/>
          <w:sz w:val="20"/>
        </w:rPr>
        <w:t>Our unaudited condensed consolidated financial statements have been prepared in accordance with accounting principles generally accepted in the United States of America ("U.S. GAAP"). All amounts are in U.S. dollars ("USD") except where otherwise indicated.</w:t>
      </w:r>
    </w:p>
    <w:p>
      <w:pPr>
        <w:pStyle w:val="TextBody"/>
        <w:bidi w:val="0"/>
        <w:spacing w:lineRule="auto" w:line="288" w:before="0" w:after="200"/>
        <w:jc w:val="both"/>
        <w:rPr/>
      </w:pPr>
      <w:r>
        <w:rPr>
          <w:rFonts w:ascii="Adelle Sans Light;sans-serif" w:hAnsi="Adelle Sans Light;sans-serif"/>
          <w:b w:val="false"/>
          <w:i/>
          <w:color w:val="000000"/>
          <w:sz w:val="20"/>
        </w:rPr>
        <w:t xml:space="preserve">Our MD&amp;A is intended to enable readers to gain an understanding of Shopify's results of operations, cash flows and financial position. To do so, we provide information and analysis comparing our results of operations, cash flows and financial position for the most recently completed period with the same period from the preceding fiscal year. We also provide analysis and commentary that we believe will help investors assess our future prospects. In addition, we provide "forward-looking statements" that are not historical facts, but that are based on our current estimates, beliefs and assumptions and which are subject to known and unknown important risks, uncertainties, assumptions and other factors that could cause actual results to differ materially from current expectations, including those discussed under Part II </w:t>
      </w:r>
      <w:r>
        <w:rPr>
          <w:color w:val="231F20"/>
        </w:rPr>
        <w:t>—</w:t>
      </w:r>
      <w:r>
        <w:rPr>
          <w:color w:val="000000"/>
        </w:rPr>
        <w:t xml:space="preserve"> </w:t>
      </w:r>
      <w:r>
        <w:rPr>
          <w:rFonts w:ascii="Adelle Sans Light;sans-serif" w:hAnsi="Adelle Sans Light;sans-serif"/>
          <w:b w:val="false"/>
          <w:i/>
          <w:color w:val="000000"/>
          <w:sz w:val="20"/>
        </w:rPr>
        <w:t xml:space="preserve">Item 1A "Risk Factors" of this Quarterly Report on Form 10-Q and in our 2025 Form 10-K. Forward-looking statements are intended to assist readers in understanding management's expectations as of the date of this Quarterly Report on Form 10-Q, including this MD&amp;A, and may not be suitable for other purposes. See "Forward-looking Statements" in this Quarterly Report on Form 10-Q. </w:t>
      </w:r>
    </w:p>
    <w:p>
      <w:pPr>
        <w:pStyle w:val="TextBody"/>
        <w:bidi w:val="0"/>
        <w:spacing w:lineRule="auto" w:line="288" w:before="0" w:after="200"/>
        <w:jc w:val="both"/>
        <w:rPr>
          <w:rFonts w:ascii="Adelle Sans Light;sans-serif" w:hAnsi="Adelle Sans Light;sans-serif"/>
          <w:b w:val="false"/>
          <w:i/>
          <w:color w:val="000000"/>
          <w:sz w:val="20"/>
        </w:rPr>
      </w:pPr>
      <w:r>
        <w:rPr>
          <w:rFonts w:ascii="Adelle Sans Light;sans-serif" w:hAnsi="Adelle Sans Light;sans-serif"/>
          <w:b w:val="false"/>
          <w:i/>
          <w:color w:val="000000"/>
          <w:sz w:val="20"/>
        </w:rPr>
        <w:t>In this MD&amp;A, references to our "solutions" means the combination of products and services that we offer to merchants, and references to "our merchants" as of a particular date means the total number of unique shops that are paying for a subscription to our platform.</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left"/>
        <w:rPr>
          <w:rFonts w:ascii="Adelle Sans;sans-serif" w:hAnsi="Adelle Sans;sans-serif"/>
          <w:b/>
          <w:color w:val="000000"/>
          <w:sz w:val="20"/>
        </w:rPr>
      </w:pPr>
      <w:bookmarkStart w:id="62" w:name="ia2f3dfa3dbde4932a124a072613635bb"/>
      <w:bookmarkEnd w:id="62"/>
      <w:r>
        <w:rPr>
          <w:rFonts w:ascii="Adelle Sans;sans-serif" w:hAnsi="Adelle Sans;sans-serif"/>
          <w:b/>
          <w:color w:val="000000"/>
          <w:sz w:val="20"/>
        </w:rPr>
        <w:t>Business Overview</w:t>
      </w:r>
    </w:p>
    <w:p>
      <w:pPr>
        <w:pStyle w:val="TextBody"/>
        <w:bidi w:val="0"/>
        <w:spacing w:lineRule="auto" w:line="288" w:before="0" w:after="200"/>
        <w:jc w:val="both"/>
        <w:rPr>
          <w:rFonts w:ascii="Adelle Sans Light;sans-serif" w:hAnsi="Adelle Sans Light;sans-serif"/>
          <w:b w:val="false"/>
          <w:color w:val="000000"/>
          <w:sz w:val="20"/>
        </w:rPr>
      </w:pPr>
      <w:r>
        <w:rPr>
          <w:rFonts w:ascii="Adelle Sans Light;sans-serif" w:hAnsi="Adelle Sans Light;sans-serif"/>
          <w:b w:val="false"/>
          <w:color w:val="000000"/>
          <w:sz w:val="20"/>
        </w:rPr>
        <w:t>We believe we can help merchants of all verticals and sizes, from aspirational entrepreneurs to companies with large-scale, direct-to-consumer or business to business ("B2B") operations, or both, realize their potential at all stages of their business life cycle. In the six months ended June 30, 2026, our platform facilitated gross merchandise volume ("GMV") of $216.3 billion, representing an increase of 33% from the six months ended June 30, 2025. A detailed description of this metric is presented below in the section entitled, "Key Performance Indicators".</w:t>
      </w:r>
    </w:p>
    <w:p>
      <w:pPr>
        <w:pStyle w:val="TextBody"/>
        <w:bidi w:val="0"/>
        <w:spacing w:lineRule="auto" w:line="288" w:before="0" w:after="200"/>
        <w:jc w:val="both"/>
        <w:rPr>
          <w:rFonts w:ascii="Adelle Sans Light;sans-serif" w:hAnsi="Adelle Sans Light;sans-serif"/>
          <w:b w:val="false"/>
          <w:color w:val="000000"/>
          <w:sz w:val="20"/>
        </w:rPr>
      </w:pPr>
      <w:r>
        <w:rPr>
          <w:rFonts w:ascii="Adelle Sans Light;sans-serif" w:hAnsi="Adelle Sans Light;sans-serif"/>
          <w:b w:val="false"/>
          <w:color w:val="000000"/>
          <w:sz w:val="20"/>
        </w:rPr>
        <w:t>During the six months ended June 30, 2026, our total revenue was $6.8 billion, an increase of 34% versus the six months ended June 30, 2025. Our business model has two revenue components: a recurring subscription component we call subscription solutions and a merchant success-based component we call merchant solutions.</w:t>
      </w:r>
    </w:p>
    <w:p>
      <w:pPr>
        <w:pStyle w:val="TextBody"/>
        <w:bidi w:val="0"/>
        <w:spacing w:lineRule="auto" w:line="288" w:before="240" w:after="200"/>
        <w:jc w:val="both"/>
        <w:rPr>
          <w:rFonts w:ascii="Adelle Sans Light;sans-serif" w:hAnsi="Adelle Sans Light;sans-serif"/>
          <w:b w:val="false"/>
          <w:color w:val="000000"/>
          <w:sz w:val="20"/>
        </w:rPr>
      </w:pPr>
      <w:r>
        <w:rPr>
          <w:rFonts w:ascii="Adelle Sans Light;sans-serif" w:hAnsi="Adelle Sans Light;sans-serif"/>
          <w:b w:val="false"/>
          <w:color w:val="000000"/>
          <w:sz w:val="20"/>
        </w:rPr>
        <w:t>In the six months ended June 30, 2026, subscription solutions revenues accounted for 23% of our total revenues (June 30, 2025 - 25%). We offer a range of plans that increase in price depending on additional features and economic considerations. Shopify Plus is offered at a starting rate that is several times that of our standard Shopify plans. Shopify Plus solves for the complexity of merchants as they grow and scale globally, offering additional functionality and support, including features like Shopify Audiences, B2B features and Launchpad, for ecommerce automation. Aldo, BarkBox, Carrier, Meta, Vuori, SKIMS and Supreme are a few of our notable merchants seeking a reliable, cost-effective and scalable commerce solution. The flexibility of our pricing plans is designed to help our merchants grow in a cost-effective manner and to provide more advanced features and support as their business needs evolve.</w:t>
      </w:r>
    </w:p>
    <w:p>
      <w:pPr>
        <w:pStyle w:val="TextBody"/>
        <w:bidi w:val="0"/>
        <w:spacing w:lineRule="auto" w:line="288" w:before="240" w:after="200"/>
        <w:jc w:val="both"/>
        <w:rPr>
          <w:rFonts w:ascii="Adelle Sans Light;sans-serif" w:hAnsi="Adelle Sans Light;sans-serif"/>
          <w:b w:val="false"/>
          <w:color w:val="000000"/>
          <w:sz w:val="20"/>
        </w:rPr>
      </w:pPr>
      <w:r>
        <w:rPr>
          <w:rFonts w:ascii="Adelle Sans Light;sans-serif" w:hAnsi="Adelle Sans Light;sans-serif"/>
          <w:b w:val="false"/>
          <w:color w:val="000000"/>
          <w:sz w:val="20"/>
        </w:rPr>
        <w:t xml:space="preserve">Revenue from subscription solutions is generated through the sale of subscriptions to our platform, including variable platform fees, as well as through the sale of subscriptions to our POS Pro offering, the sale of apps, the sale of themes and the registration of domain names. Subscription solutions revenues increased from $1.3 billion in the six months ended June 30, 2025 to $1.6 billion in the six months ended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7955"/>
                <wp:effectExtent l="0" t="0" r="0" b="0"/>
                <wp:wrapNone/>
                <wp:docPr id="27" name="Frame26"/>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200"/>
                              <w:jc w:val="center"/>
                              <w:rPr>
                                <w:rFonts w:ascii="Adelle Sans Light;sans-serif" w:hAnsi="Adelle Sans Light;sans-serif"/>
                                <w:b w:val="false"/>
                                <w:color w:val="000000"/>
                                <w:sz w:val="20"/>
                              </w:rPr>
                            </w:pPr>
                            <w:r>
                              <w:rPr>
                                <w:rFonts w:ascii="Adelle Sans Light;sans-serif" w:hAnsi="Adelle Sans Light;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Adelle Sans Light;sans-serif" w:hAnsi="Adelle Sans Light;sans-serif"/>
                          <w:b w:val="false"/>
                          <w:color w:val="000000"/>
                          <w:sz w:val="20"/>
                        </w:rPr>
                      </w:pPr>
                      <w:r>
                        <w:rPr>
                          <w:rFonts w:ascii="Adelle Sans Light;sans-serif" w:hAnsi="Adelle Sans Light;sans-serif"/>
                          <w:b w:val="false"/>
                          <w:color w:val="000000"/>
                          <w:sz w:val="20"/>
                        </w:rPr>
                        <w:t>26</w:t>
                      </w:r>
                    </w:p>
                  </w:txbxContent>
                </v:textbox>
                <w10:wrap type="none"/>
              </v:rect>
            </w:pict>
          </mc:Fallback>
        </mc:AlternateContent>
      </w:r>
    </w:p>
    <w:p>
      <w:pPr>
        <w:pStyle w:val="TextBody"/>
        <w:bidi w:val="0"/>
        <w:spacing w:lineRule="auto" w:line="288" w:before="0" w:after="200"/>
        <w:jc w:val="both"/>
        <w:rPr/>
      </w:pPr>
      <w:hyperlink w:anchor="iccccf23fa31e44f0aa82c99ca0859db8_7">
        <w:r>
          <w:rPr>
            <w:rStyle w:val="InternetLink"/>
            <w:rFonts w:ascii="Adelle Sans Light;sans-serif" w:hAnsi="Adelle Sans Light;sans-serif"/>
            <w:b w:val="false"/>
            <w:color w:val="0000FF"/>
            <w:sz w:val="20"/>
            <w:u w:val="single"/>
          </w:rPr>
          <w:t>Table of Contents</w:t>
        </w:r>
      </w:hyperlink>
    </w:p>
    <w:p>
      <w:pPr>
        <w:pStyle w:val="TextBody"/>
        <w:bidi w:val="0"/>
        <w:spacing w:lineRule="auto" w:line="288" w:before="240" w:after="200"/>
        <w:jc w:val="both"/>
        <w:rPr>
          <w:rFonts w:ascii="Adelle Sans Light;sans-serif" w:hAnsi="Adelle Sans Light;sans-serif"/>
          <w:b w:val="false"/>
          <w:color w:val="000000"/>
          <w:sz w:val="20"/>
        </w:rPr>
      </w:pPr>
      <w:r>
        <w:rPr>
          <w:rFonts w:ascii="Adelle Sans Light;sans-serif" w:hAnsi="Adelle Sans Light;sans-serif"/>
          <w:b w:val="false"/>
          <w:color w:val="000000"/>
          <w:sz w:val="20"/>
        </w:rPr>
        <w:t xml:space="preserve">June 30, 2026, representing an increase of 22%. Our merchants typically enter into monthly subscription agreements. The revenue from these agreements is recognized over time on a ratable basis over the contractual term and therefore we have deferred revenue on our balance sheet. We do not consider this deferred revenue balance to be a good indicator of future revenue. Instead, we believe Monthly Recurring Revenue ("MRR") is most closely correlated with the long-term value of our merchant relationships. As of June 30, 2026, MRR totaled $221 million, representing an increase of 19% relative to MRR at June 30, 2025. A detailed description of this metric is presented below in the section entitled, "Key Performance Indicators". </w:t>
      </w:r>
    </w:p>
    <w:p>
      <w:pPr>
        <w:pStyle w:val="TextBody"/>
        <w:bidi w:val="0"/>
        <w:spacing w:lineRule="auto" w:line="288" w:before="240" w:after="200"/>
        <w:jc w:val="both"/>
        <w:rPr>
          <w:rFonts w:ascii="Adelle Sans Light;sans-serif" w:hAnsi="Adelle Sans Light;sans-serif"/>
          <w:b w:val="false"/>
          <w:color w:val="000000"/>
          <w:sz w:val="20"/>
        </w:rPr>
      </w:pPr>
      <w:r>
        <w:rPr>
          <w:rFonts w:ascii="Adelle Sans Light;sans-serif" w:hAnsi="Adelle Sans Light;sans-serif"/>
          <w:b w:val="false"/>
          <w:color w:val="000000"/>
          <w:sz w:val="20"/>
        </w:rPr>
        <w:t>We offer a variety of merchant solutions that are designed to add value to our merchants by passing on our economies of scale and augmenting our subscription solutions. During the six months ended June 30, 2026, merchant solutions revenues accounted for 77% of total revenues (June 30, 2025 - 75%). We principally generate merchant solutions revenues from payment processing fees and currency conversion fees from Shopify Payments. Shopify Payments is a fully integrated payment solution. In addition to payment processing fees and currency conversion fees from Shopify Payments, we also generate merchant solutions revenue from our lending services and financial products, referral fees from partners, the sale of shipping labels, the sale of POS hardware, advertising on the Shopify App Store and Shop Campaigns, our buyer acquisition offering. The majority of our merchant solutions revenues are directionally correlated with the level of GMV that our merchants process through our platform. Merchant solutions revenues increased from $3.8 billion in the six months ended June 30, 2025 to $5.2 billion in the six months ended June 30, 2026, representing an increase of 38%.</w:t>
      </w:r>
    </w:p>
    <w:p>
      <w:pPr>
        <w:pStyle w:val="TextBody"/>
        <w:bidi w:val="0"/>
        <w:spacing w:lineRule="auto" w:line="288" w:before="240" w:after="200"/>
        <w:jc w:val="both"/>
        <w:rPr>
          <w:rFonts w:ascii="Adelle Sans Light;sans-serif" w:hAnsi="Adelle Sans Light;sans-serif"/>
          <w:b w:val="false"/>
          <w:color w:val="000000"/>
          <w:sz w:val="20"/>
        </w:rPr>
      </w:pPr>
      <w:r>
        <w:rPr>
          <w:rFonts w:ascii="Adelle Sans Light;sans-serif" w:hAnsi="Adelle Sans Light;sans-serif"/>
          <w:b w:val="false"/>
          <w:color w:val="000000"/>
          <w:sz w:val="20"/>
        </w:rPr>
        <w:t>Our business model is driven by our ability to attract new merchants, retain revenue from existing merchants and increase sales to both new and existing merchants. Our merchants represent a wide array of retail verticals, business sizes and geographies, and no single merchant has ever represented more than five percent of our total revenues in a single reporting period. We believe that our future success depends on many factors, including our ability to expand our merchant base; localize features for specific geographies; retain merchants as they grow their businesses on our platform and adopt more features; offer more sales channels that connect merchants with potential customers; develop new solutions to extend our platform’s functionality and catalyze merchants’ sales growth; leverage emerging technologies, including AI; enhance our ecosystem and partner programs; provide a high level of merchant support; hire, retain and motivate qualified personnel; and build with a focus on maximizing long-term value.</w:t>
      </w:r>
    </w:p>
    <w:p>
      <w:pPr>
        <w:pStyle w:val="TextBody"/>
        <w:bidi w:val="0"/>
        <w:spacing w:lineRule="auto" w:line="288" w:before="240" w:after="200"/>
        <w:jc w:val="both"/>
        <w:rPr>
          <w:rFonts w:ascii="Adelle Sans Light;sans-serif" w:hAnsi="Adelle Sans Light;sans-serif"/>
          <w:b w:val="false"/>
          <w:color w:val="000000"/>
          <w:sz w:val="20"/>
        </w:rPr>
      </w:pPr>
      <w:r>
        <w:rPr>
          <w:rFonts w:ascii="Adelle Sans Light;sans-serif" w:hAnsi="Adelle Sans Light;sans-serif"/>
          <w:b w:val="false"/>
          <w:color w:val="000000"/>
          <w:sz w:val="20"/>
        </w:rPr>
        <w:t xml:space="preserve">We have focused on rapidly growing our business and plan to continue making investments to drive future growth. We believe that our investments will increase our revenue base, improve the retention of this base and strengthen our ability to increase sales to our merchants. We also maintain a portfolio of investments with varying time horizons in our cash management program.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left"/>
        <w:rPr>
          <w:rFonts w:ascii="Adelle Sans;sans-serif" w:hAnsi="Adelle Sans;sans-serif"/>
          <w:b/>
          <w:color w:val="000000"/>
          <w:sz w:val="20"/>
        </w:rPr>
      </w:pPr>
      <w:bookmarkStart w:id="63" w:name="ic705958ccb154298943f157d2f2643ab"/>
      <w:bookmarkEnd w:id="63"/>
      <w:r>
        <w:rPr>
          <w:rFonts w:ascii="Adelle Sans;sans-serif" w:hAnsi="Adelle Sans;sans-serif"/>
          <w:b/>
          <w:color w:val="000000"/>
          <w:sz w:val="20"/>
        </w:rPr>
        <w:t xml:space="preserve">Key Performance Indicators </w:t>
      </w:r>
    </w:p>
    <w:p>
      <w:pPr>
        <w:pStyle w:val="TextBody"/>
        <w:bidi w:val="0"/>
        <w:spacing w:lineRule="auto" w:line="288" w:before="0" w:after="200"/>
        <w:jc w:val="both"/>
        <w:rPr>
          <w:rFonts w:ascii="Adelle Sans Light;sans-serif" w:hAnsi="Adelle Sans Light;sans-serif"/>
          <w:b w:val="false"/>
          <w:color w:val="000000"/>
          <w:sz w:val="20"/>
        </w:rPr>
      </w:pPr>
      <w:r>
        <w:rPr>
          <w:rFonts w:ascii="Adelle Sans Light;sans-serif" w:hAnsi="Adelle Sans Light;sans-serif"/>
          <w:b w:val="false"/>
          <w:color w:val="000000"/>
          <w:sz w:val="20"/>
        </w:rPr>
        <w:t xml:space="preserve">Our key performance indicators, which we do not consider to be non-GAAP measures, that we use to evaluate our business, measure our performance, identify trends affecting our business, formulate financial projections and make strategic decisions are MRR and GMV. Our key performance indicators may be calculated in a manner different than similar key performance indicators used by other companies. </w:t>
      </w:r>
    </w:p>
    <w:p>
      <w:pPr>
        <w:pStyle w:val="TextBody"/>
        <w:bidi w:val="0"/>
        <w:spacing w:lineRule="auto" w:line="288" w:before="0" w:after="200"/>
        <w:jc w:val="both"/>
        <w:rPr>
          <w:rFonts w:ascii="Adelle Sans Light;sans-serif" w:hAnsi="Adelle Sans Light;sans-serif"/>
          <w:b w:val="false"/>
          <w:color w:val="000000"/>
          <w:sz w:val="20"/>
        </w:rPr>
      </w:pPr>
      <w:r>
        <w:rPr>
          <w:rFonts w:ascii="Adelle Sans Light;sans-serif" w:hAnsi="Adelle Sans Light;sans-serif"/>
          <w:b w:val="false"/>
          <w:color w:val="000000"/>
          <w:sz w:val="20"/>
        </w:rPr>
        <w:t>The following table shows MRR and GMV for the three and six months ended June 30, 2026 and 2025:</w:t>
      </w:r>
    </w:p>
    <w:tbl>
      <w:tblPr>
        <w:tblW w:w="10205" w:type="dxa"/>
        <w:jc w:val="left"/>
        <w:tblInd w:w="0" w:type="dxa"/>
        <w:tblLayout w:type="fixed"/>
        <w:tblCellMar>
          <w:top w:w="28" w:type="dxa"/>
          <w:left w:w="28" w:type="dxa"/>
          <w:bottom w:w="28" w:type="dxa"/>
          <w:right w:w="28" w:type="dxa"/>
        </w:tblCellMar>
      </w:tblPr>
      <w:tblGrid>
        <w:gridCol w:w="924"/>
        <w:gridCol w:w="794"/>
        <w:gridCol w:w="799"/>
        <w:gridCol w:w="622"/>
        <w:gridCol w:w="344"/>
        <w:gridCol w:w="327"/>
        <w:gridCol w:w="327"/>
        <w:gridCol w:w="327"/>
        <w:gridCol w:w="327"/>
        <w:gridCol w:w="543"/>
        <w:gridCol w:w="341"/>
        <w:gridCol w:w="327"/>
        <w:gridCol w:w="109"/>
        <w:gridCol w:w="109"/>
        <w:gridCol w:w="109"/>
        <w:gridCol w:w="568"/>
        <w:gridCol w:w="378"/>
        <w:gridCol w:w="299"/>
        <w:gridCol w:w="299"/>
        <w:gridCol w:w="299"/>
        <w:gridCol w:w="299"/>
        <w:gridCol w:w="568"/>
        <w:gridCol w:w="378"/>
        <w:gridCol w:w="299"/>
        <w:gridCol w:w="109"/>
        <w:gridCol w:w="109"/>
        <w:gridCol w:w="109"/>
        <w:gridCol w:w="162"/>
      </w:tblGrid>
      <w:tr>
        <w:trPr/>
        <w:tc>
          <w:tcPr>
            <w:tcW w:w="92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9"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5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delle Sans;sans-serif" w:hAnsi="Adelle Sans;sans-serif"/>
                <w:b/>
                <w:color w:val="000000"/>
                <w:sz w:val="18"/>
              </w:rPr>
            </w:pPr>
            <w:r>
              <w:rPr>
                <w:rFonts w:ascii="Adelle Sans;sans-serif" w:hAnsi="Adelle Sans;sans-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delle Sans;sans-serif" w:hAnsi="Adelle Sans;sans-serif"/>
                <w:b/>
                <w:color w:val="000000"/>
                <w:sz w:val="18"/>
              </w:rPr>
            </w:pPr>
            <w:r>
              <w:rPr>
                <w:rFonts w:ascii="Adelle Sans;sans-serif" w:hAnsi="Adelle Sans;sans-serif"/>
                <w:b/>
                <w:color w:val="000000"/>
                <w:sz w:val="18"/>
              </w:rPr>
              <w:t>Six months ended June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1" w:type="dxa"/>
            <w:gridSpan w:val="2"/>
            <w:tcBorders/>
          </w:tcPr>
          <w:p>
            <w:pPr>
              <w:pStyle w:val="TableContents"/>
              <w:bidi w:val="0"/>
              <w:spacing w:before="0" w:after="283"/>
              <w:jc w:val="left"/>
              <w:rPr>
                <w:sz w:val="4"/>
                <w:szCs w:val="4"/>
              </w:rPr>
            </w:pPr>
            <w:r>
              <w:rPr>
                <w:sz w:val="4"/>
                <w:szCs w:val="4"/>
              </w:rPr>
            </w:r>
          </w:p>
        </w:tc>
      </w:tr>
      <w:tr>
        <w:trPr/>
        <w:tc>
          <w:tcPr>
            <w:tcW w:w="25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Adelle Sans;sans-serif" w:hAnsi="Adelle Sans;sans-serif"/>
                <w:b/>
                <w:color w:val="000000"/>
                <w:sz w:val="18"/>
              </w:rPr>
            </w:pPr>
            <w:r>
              <w:rPr>
                <w:rFonts w:ascii="Adelle Sans;sans-serif" w:hAnsi="Adelle Sans;sans-serif"/>
                <w:b/>
                <w:color w:val="000000"/>
                <w:sz w:val="18"/>
              </w:rPr>
              <w:t>2026</w:t>
            </w:r>
          </w:p>
        </w:tc>
        <w:tc>
          <w:tcPr>
            <w:tcW w:w="981"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Adelle Sans;sans-serif" w:hAnsi="Adelle Sans;sans-serif"/>
                <w:b/>
                <w:color w:val="000000"/>
                <w:sz w:val="18"/>
              </w:rPr>
            </w:pPr>
            <w:r>
              <w:rPr>
                <w:rFonts w:ascii="Adelle Sans;sans-serif" w:hAnsi="Adelle Sans;sans-serif"/>
                <w:b/>
                <w:color w:val="000000"/>
                <w:sz w:val="18"/>
              </w:rPr>
              <w:t>2025</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Adelle Sans;sans-serif" w:hAnsi="Adelle Sans;sans-serif"/>
                <w:b/>
                <w:color w:val="000000"/>
                <w:sz w:val="18"/>
              </w:rPr>
            </w:pPr>
            <w:r>
              <w:rPr>
                <w:rFonts w:ascii="Adelle Sans;sans-serif" w:hAnsi="Adelle Sans;sans-serif"/>
                <w:b/>
                <w:color w:val="000000"/>
                <w:sz w:val="18"/>
              </w:rPr>
              <w:t>2026</w:t>
            </w:r>
          </w:p>
        </w:tc>
        <w:tc>
          <w:tcPr>
            <w:tcW w:w="89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Adelle Sans;sans-serif" w:hAnsi="Adelle Sans;sans-serif"/>
                <w:b/>
                <w:color w:val="000000"/>
                <w:sz w:val="18"/>
              </w:rPr>
            </w:pPr>
            <w:r>
              <w:rPr>
                <w:rFonts w:ascii="Adelle Sans;sans-serif" w:hAnsi="Adelle Sans;sans-serif"/>
                <w:b/>
                <w:color w:val="000000"/>
                <w:sz w:val="18"/>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51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9" w:type="dxa"/>
            <w:gridSpan w:val="21"/>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180"/>
              <w:jc w:val="center"/>
              <w:rPr>
                <w:rFonts w:ascii="Adelle Sans;sans-serif" w:hAnsi="Adelle Sans;sans-serif"/>
                <w:b w:val="false"/>
                <w:color w:val="000000"/>
                <w:sz w:val="18"/>
              </w:rPr>
            </w:pPr>
            <w:r>
              <w:rPr>
                <w:rFonts w:ascii="Adelle Sans;sans-serif" w:hAnsi="Adelle Sans;sans-serif"/>
                <w:b w:val="false"/>
                <w:color w:val="000000"/>
                <w:sz w:val="18"/>
              </w:rPr>
              <w:t>(in US $ millions)</w:t>
            </w:r>
          </w:p>
        </w:tc>
        <w:tc>
          <w:tcPr>
            <w:tcW w:w="489" w:type="dxa"/>
            <w:gridSpan w:val="4"/>
            <w:tcBorders/>
          </w:tcPr>
          <w:p>
            <w:pPr>
              <w:pStyle w:val="TableContents"/>
              <w:bidi w:val="0"/>
              <w:spacing w:before="0" w:after="283"/>
              <w:jc w:val="left"/>
              <w:rPr>
                <w:sz w:val="4"/>
                <w:szCs w:val="4"/>
              </w:rPr>
            </w:pPr>
            <w:r>
              <w:rPr>
                <w:sz w:val="4"/>
                <w:szCs w:val="4"/>
              </w:rPr>
            </w:r>
          </w:p>
        </w:tc>
      </w:tr>
      <w:tr>
        <w:trPr/>
        <w:tc>
          <w:tcPr>
            <w:tcW w:w="2517" w:type="dxa"/>
            <w:gridSpan w:val="3"/>
            <w:tcBorders/>
            <w:shd w:fill="F7F7F7" w:val="clear"/>
            <w:tcMar>
              <w:top w:w="0" w:type="dxa"/>
              <w:left w:w="0" w:type="dxa"/>
              <w:bottom w:w="0" w:type="dxa"/>
              <w:right w:w="0" w:type="dxa"/>
            </w:tcMar>
            <w:vAlign w:val="center"/>
          </w:tcPr>
          <w:p>
            <w:pPr>
              <w:pStyle w:val="TableContents"/>
              <w:bidi w:val="0"/>
              <w:spacing w:lineRule="auto" w:line="240" w:before="0" w:after="283"/>
              <w:jc w:val="left"/>
              <w:rPr>
                <w:rFonts w:ascii="Adelle Sans;sans-serif" w:hAnsi="Adelle Sans;sans-serif"/>
                <w:b w:val="false"/>
                <w:color w:val="000000"/>
                <w:sz w:val="18"/>
              </w:rPr>
            </w:pPr>
            <w:r>
              <w:rPr>
                <w:rFonts w:ascii="Adelle Sans;sans-serif" w:hAnsi="Adelle Sans;sans-serif"/>
                <w:b w:val="false"/>
                <w:color w:val="000000"/>
                <w:sz w:val="18"/>
              </w:rPr>
              <w:t>Monthly Recurring Revenue</w:t>
            </w:r>
          </w:p>
        </w:tc>
        <w:tc>
          <w:tcPr>
            <w:tcW w:w="966" w:type="dxa"/>
            <w:gridSpan w:val="2"/>
            <w:tcBorders/>
            <w:shd w:fill="F7F7F7"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221 </w:t>
            </w:r>
          </w:p>
        </w:tc>
        <w:tc>
          <w:tcPr>
            <w:tcW w:w="327" w:type="dxa"/>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2"/>
            <w:tcBorders/>
            <w:shd w:fill="F7F7F7"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185 </w:t>
            </w:r>
          </w:p>
        </w:tc>
        <w:tc>
          <w:tcPr>
            <w:tcW w:w="327" w:type="dxa"/>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7F7F7"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221 </w:t>
            </w:r>
          </w:p>
        </w:tc>
        <w:tc>
          <w:tcPr>
            <w:tcW w:w="299" w:type="dxa"/>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7F7F7"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185 </w:t>
            </w:r>
          </w:p>
        </w:tc>
        <w:tc>
          <w:tcPr>
            <w:tcW w:w="299" w:type="dxa"/>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ind w:left="0" w:right="0" w:hanging="180"/>
              <w:jc w:val="left"/>
              <w:rPr>
                <w:sz w:val="4"/>
                <w:szCs w:val="4"/>
              </w:rPr>
            </w:pPr>
            <w:r>
              <w:rPr>
                <w:sz w:val="4"/>
                <w:szCs w:val="4"/>
              </w:rPr>
            </w:r>
          </w:p>
        </w:tc>
      </w:tr>
      <w:tr>
        <w:trPr/>
        <w:tc>
          <w:tcPr>
            <w:tcW w:w="25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delle Sans;sans-serif" w:hAnsi="Adelle Sans;sans-serif"/>
                <w:b w:val="false"/>
                <w:color w:val="000000"/>
                <w:sz w:val="18"/>
              </w:rPr>
            </w:pPr>
            <w:r>
              <w:rPr>
                <w:rFonts w:ascii="Adelle Sans;sans-serif" w:hAnsi="Adelle Sans;sans-serif"/>
                <w:b w:val="false"/>
                <w:color w:val="000000"/>
                <w:sz w:val="18"/>
              </w:rPr>
              <w:t>Gross Merchandise Volume</w:t>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115,567 </w:t>
            </w:r>
          </w:p>
        </w:tc>
        <w:tc>
          <w:tcPr>
            <w:tcW w:w="3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87,837 </w:t>
            </w:r>
          </w:p>
        </w:tc>
        <w:tc>
          <w:tcPr>
            <w:tcW w:w="3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216,310 </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162,587 </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7955"/>
                <wp:effectExtent l="0" t="0" r="0" b="0"/>
                <wp:wrapNone/>
                <wp:docPr id="28" name="Frame27"/>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200"/>
                              <w:jc w:val="center"/>
                              <w:rPr>
                                <w:rFonts w:ascii="Adelle Sans Light;sans-serif" w:hAnsi="Adelle Sans Light;sans-serif"/>
                                <w:b w:val="false"/>
                                <w:color w:val="000000"/>
                                <w:sz w:val="20"/>
                              </w:rPr>
                            </w:pPr>
                            <w:r>
                              <w:rPr>
                                <w:rFonts w:ascii="Adelle Sans Light;sans-serif" w:hAnsi="Adelle Sans Light;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Adelle Sans Light;sans-serif" w:hAnsi="Adelle Sans Light;sans-serif"/>
                          <w:b w:val="false"/>
                          <w:color w:val="000000"/>
                          <w:sz w:val="20"/>
                        </w:rPr>
                      </w:pPr>
                      <w:r>
                        <w:rPr>
                          <w:rFonts w:ascii="Adelle Sans Light;sans-serif" w:hAnsi="Adelle Sans Light;sans-serif"/>
                          <w:b w:val="false"/>
                          <w:color w:val="000000"/>
                          <w:sz w:val="20"/>
                        </w:rPr>
                        <w:t>27</w:t>
                      </w:r>
                    </w:p>
                  </w:txbxContent>
                </v:textbox>
                <w10:wrap type="none"/>
              </v:rect>
            </w:pict>
          </mc:Fallback>
        </mc:AlternateContent>
      </w:r>
    </w:p>
    <w:p>
      <w:pPr>
        <w:pStyle w:val="TextBody"/>
        <w:bidi w:val="0"/>
        <w:spacing w:lineRule="auto" w:line="288" w:before="0" w:after="200"/>
        <w:jc w:val="both"/>
        <w:rPr/>
      </w:pPr>
      <w:hyperlink w:anchor="iccccf23fa31e44f0aa82c99ca0859db8_7">
        <w:r>
          <w:rPr>
            <w:rStyle w:val="InternetLink"/>
            <w:rFonts w:ascii="Adelle Sans Light;sans-serif" w:hAnsi="Adelle Sans Light;sans-serif"/>
            <w:b w:val="false"/>
            <w:color w:val="0000FF"/>
            <w:sz w:val="20"/>
            <w:u w:val="single"/>
          </w:rPr>
          <w:t>Table of Contents</w:t>
        </w:r>
      </w:hyperlink>
    </w:p>
    <w:p>
      <w:pPr>
        <w:pStyle w:val="TextBody"/>
        <w:bidi w:val="0"/>
        <w:spacing w:lineRule="auto" w:line="288" w:before="0" w:after="200"/>
        <w:jc w:val="left"/>
        <w:rPr>
          <w:rFonts w:ascii="Adelle Sans;sans-serif" w:hAnsi="Adelle Sans;sans-serif"/>
          <w:b/>
          <w:i/>
          <w:color w:val="000000"/>
          <w:sz w:val="20"/>
        </w:rPr>
      </w:pPr>
      <w:bookmarkStart w:id="64" w:name="i957fa0cbf63b4b65a97255b283636315"/>
      <w:bookmarkEnd w:id="64"/>
      <w:r>
        <w:rPr>
          <w:rFonts w:ascii="Adelle Sans;sans-serif" w:hAnsi="Adelle Sans;sans-serif"/>
          <w:b/>
          <w:i/>
          <w:color w:val="000000"/>
          <w:sz w:val="20"/>
        </w:rPr>
        <w:t xml:space="preserve">Monthly Recurring Revenue </w:t>
      </w:r>
    </w:p>
    <w:p>
      <w:pPr>
        <w:pStyle w:val="TextBody"/>
        <w:bidi w:val="0"/>
        <w:spacing w:lineRule="auto" w:line="288" w:before="0" w:after="200"/>
        <w:jc w:val="both"/>
        <w:rPr>
          <w:rFonts w:ascii="Adelle Sans Light;sans-serif" w:hAnsi="Adelle Sans Light;sans-serif"/>
          <w:b w:val="false"/>
          <w:color w:val="000000"/>
          <w:sz w:val="20"/>
        </w:rPr>
      </w:pPr>
      <w:r>
        <w:rPr>
          <w:rFonts w:ascii="Adelle Sans Light;sans-serif" w:hAnsi="Adelle Sans Light;sans-serif"/>
          <w:b w:val="false"/>
          <w:color w:val="000000"/>
          <w:sz w:val="20"/>
        </w:rPr>
        <w:t>MRR is the aggregate value of all subscription plans, excluding variable platform fees, in effect on the last day of the period, assuming merchants maintain their subscription the following month. Subscription plans to both our platform and our POS Pro offering are included in this calculation. When applicable, MRR relating to subscription plans billed in a merchant's local currency is converted to USD using the respective currency exchange rate as of the period end date. Prospective merchants that have joined the platform through special new merchant trial incentives, including paid trials, are included in MRR at their trial price while merchants on free trials are excluded from the calculation of MRR through the duration of the free trial. MRR allows us to average our various pricing plans and billing periods into a single, consistent number that we can track over time. We also consider the factors that contribute to MRR, specifically the number of paying merchants using our platform, the number of merchants that are on full-price plans or paid trials, the mix of subscription plan types and overall pricing of our subscription plans. In addition, we use MRR to forecast monthly, quarterly and annual subscription plan revenue, which makes up the majority of our subscription solutions revenue. We had $221 million of MRR as of June 30, 2026 compared to $185 million as of June 30, 2025.</w:t>
      </w:r>
    </w:p>
    <w:p>
      <w:pPr>
        <w:pStyle w:val="TextBody"/>
        <w:bidi w:val="0"/>
        <w:spacing w:lineRule="auto" w:line="288" w:before="0" w:after="200"/>
        <w:jc w:val="both"/>
        <w:rPr>
          <w:rFonts w:ascii="Adelle Sans Light;sans-serif" w:hAnsi="Adelle Sans Light;sans-serif"/>
          <w:b w:val="false"/>
          <w:color w:val="000000"/>
          <w:sz w:val="20"/>
        </w:rPr>
      </w:pPr>
      <w:r>
        <w:rPr>
          <w:rFonts w:ascii="Adelle Sans Light;sans-serif" w:hAnsi="Adelle Sans Light;sans-serif"/>
          <w:b w:val="false"/>
          <w:color w:val="000000"/>
          <w:sz w:val="20"/>
        </w:rPr>
        <w:t xml:space="preserve">In the three and six months ended June 30, 2026, the MRR growth rate for the period was higher than the same period in 2025 driven by the prior year impact of extending the length of paid trials. </w:t>
      </w:r>
    </w:p>
    <w:p>
      <w:pPr>
        <w:pStyle w:val="TextBody"/>
        <w:bidi w:val="0"/>
        <w:spacing w:lineRule="auto" w:line="288" w:before="0" w:after="200"/>
        <w:jc w:val="left"/>
        <w:rPr>
          <w:rFonts w:ascii="Adelle Sans;sans-serif" w:hAnsi="Adelle Sans;sans-serif"/>
          <w:b/>
          <w:i/>
          <w:color w:val="000000"/>
          <w:sz w:val="20"/>
        </w:rPr>
      </w:pPr>
      <w:bookmarkStart w:id="65" w:name="i163d7412a3c84bafa36fc28b364c9abf"/>
      <w:bookmarkEnd w:id="65"/>
      <w:r>
        <w:rPr>
          <w:rFonts w:ascii="Adelle Sans;sans-serif" w:hAnsi="Adelle Sans;sans-serif"/>
          <w:b/>
          <w:i/>
          <w:color w:val="000000"/>
          <w:sz w:val="20"/>
        </w:rPr>
        <w:t xml:space="preserve">Gross Merchandise Volume </w:t>
      </w:r>
    </w:p>
    <w:p>
      <w:pPr>
        <w:pStyle w:val="TextBody"/>
        <w:bidi w:val="0"/>
        <w:spacing w:lineRule="auto" w:line="288" w:before="0" w:after="200"/>
        <w:jc w:val="both"/>
        <w:rPr>
          <w:rFonts w:ascii="Adelle Sans Light;sans-serif" w:hAnsi="Adelle Sans Light;sans-serif"/>
          <w:b w:val="false"/>
          <w:color w:val="000000"/>
          <w:sz w:val="20"/>
        </w:rPr>
      </w:pPr>
      <w:r>
        <w:rPr>
          <w:rFonts w:ascii="Adelle Sans Light;sans-serif" w:hAnsi="Adelle Sans Light;sans-serif"/>
          <w:b w:val="false"/>
          <w:color w:val="000000"/>
          <w:sz w:val="20"/>
        </w:rPr>
        <w:t xml:space="preserve">GMV is the total dollar value of orders facilitated through our platform including certain apps and channels for which a revenue-sharing arrangement is in place in the period, net of refunds, and inclusive of shipping and handling, duty and value-added taxes. GMV does not represent revenue earned by us. However, the volume of GMV facilitated through our platform is an indicator of the success of our merchants and the strength of our platform. Our merchant solutions revenues are also directionally correlated with the level of GMV facilitated through our platform. For the three and six months ended June 30, 2026 we facilitated GMV of $115.6 billion and $216.3 billion, respectively, (June 30, 2025 - $87.8 billion and $162.6 billion), representing year-over-year growth of 32% on a quarterly basis and 33% on a year-to-date basis (2025 vs 2024 - 31% and 27%). On a constant currency basis, in which GMV in the three and six months ended June 30, 2026 is converted using the comparative period's monthly average exchange rates, year-over-year growth was 30% and 30% (2025 vs 2024 - 29% and 27%).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left"/>
        <w:rPr>
          <w:rFonts w:ascii="Adelle Sans;sans-serif" w:hAnsi="Adelle Sans;sans-serif"/>
          <w:b/>
          <w:color w:val="000000"/>
          <w:sz w:val="20"/>
        </w:rPr>
      </w:pPr>
      <w:bookmarkStart w:id="66" w:name="i1d9950a01e324d07b6474ed8d64d8445"/>
      <w:bookmarkEnd w:id="66"/>
      <w:r>
        <w:rPr>
          <w:rFonts w:ascii="Adelle Sans;sans-serif" w:hAnsi="Adelle Sans;sans-serif"/>
          <w:b/>
          <w:color w:val="000000"/>
          <w:sz w:val="20"/>
        </w:rPr>
        <w:t xml:space="preserve">Factors Affecting the Comparability of Our Results </w:t>
      </w:r>
    </w:p>
    <w:p>
      <w:pPr>
        <w:pStyle w:val="TextBody"/>
        <w:bidi w:val="0"/>
        <w:spacing w:lineRule="auto" w:line="288" w:before="0" w:after="200"/>
        <w:jc w:val="left"/>
        <w:rPr>
          <w:rFonts w:ascii="Adelle Sans;sans-serif" w:hAnsi="Adelle Sans;sans-serif"/>
          <w:b/>
          <w:i/>
          <w:color w:val="000000"/>
          <w:sz w:val="20"/>
        </w:rPr>
      </w:pPr>
      <w:bookmarkStart w:id="67" w:name="i85aecbec29f547cf82da209fcc71b8fc"/>
      <w:bookmarkEnd w:id="67"/>
      <w:r>
        <w:rPr>
          <w:rFonts w:ascii="Adelle Sans;sans-serif" w:hAnsi="Adelle Sans;sans-serif"/>
          <w:b/>
          <w:i/>
          <w:color w:val="000000"/>
          <w:sz w:val="20"/>
        </w:rPr>
        <w:t xml:space="preserve">Change in Revenue Mix </w:t>
      </w:r>
    </w:p>
    <w:p>
      <w:pPr>
        <w:pStyle w:val="TextBody"/>
        <w:bidi w:val="0"/>
        <w:spacing w:lineRule="auto" w:line="288" w:before="0" w:after="200"/>
        <w:jc w:val="both"/>
        <w:rPr>
          <w:rFonts w:ascii="Adelle Sans Light;sans-serif" w:hAnsi="Adelle Sans Light;sans-serif"/>
          <w:b w:val="false"/>
          <w:color w:val="000000"/>
          <w:sz w:val="20"/>
        </w:rPr>
      </w:pPr>
      <w:r>
        <w:rPr>
          <w:rFonts w:ascii="Adelle Sans Light;sans-serif" w:hAnsi="Adelle Sans Light;sans-serif"/>
          <w:b w:val="false"/>
          <w:color w:val="000000"/>
          <w:sz w:val="20"/>
        </w:rPr>
        <w:t>As a result of the continued growth of Shopify Payments, referral fees, other transaction services and other services rendered as part of strategic partnerships and Shopify Capital, our revenues from merchant solutions have increased. Merchant solutions are intended to complement subscription solutions by providing additional value to our merchants and increasing their use of our platform. Gross profit margins on Shopify Payments, the biggest driver of merchant solutions revenue, are typically lower than on subscription solutions due to the associated third-party costs of providing this solution. We view this revenue stream as beneficial to our operating margins, as Shopify Payments requires significantly less sales and marketing and research and development expenses than Shopify’s core subscription business. The lower margins on merchant solutions compared to subscription solutions means that the continued growth of merchant solutions has caused in the past, and may cause in the future, a decline in our overall gross margin percentage.</w:t>
      </w:r>
    </w:p>
    <w:p>
      <w:pPr>
        <w:pStyle w:val="TextBody"/>
        <w:bidi w:val="0"/>
        <w:spacing w:lineRule="auto" w:line="288" w:before="0" w:after="200"/>
        <w:jc w:val="left"/>
        <w:rPr>
          <w:rFonts w:ascii="Adelle Sans;sans-serif" w:hAnsi="Adelle Sans;sans-serif"/>
          <w:b/>
          <w:i/>
          <w:color w:val="000000"/>
          <w:sz w:val="20"/>
        </w:rPr>
      </w:pPr>
      <w:bookmarkStart w:id="68" w:name="i9a0843fd82dc4ca6a07844645a415655"/>
      <w:bookmarkEnd w:id="68"/>
      <w:r>
        <w:rPr>
          <w:rFonts w:ascii="Adelle Sans;sans-serif" w:hAnsi="Adelle Sans;sans-serif"/>
          <w:b/>
          <w:i/>
          <w:color w:val="000000"/>
          <w:sz w:val="20"/>
        </w:rPr>
        <w:t xml:space="preserve">Seasonality </w:t>
      </w:r>
    </w:p>
    <w:p>
      <w:pPr>
        <w:pStyle w:val="TextBody"/>
        <w:bidi w:val="0"/>
        <w:spacing w:lineRule="auto" w:line="288" w:before="0" w:after="200"/>
        <w:jc w:val="both"/>
        <w:rPr>
          <w:rFonts w:ascii="Adelle Sans Light;sans-serif" w:hAnsi="Adelle Sans Light;sans-serif"/>
          <w:b w:val="false"/>
          <w:color w:val="000000"/>
          <w:sz w:val="20"/>
        </w:rPr>
      </w:pPr>
      <w:r>
        <w:rPr>
          <w:rFonts w:ascii="Adelle Sans Light;sans-serif" w:hAnsi="Adelle Sans Light;sans-serif"/>
          <w:b w:val="false"/>
          <w:color w:val="000000"/>
          <w:sz w:val="20"/>
        </w:rPr>
        <w:t xml:space="preserve">Our merchant solutions revenues are directionally correlated with the level of GMV that our merchants facilitated through our platform. Our merchants typically process additional GMV during the fourth quarter holiday season. As a result, we have historically generated higher merchant solutions revenues in our fourth quarter than in other quarters. While we believe that this seasonality has affected and will continue to affect our quarterly results, our continued growth has partially masked seasonal trends to date. As a result of the continued growth of our merchant solutions offerings, we believe that our business may become more seasonal in the future and that historical patterns in our business may not be a reliable indicator of our future performance.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7955"/>
                <wp:effectExtent l="0" t="0" r="0" b="0"/>
                <wp:wrapNone/>
                <wp:docPr id="29" name="Frame28"/>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200"/>
                              <w:jc w:val="center"/>
                              <w:rPr>
                                <w:rFonts w:ascii="Adelle Sans Light;sans-serif" w:hAnsi="Adelle Sans Light;sans-serif"/>
                                <w:b w:val="false"/>
                                <w:color w:val="000000"/>
                                <w:sz w:val="20"/>
                              </w:rPr>
                            </w:pPr>
                            <w:r>
                              <w:rPr>
                                <w:rFonts w:ascii="Adelle Sans Light;sans-serif" w:hAnsi="Adelle Sans Light;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Adelle Sans Light;sans-serif" w:hAnsi="Adelle Sans Light;sans-serif"/>
                          <w:b w:val="false"/>
                          <w:color w:val="000000"/>
                          <w:sz w:val="20"/>
                        </w:rPr>
                      </w:pPr>
                      <w:r>
                        <w:rPr>
                          <w:rFonts w:ascii="Adelle Sans Light;sans-serif" w:hAnsi="Adelle Sans Light;sans-serif"/>
                          <w:b w:val="false"/>
                          <w:color w:val="000000"/>
                          <w:sz w:val="20"/>
                        </w:rPr>
                        <w:t>28</w:t>
                      </w:r>
                    </w:p>
                  </w:txbxContent>
                </v:textbox>
                <w10:wrap type="none"/>
              </v:rect>
            </w:pict>
          </mc:Fallback>
        </mc:AlternateContent>
      </w:r>
    </w:p>
    <w:p>
      <w:pPr>
        <w:pStyle w:val="TextBody"/>
        <w:bidi w:val="0"/>
        <w:spacing w:lineRule="auto" w:line="288" w:before="0" w:after="200"/>
        <w:jc w:val="both"/>
        <w:rPr/>
      </w:pPr>
      <w:hyperlink w:anchor="iccccf23fa31e44f0aa82c99ca0859db8_7">
        <w:r>
          <w:rPr>
            <w:rStyle w:val="InternetLink"/>
            <w:rFonts w:ascii="Adelle Sans Light;sans-serif" w:hAnsi="Adelle Sans Light;sans-serif"/>
            <w:b w:val="false"/>
            <w:color w:val="0000FF"/>
            <w:sz w:val="20"/>
            <w:u w:val="single"/>
          </w:rPr>
          <w:t>Table of Contents</w:t>
        </w:r>
      </w:hyperlink>
    </w:p>
    <w:p>
      <w:pPr>
        <w:pStyle w:val="TextBody"/>
        <w:bidi w:val="0"/>
        <w:spacing w:lineRule="auto" w:line="288" w:before="0" w:after="200"/>
        <w:jc w:val="left"/>
        <w:rPr>
          <w:rFonts w:ascii="Adelle Sans;sans-serif" w:hAnsi="Adelle Sans;sans-serif"/>
          <w:b/>
          <w:i/>
          <w:color w:val="000000"/>
          <w:sz w:val="20"/>
        </w:rPr>
      </w:pPr>
      <w:bookmarkStart w:id="69" w:name="i4dfc75aff2844d05bedef3a4f99543d0"/>
      <w:bookmarkEnd w:id="69"/>
      <w:r>
        <w:rPr>
          <w:rFonts w:ascii="Adelle Sans;sans-serif" w:hAnsi="Adelle Sans;sans-serif"/>
          <w:b/>
          <w:i/>
          <w:color w:val="000000"/>
          <w:sz w:val="20"/>
        </w:rPr>
        <w:t xml:space="preserve">Foreign Currency Fluctuations </w:t>
      </w:r>
    </w:p>
    <w:p>
      <w:pPr>
        <w:pStyle w:val="TextBody"/>
        <w:bidi w:val="0"/>
        <w:spacing w:lineRule="auto" w:line="288" w:before="0" w:after="200"/>
        <w:jc w:val="both"/>
        <w:rPr>
          <w:rFonts w:ascii="Adelle Sans Light;sans-serif" w:hAnsi="Adelle Sans Light;sans-serif"/>
          <w:b w:val="false"/>
          <w:color w:val="000000"/>
          <w:sz w:val="20"/>
        </w:rPr>
      </w:pPr>
      <w:r>
        <w:rPr>
          <w:rFonts w:ascii="Adelle Sans Light;sans-serif" w:hAnsi="Adelle Sans Light;sans-serif"/>
          <w:b w:val="false"/>
          <w:color w:val="000000"/>
          <w:sz w:val="20"/>
        </w:rPr>
        <w:t>While the majority of our revenues, cost of revenues and operating expenses are denominated in USD, a significant portion are denominated in foreign currencies. Due to offering Shopify Payments, Shopify Capital, subscriptions and other billings to select countries in local currency, a significant proportion of revenue transactions are denominated in EUR, GBP and CAD. A significant proportion of operating expenses are also incurred and expected to be included in the aforementioned foreign currencies. To help mitigate the impacts associated with foreign currency fluctuations on future cash flows from operating expenses, we maintain a portfolio of foreign exchange forward contracts and options designated as hedging instruments. As our operations continue to expand internationally, we may be exposed to additional fluctuations in other foreign currencies. Refer to Part I — Item 3 "Quantitative and Qualitative Disclosures About Market Risk" in this Quarterly Report on Form 10-Q for additional information on the effect on reported results of changes in foreign exchange rates.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left"/>
        <w:rPr>
          <w:rFonts w:ascii="Adelle Sans;sans-serif" w:hAnsi="Adelle Sans;sans-serif"/>
          <w:b/>
          <w:color w:val="000000"/>
          <w:sz w:val="20"/>
        </w:rPr>
      </w:pPr>
      <w:bookmarkStart w:id="70" w:name="i9dd9de913f294ceebc04fe0c0ffe9808"/>
      <w:bookmarkEnd w:id="70"/>
      <w:r>
        <w:rPr>
          <w:rFonts w:ascii="Adelle Sans;sans-serif" w:hAnsi="Adelle Sans;sans-serif"/>
          <w:b/>
          <w:color w:val="000000"/>
          <w:sz w:val="20"/>
        </w:rPr>
        <w:t xml:space="preserve">Key Components of Results of Operations </w:t>
      </w:r>
    </w:p>
    <w:p>
      <w:pPr>
        <w:pStyle w:val="TextBody"/>
        <w:bidi w:val="0"/>
        <w:spacing w:lineRule="auto" w:line="288" w:before="0" w:after="200"/>
        <w:jc w:val="both"/>
        <w:rPr>
          <w:rFonts w:ascii="Adelle Sans Light;sans-serif" w:hAnsi="Adelle Sans Light;sans-serif"/>
          <w:b w:val="false"/>
          <w:color w:val="000000"/>
          <w:sz w:val="20"/>
        </w:rPr>
      </w:pPr>
      <w:r>
        <w:rPr>
          <w:rFonts w:ascii="Adelle Sans Light;sans-serif" w:hAnsi="Adelle Sans Light;sans-serif"/>
          <w:b w:val="false"/>
          <w:color w:val="000000"/>
          <w:sz w:val="20"/>
        </w:rPr>
        <w:t>See Part II — Item 7 "Management's Discussion and Analysis of Financial Condition and Results of Operations" in our 2025 Form 10-K for details on the key components of results of operations. There have been no material changes to our key components of results of operations during the six months ended June 30, 2026, as compared to those described in our 2025 Form 10-K.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7955"/>
                <wp:effectExtent l="0" t="0" r="0" b="0"/>
                <wp:wrapNone/>
                <wp:docPr id="30" name="Frame29"/>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200"/>
                              <w:jc w:val="center"/>
                              <w:rPr>
                                <w:rFonts w:ascii="Adelle Sans Light;sans-serif" w:hAnsi="Adelle Sans Light;sans-serif"/>
                                <w:b w:val="false"/>
                                <w:color w:val="000000"/>
                                <w:sz w:val="20"/>
                              </w:rPr>
                            </w:pPr>
                            <w:r>
                              <w:rPr>
                                <w:rFonts w:ascii="Adelle Sans Light;sans-serif" w:hAnsi="Adelle Sans Light;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Adelle Sans Light;sans-serif" w:hAnsi="Adelle Sans Light;sans-serif"/>
                          <w:b w:val="false"/>
                          <w:color w:val="000000"/>
                          <w:sz w:val="20"/>
                        </w:rPr>
                      </w:pPr>
                      <w:r>
                        <w:rPr>
                          <w:rFonts w:ascii="Adelle Sans Light;sans-serif" w:hAnsi="Adelle Sans Light;sans-serif"/>
                          <w:b w:val="false"/>
                          <w:color w:val="000000"/>
                          <w:sz w:val="20"/>
                        </w:rPr>
                        <w:t>29</w:t>
                      </w:r>
                    </w:p>
                  </w:txbxContent>
                </v:textbox>
                <w10:wrap type="none"/>
              </v:rect>
            </w:pict>
          </mc:Fallback>
        </mc:AlternateContent>
      </w:r>
    </w:p>
    <w:p>
      <w:pPr>
        <w:pStyle w:val="TextBody"/>
        <w:bidi w:val="0"/>
        <w:spacing w:lineRule="auto" w:line="288" w:before="0" w:after="200"/>
        <w:jc w:val="both"/>
        <w:rPr/>
      </w:pPr>
      <w:hyperlink w:anchor="iccccf23fa31e44f0aa82c99ca0859db8_7">
        <w:r>
          <w:rPr>
            <w:rStyle w:val="InternetLink"/>
            <w:rFonts w:ascii="Adelle Sans Light;sans-serif" w:hAnsi="Adelle Sans Light;sans-serif"/>
            <w:b w:val="false"/>
            <w:color w:val="0000FF"/>
            <w:sz w:val="20"/>
            <w:u w:val="single"/>
          </w:rPr>
          <w:t>Table of Contents</w:t>
        </w:r>
      </w:hyperlink>
    </w:p>
    <w:p>
      <w:pPr>
        <w:pStyle w:val="TextBody"/>
        <w:bidi w:val="0"/>
        <w:spacing w:lineRule="auto" w:line="288" w:before="0" w:after="200"/>
        <w:jc w:val="left"/>
        <w:rPr>
          <w:rFonts w:ascii="Adelle Sans;sans-serif" w:hAnsi="Adelle Sans;sans-serif"/>
          <w:b/>
          <w:color w:val="000000"/>
          <w:sz w:val="20"/>
        </w:rPr>
      </w:pPr>
      <w:bookmarkStart w:id="71" w:name="i9985148f76024607b12d93332e27ccf2"/>
      <w:bookmarkEnd w:id="71"/>
      <w:r>
        <w:rPr>
          <w:rFonts w:ascii="Adelle Sans;sans-serif" w:hAnsi="Adelle Sans;sans-serif"/>
          <w:b/>
          <w:color w:val="000000"/>
          <w:sz w:val="20"/>
        </w:rPr>
        <w:t xml:space="preserve">Quarterly Results of Operations </w:t>
      </w:r>
    </w:p>
    <w:p>
      <w:pPr>
        <w:pStyle w:val="TextBody"/>
        <w:bidi w:val="0"/>
        <w:spacing w:lineRule="auto" w:line="288" w:before="0" w:after="200"/>
        <w:jc w:val="both"/>
        <w:rPr>
          <w:rFonts w:ascii="Adelle Sans Light;sans-serif" w:hAnsi="Adelle Sans Light;sans-serif"/>
          <w:b w:val="false"/>
          <w:color w:val="000000"/>
          <w:sz w:val="20"/>
        </w:rPr>
      </w:pPr>
      <w:r>
        <w:rPr>
          <w:rFonts w:ascii="Adelle Sans Light;sans-serif" w:hAnsi="Adelle Sans Light;sans-serif"/>
          <w:b w:val="false"/>
          <w:color w:val="000000"/>
          <w:sz w:val="20"/>
        </w:rPr>
        <w:t>The following table sets forth a summary of our condensed consolidated statements of operations for the three and six months ended June 30, 2026 and 2025:</w:t>
      </w:r>
    </w:p>
    <w:tbl>
      <w:tblPr>
        <w:tblW w:w="10205" w:type="dxa"/>
        <w:jc w:val="left"/>
        <w:tblInd w:w="0" w:type="dxa"/>
        <w:tblLayout w:type="fixed"/>
        <w:tblCellMar>
          <w:top w:w="28" w:type="dxa"/>
          <w:left w:w="28" w:type="dxa"/>
          <w:bottom w:w="28" w:type="dxa"/>
          <w:right w:w="28" w:type="dxa"/>
        </w:tblCellMar>
      </w:tblPr>
      <w:tblGrid>
        <w:gridCol w:w="871"/>
        <w:gridCol w:w="607"/>
        <w:gridCol w:w="612"/>
        <w:gridCol w:w="430"/>
        <w:gridCol w:w="1116"/>
        <w:gridCol w:w="112"/>
        <w:gridCol w:w="112"/>
        <w:gridCol w:w="112"/>
        <w:gridCol w:w="112"/>
        <w:gridCol w:w="430"/>
        <w:gridCol w:w="1116"/>
        <w:gridCol w:w="112"/>
        <w:gridCol w:w="109"/>
        <w:gridCol w:w="109"/>
        <w:gridCol w:w="109"/>
        <w:gridCol w:w="430"/>
        <w:gridCol w:w="1116"/>
        <w:gridCol w:w="111"/>
        <w:gridCol w:w="111"/>
        <w:gridCol w:w="111"/>
        <w:gridCol w:w="111"/>
        <w:gridCol w:w="430"/>
        <w:gridCol w:w="1116"/>
        <w:gridCol w:w="111"/>
        <w:gridCol w:w="109"/>
        <w:gridCol w:w="109"/>
        <w:gridCol w:w="109"/>
        <w:gridCol w:w="162"/>
      </w:tblGrid>
      <w:tr>
        <w:trPr/>
        <w:tc>
          <w:tcPr>
            <w:tcW w:w="871" w:type="dxa"/>
            <w:tcBorders/>
            <w:vAlign w:val="center"/>
          </w:tcPr>
          <w:p>
            <w:pPr>
              <w:pStyle w:val="TableContents"/>
              <w:bidi w:val="0"/>
              <w:spacing w:before="0" w:after="283"/>
              <w:jc w:val="left"/>
              <w:rPr>
                <w:sz w:val="4"/>
                <w:szCs w:val="4"/>
              </w:rPr>
            </w:pPr>
            <w:r>
              <w:rPr>
                <w:sz w:val="4"/>
                <w:szCs w:val="4"/>
              </w:rPr>
            </w:r>
          </w:p>
        </w:tc>
        <w:tc>
          <w:tcPr>
            <w:tcW w:w="607"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1116"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1116"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1116"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1116"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0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2"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delle Sans;sans-serif" w:hAnsi="Adelle Sans;sans-serif"/>
                <w:b/>
                <w:color w:val="000000"/>
                <w:sz w:val="18"/>
              </w:rPr>
            </w:pPr>
            <w:r>
              <w:rPr>
                <w:rFonts w:ascii="Adelle Sans;sans-serif" w:hAnsi="Adelle Sans;sans-serif"/>
                <w:b/>
                <w:color w:val="000000"/>
                <w:sz w:val="18"/>
              </w:rPr>
              <w:t>Three months ended June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7"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delle Sans;sans-serif" w:hAnsi="Adelle Sans;sans-serif"/>
                <w:b/>
                <w:color w:val="000000"/>
                <w:sz w:val="18"/>
              </w:rPr>
            </w:pPr>
            <w:r>
              <w:rPr>
                <w:rFonts w:ascii="Adelle Sans;sans-serif" w:hAnsi="Adelle Sans;sans-serif"/>
                <w:b/>
                <w:color w:val="000000"/>
                <w:sz w:val="18"/>
              </w:rPr>
              <w:t>Six months ended June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1" w:type="dxa"/>
            <w:gridSpan w:val="2"/>
            <w:tcBorders/>
          </w:tcPr>
          <w:p>
            <w:pPr>
              <w:pStyle w:val="TableContents"/>
              <w:bidi w:val="0"/>
              <w:spacing w:before="0" w:after="283"/>
              <w:jc w:val="left"/>
              <w:rPr>
                <w:sz w:val="4"/>
                <w:szCs w:val="4"/>
              </w:rPr>
            </w:pPr>
            <w:r>
              <w:rPr>
                <w:sz w:val="4"/>
                <w:szCs w:val="4"/>
              </w:rPr>
            </w:r>
          </w:p>
        </w:tc>
      </w:tr>
      <w:tr>
        <w:trPr/>
        <w:tc>
          <w:tcPr>
            <w:tcW w:w="20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8"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Adelle Sans;sans-serif" w:hAnsi="Adelle Sans;sans-serif"/>
                <w:b/>
                <w:color w:val="000000"/>
                <w:sz w:val="18"/>
              </w:rPr>
            </w:pPr>
            <w:r>
              <w:rPr>
                <w:rFonts w:ascii="Adelle Sans;sans-serif" w:hAnsi="Adelle Sans;sans-serif"/>
                <w:b/>
                <w:color w:val="000000"/>
                <w:sz w:val="18"/>
              </w:rPr>
              <w:t>2026</w:t>
            </w:r>
          </w:p>
        </w:tc>
        <w:tc>
          <w:tcPr>
            <w:tcW w:w="336"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658"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Adelle Sans;sans-serif" w:hAnsi="Adelle Sans;sans-serif"/>
                <w:b/>
                <w:color w:val="000000"/>
                <w:sz w:val="18"/>
              </w:rPr>
            </w:pPr>
            <w:r>
              <w:rPr>
                <w:rFonts w:ascii="Adelle Sans;sans-serif" w:hAnsi="Adelle Sans;sans-serif"/>
                <w:b/>
                <w:color w:val="000000"/>
                <w:sz w:val="18"/>
              </w:rPr>
              <w:t>2025</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657"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Adelle Sans;sans-serif" w:hAnsi="Adelle Sans;sans-serif"/>
                <w:b/>
                <w:color w:val="000000"/>
                <w:sz w:val="18"/>
              </w:rPr>
            </w:pPr>
            <w:r>
              <w:rPr>
                <w:rFonts w:ascii="Adelle Sans;sans-serif" w:hAnsi="Adelle Sans;sans-serif"/>
                <w:b/>
                <w:color w:val="000000"/>
                <w:sz w:val="18"/>
              </w:rPr>
              <w:t>2026</w:t>
            </w:r>
          </w:p>
        </w:tc>
        <w:tc>
          <w:tcPr>
            <w:tcW w:w="333"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657"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Adelle Sans;sans-serif" w:hAnsi="Adelle Sans;sans-serif"/>
                <w:b/>
                <w:color w:val="000000"/>
                <w:sz w:val="18"/>
              </w:rPr>
            </w:pPr>
            <w:r>
              <w:rPr>
                <w:rFonts w:ascii="Adelle Sans;sans-serif" w:hAnsi="Adelle Sans;sans-serif"/>
                <w:b/>
                <w:color w:val="000000"/>
                <w:sz w:val="18"/>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09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6" w:type="dxa"/>
            <w:gridSpan w:val="21"/>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Adelle Sans;sans-serif" w:hAnsi="Adelle Sans;sans-serif"/>
                <w:b w:val="false"/>
                <w:color w:val="000000"/>
                <w:sz w:val="18"/>
              </w:rPr>
            </w:pPr>
            <w:r>
              <w:rPr>
                <w:rFonts w:ascii="Adelle Sans;sans-serif" w:hAnsi="Adelle Sans;sans-serif"/>
                <w:b w:val="false"/>
                <w:color w:val="000000"/>
                <w:sz w:val="18"/>
              </w:rPr>
              <w:t>(in US $ millions, except share and per share amounts)</w:t>
            </w:r>
          </w:p>
        </w:tc>
        <w:tc>
          <w:tcPr>
            <w:tcW w:w="489" w:type="dxa"/>
            <w:gridSpan w:val="4"/>
            <w:tcBorders/>
          </w:tcPr>
          <w:p>
            <w:pPr>
              <w:pStyle w:val="TableContents"/>
              <w:bidi w:val="0"/>
              <w:spacing w:before="0" w:after="283"/>
              <w:jc w:val="left"/>
              <w:rPr>
                <w:sz w:val="4"/>
                <w:szCs w:val="4"/>
              </w:rPr>
            </w:pPr>
            <w:r>
              <w:rPr>
                <w:sz w:val="4"/>
                <w:szCs w:val="4"/>
              </w:rPr>
            </w:r>
          </w:p>
        </w:tc>
      </w:tr>
      <w:tr>
        <w:trPr/>
        <w:tc>
          <w:tcPr>
            <w:tcW w:w="2090" w:type="dxa"/>
            <w:gridSpan w:val="3"/>
            <w:tcBorders/>
            <w:shd w:fill="F7F7F7" w:val="clear"/>
            <w:tcMar>
              <w:top w:w="0" w:type="dxa"/>
              <w:left w:w="0" w:type="dxa"/>
              <w:bottom w:w="0" w:type="dxa"/>
              <w:right w:w="0" w:type="dxa"/>
            </w:tcMar>
            <w:vAlign w:val="center"/>
          </w:tcPr>
          <w:p>
            <w:pPr>
              <w:pStyle w:val="TableContents"/>
              <w:bidi w:val="0"/>
              <w:spacing w:lineRule="auto" w:line="240" w:before="0" w:after="283"/>
              <w:jc w:val="left"/>
              <w:rPr>
                <w:rFonts w:ascii="Adelle Sans;sans-serif" w:hAnsi="Adelle Sans;sans-serif"/>
                <w:b/>
                <w:color w:val="000000"/>
                <w:sz w:val="18"/>
              </w:rPr>
            </w:pPr>
            <w:r>
              <w:rPr>
                <w:rFonts w:ascii="Adelle Sans;sans-serif" w:hAnsi="Adelle Sans;sans-serif"/>
                <w:b/>
                <w:color w:val="000000"/>
                <w:sz w:val="18"/>
              </w:rPr>
              <w:t>Revenues</w:t>
            </w:r>
          </w:p>
        </w:tc>
        <w:tc>
          <w:tcPr>
            <w:tcW w:w="1658"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8"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7"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7"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0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delle Sans;sans-serif" w:hAnsi="Adelle Sans;sans-serif"/>
                <w:b w:val="false"/>
                <w:color w:val="000000"/>
                <w:sz w:val="18"/>
              </w:rPr>
            </w:pPr>
            <w:r>
              <w:rPr>
                <w:rFonts w:ascii="Adelle Sans;sans-serif" w:hAnsi="Adelle Sans;sans-serif"/>
                <w:b w:val="false"/>
                <w:color w:val="000000"/>
                <w:sz w:val="18"/>
              </w:rPr>
              <w:t>Subscription solutions</w:t>
            </w:r>
          </w:p>
        </w:tc>
        <w:tc>
          <w:tcPr>
            <w:tcW w:w="15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802 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656 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1,552 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1,276 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090" w:type="dxa"/>
            <w:gridSpan w:val="3"/>
            <w:tcBorders/>
            <w:shd w:fill="F7F7F7" w:val="clear"/>
            <w:tcMar>
              <w:top w:w="0" w:type="dxa"/>
              <w:left w:w="0" w:type="dxa"/>
              <w:bottom w:w="0" w:type="dxa"/>
              <w:right w:w="0" w:type="dxa"/>
            </w:tcMar>
            <w:vAlign w:val="center"/>
          </w:tcPr>
          <w:p>
            <w:pPr>
              <w:pStyle w:val="TableContents"/>
              <w:bidi w:val="0"/>
              <w:spacing w:lineRule="auto" w:line="240" w:before="0" w:after="283"/>
              <w:jc w:val="left"/>
              <w:rPr>
                <w:rFonts w:ascii="Adelle Sans;sans-serif" w:hAnsi="Adelle Sans;sans-serif"/>
                <w:b w:val="false"/>
                <w:color w:val="000000"/>
                <w:sz w:val="18"/>
              </w:rPr>
            </w:pPr>
            <w:r>
              <w:rPr>
                <w:rFonts w:ascii="Adelle Sans;sans-serif" w:hAnsi="Adelle Sans;sans-serif"/>
                <w:b w:val="false"/>
                <w:color w:val="000000"/>
                <w:sz w:val="18"/>
              </w:rPr>
              <w:t>Merchant solutions</w:t>
            </w:r>
          </w:p>
        </w:tc>
        <w:tc>
          <w:tcPr>
            <w:tcW w:w="1546" w:type="dxa"/>
            <w:gridSpan w:val="2"/>
            <w:tcBorders/>
            <w:shd w:fill="F7F7F7"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2,781 </w:t>
            </w:r>
          </w:p>
        </w:tc>
        <w:tc>
          <w:tcPr>
            <w:tcW w:w="112" w:type="dxa"/>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6" w:type="dxa"/>
            <w:gridSpan w:val="2"/>
            <w:tcBorders/>
            <w:shd w:fill="F7F7F7"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2,024 </w:t>
            </w:r>
          </w:p>
        </w:tc>
        <w:tc>
          <w:tcPr>
            <w:tcW w:w="112" w:type="dxa"/>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6" w:type="dxa"/>
            <w:gridSpan w:val="2"/>
            <w:tcBorders/>
            <w:shd w:fill="F7F7F7"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5,201 </w:t>
            </w:r>
          </w:p>
        </w:tc>
        <w:tc>
          <w:tcPr>
            <w:tcW w:w="111" w:type="dxa"/>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6" w:type="dxa"/>
            <w:gridSpan w:val="2"/>
            <w:tcBorders/>
            <w:shd w:fill="F7F7F7"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3,764 </w:t>
            </w:r>
          </w:p>
        </w:tc>
        <w:tc>
          <w:tcPr>
            <w:tcW w:w="111" w:type="dxa"/>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0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6"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delle Sans;sans-serif" w:hAnsi="Adelle Sans;sans-serif"/>
                <w:b/>
                <w:color w:val="000000"/>
                <w:sz w:val="18"/>
              </w:rPr>
              <w:t>3,583</w:t>
            </w:r>
            <w:r>
              <w:rPr>
                <w:color w:val="000000"/>
              </w:rPr>
              <w:t> </w:t>
            </w:r>
          </w:p>
        </w:tc>
        <w:tc>
          <w:tcPr>
            <w:tcW w:w="112"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6"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delle Sans;sans-serif" w:hAnsi="Adelle Sans;sans-serif"/>
                <w:b/>
                <w:color w:val="000000"/>
                <w:sz w:val="18"/>
              </w:rPr>
              <w:t>2,680</w:t>
            </w:r>
            <w:r>
              <w:rPr>
                <w:color w:val="000000"/>
              </w:rPr>
              <w:t> </w:t>
            </w:r>
          </w:p>
        </w:tc>
        <w:tc>
          <w:tcPr>
            <w:tcW w:w="112"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6"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delle Sans;sans-serif" w:hAnsi="Adelle Sans;sans-serif"/>
                <w:b/>
                <w:color w:val="000000"/>
                <w:sz w:val="18"/>
              </w:rPr>
              <w:t>6,753</w:t>
            </w:r>
            <w:r>
              <w:rPr>
                <w:color w:val="000000"/>
              </w:rPr>
              <w:t> </w:t>
            </w:r>
          </w:p>
        </w:tc>
        <w:tc>
          <w:tcPr>
            <w:tcW w:w="111"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6"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delle Sans;sans-serif" w:hAnsi="Adelle Sans;sans-serif"/>
                <w:b/>
                <w:color w:val="000000"/>
                <w:sz w:val="18"/>
              </w:rPr>
              <w:t>5,040</w:t>
            </w:r>
            <w:r>
              <w:rPr>
                <w:color w:val="000000"/>
              </w:rPr>
              <w:t> </w:t>
            </w:r>
          </w:p>
        </w:tc>
        <w:tc>
          <w:tcPr>
            <w:tcW w:w="111"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090" w:type="dxa"/>
            <w:gridSpan w:val="3"/>
            <w:tcBorders>
              <w:top w:val="single" w:sz="8" w:space="0" w:color="000000"/>
            </w:tcBorders>
            <w:shd w:fill="F7F7F7" w:val="clear"/>
            <w:tcMar>
              <w:top w:w="52" w:type="dxa"/>
              <w:left w:w="0" w:type="dxa"/>
              <w:bottom w:w="0" w:type="dxa"/>
              <w:right w:w="0" w:type="dxa"/>
            </w:tcMar>
            <w:vAlign w:val="center"/>
          </w:tcPr>
          <w:p>
            <w:pPr>
              <w:pStyle w:val="TableContents"/>
              <w:bidi w:val="0"/>
              <w:spacing w:lineRule="auto" w:line="240" w:before="0" w:after="0"/>
              <w:jc w:val="left"/>
              <w:rPr/>
            </w:pPr>
            <w:r>
              <w:rPr>
                <w:rFonts w:ascii="Adelle Sans;sans-serif" w:hAnsi="Adelle Sans;sans-serif"/>
                <w:b/>
                <w:color w:val="000000"/>
                <w:sz w:val="18"/>
              </w:rPr>
              <w:t>Cost of revenues</w:t>
            </w:r>
            <w:r>
              <w:rPr>
                <w:rFonts w:ascii="Adelle Sans;sans-serif" w:hAnsi="Adelle Sans;sans-serif"/>
                <w:b/>
                <w:color w:val="000000"/>
                <w:sz w:val="12"/>
              </w:rPr>
              <w:t>(1)(2)</w:t>
            </w:r>
          </w:p>
        </w:tc>
        <w:tc>
          <w:tcPr>
            <w:tcW w:w="1658" w:type="dxa"/>
            <w:gridSpan w:val="3"/>
            <w:tcBorders>
              <w:top w:val="single" w:sz="8" w:space="0" w:color="000000"/>
            </w:tcBorders>
            <w:shd w:fill="F7F7F7"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op w:val="single" w:sz="8" w:space="0" w:color="000000"/>
            </w:tcBorders>
            <w:shd w:fill="F7F7F7"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8" w:type="dxa"/>
            <w:gridSpan w:val="3"/>
            <w:tcBorders>
              <w:top w:val="single" w:sz="8" w:space="0" w:color="000000"/>
            </w:tcBorders>
            <w:shd w:fill="F7F7F7"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7F7F7"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7" w:type="dxa"/>
            <w:gridSpan w:val="3"/>
            <w:tcBorders>
              <w:top w:val="single" w:sz="8" w:space="0" w:color="000000"/>
            </w:tcBorders>
            <w:shd w:fill="F7F7F7"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op w:val="single" w:sz="8" w:space="0" w:color="000000"/>
            </w:tcBorders>
            <w:shd w:fill="F7F7F7"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7" w:type="dxa"/>
            <w:gridSpan w:val="3"/>
            <w:tcBorders>
              <w:top w:val="single" w:sz="8" w:space="0" w:color="000000"/>
            </w:tcBorders>
            <w:shd w:fill="F7F7F7"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0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delle Sans;sans-serif" w:hAnsi="Adelle Sans;sans-serif"/>
                <w:b w:val="false"/>
                <w:color w:val="000000"/>
                <w:sz w:val="18"/>
              </w:rPr>
            </w:pPr>
            <w:r>
              <w:rPr>
                <w:rFonts w:ascii="Adelle Sans;sans-serif" w:hAnsi="Adelle Sans;sans-serif"/>
                <w:b w:val="false"/>
                <w:color w:val="000000"/>
                <w:sz w:val="18"/>
              </w:rPr>
              <w:t>Subscription solutions</w:t>
            </w:r>
          </w:p>
        </w:tc>
        <w:tc>
          <w:tcPr>
            <w:tcW w:w="15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163 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121 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311 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244 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090" w:type="dxa"/>
            <w:gridSpan w:val="3"/>
            <w:tcBorders/>
            <w:shd w:fill="F7F7F7" w:val="clear"/>
            <w:tcMar>
              <w:top w:w="0" w:type="dxa"/>
              <w:left w:w="0" w:type="dxa"/>
              <w:bottom w:w="0" w:type="dxa"/>
              <w:right w:w="0" w:type="dxa"/>
            </w:tcMar>
            <w:vAlign w:val="center"/>
          </w:tcPr>
          <w:p>
            <w:pPr>
              <w:pStyle w:val="TableContents"/>
              <w:bidi w:val="0"/>
              <w:spacing w:lineRule="auto" w:line="240" w:before="0" w:after="283"/>
              <w:jc w:val="left"/>
              <w:rPr>
                <w:rFonts w:ascii="Adelle Sans;sans-serif" w:hAnsi="Adelle Sans;sans-serif"/>
                <w:b w:val="false"/>
                <w:color w:val="000000"/>
                <w:sz w:val="18"/>
              </w:rPr>
            </w:pPr>
            <w:r>
              <w:rPr>
                <w:rFonts w:ascii="Adelle Sans;sans-serif" w:hAnsi="Adelle Sans;sans-serif"/>
                <w:b w:val="false"/>
                <w:color w:val="000000"/>
                <w:sz w:val="18"/>
              </w:rPr>
              <w:t>Merchant solutions</w:t>
            </w:r>
          </w:p>
        </w:tc>
        <w:tc>
          <w:tcPr>
            <w:tcW w:w="1546" w:type="dxa"/>
            <w:gridSpan w:val="2"/>
            <w:tcBorders/>
            <w:shd w:fill="F7F7F7"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1,712 </w:t>
            </w:r>
          </w:p>
        </w:tc>
        <w:tc>
          <w:tcPr>
            <w:tcW w:w="112" w:type="dxa"/>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6" w:type="dxa"/>
            <w:gridSpan w:val="2"/>
            <w:tcBorders/>
            <w:shd w:fill="F7F7F7"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1,257 </w:t>
            </w:r>
          </w:p>
        </w:tc>
        <w:tc>
          <w:tcPr>
            <w:tcW w:w="112" w:type="dxa"/>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6" w:type="dxa"/>
            <w:gridSpan w:val="2"/>
            <w:tcBorders/>
            <w:shd w:fill="F7F7F7"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3,188 </w:t>
            </w:r>
          </w:p>
        </w:tc>
        <w:tc>
          <w:tcPr>
            <w:tcW w:w="111" w:type="dxa"/>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6" w:type="dxa"/>
            <w:gridSpan w:val="2"/>
            <w:tcBorders/>
            <w:shd w:fill="F7F7F7"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2,325 </w:t>
            </w:r>
          </w:p>
        </w:tc>
        <w:tc>
          <w:tcPr>
            <w:tcW w:w="111" w:type="dxa"/>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0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6"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1,875 </w:t>
            </w:r>
          </w:p>
        </w:tc>
        <w:tc>
          <w:tcPr>
            <w:tcW w:w="112"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6"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1,378 </w:t>
            </w:r>
          </w:p>
        </w:tc>
        <w:tc>
          <w:tcPr>
            <w:tcW w:w="112"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6"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3,499 </w:t>
            </w:r>
          </w:p>
        </w:tc>
        <w:tc>
          <w:tcPr>
            <w:tcW w:w="111"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6"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2,569 </w:t>
            </w:r>
          </w:p>
        </w:tc>
        <w:tc>
          <w:tcPr>
            <w:tcW w:w="111"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090" w:type="dxa"/>
            <w:gridSpan w:val="3"/>
            <w:tcBorders>
              <w:top w:val="single" w:sz="8" w:space="0" w:color="000000"/>
            </w:tcBorders>
            <w:shd w:fill="F7F7F7" w:val="clear"/>
            <w:tcMar>
              <w:top w:w="52" w:type="dxa"/>
              <w:left w:w="0" w:type="dxa"/>
              <w:bottom w:w="0" w:type="dxa"/>
              <w:right w:w="0" w:type="dxa"/>
            </w:tcMar>
            <w:vAlign w:val="center"/>
          </w:tcPr>
          <w:p>
            <w:pPr>
              <w:pStyle w:val="TableContents"/>
              <w:bidi w:val="0"/>
              <w:spacing w:lineRule="auto" w:line="240" w:before="0" w:after="283"/>
              <w:jc w:val="left"/>
              <w:rPr>
                <w:rFonts w:ascii="Adelle Sans;sans-serif" w:hAnsi="Adelle Sans;sans-serif"/>
                <w:b/>
                <w:color w:val="000000"/>
                <w:sz w:val="18"/>
              </w:rPr>
            </w:pPr>
            <w:r>
              <w:rPr>
                <w:rFonts w:ascii="Adelle Sans;sans-serif" w:hAnsi="Adelle Sans;sans-serif"/>
                <w:b/>
                <w:color w:val="000000"/>
                <w:sz w:val="18"/>
              </w:rPr>
              <w:t>Gross profit</w:t>
            </w:r>
          </w:p>
        </w:tc>
        <w:tc>
          <w:tcPr>
            <w:tcW w:w="1546" w:type="dxa"/>
            <w:gridSpan w:val="2"/>
            <w:tcBorders>
              <w:top w:val="single" w:sz="8" w:space="0" w:color="000000"/>
            </w:tcBorders>
            <w:shd w:fill="F7F7F7" w:val="clear"/>
            <w:tcMar>
              <w:top w:w="52"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1,708 </w:t>
            </w:r>
          </w:p>
        </w:tc>
        <w:tc>
          <w:tcPr>
            <w:tcW w:w="112" w:type="dxa"/>
            <w:tcBorders>
              <w:top w:val="single" w:sz="8" w:space="0" w:color="000000"/>
            </w:tcBorders>
            <w:shd w:fill="F7F7F7"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op w:val="single" w:sz="8" w:space="0" w:color="000000"/>
            </w:tcBorders>
            <w:shd w:fill="F7F7F7"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6" w:type="dxa"/>
            <w:gridSpan w:val="2"/>
            <w:tcBorders>
              <w:top w:val="single" w:sz="8" w:space="0" w:color="000000"/>
            </w:tcBorders>
            <w:shd w:fill="F7F7F7" w:val="clear"/>
            <w:tcMar>
              <w:top w:w="52"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1,302 </w:t>
            </w:r>
          </w:p>
        </w:tc>
        <w:tc>
          <w:tcPr>
            <w:tcW w:w="112" w:type="dxa"/>
            <w:tcBorders>
              <w:top w:val="single" w:sz="8" w:space="0" w:color="000000"/>
            </w:tcBorders>
            <w:shd w:fill="F7F7F7"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6" w:type="dxa"/>
            <w:gridSpan w:val="2"/>
            <w:tcBorders>
              <w:top w:val="single" w:sz="8" w:space="0" w:color="000000"/>
            </w:tcBorders>
            <w:shd w:fill="F7F7F7" w:val="clear"/>
            <w:tcMar>
              <w:top w:w="52"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3,254 </w:t>
            </w:r>
          </w:p>
        </w:tc>
        <w:tc>
          <w:tcPr>
            <w:tcW w:w="111" w:type="dxa"/>
            <w:tcBorders>
              <w:top w:val="single" w:sz="8" w:space="0" w:color="000000"/>
            </w:tcBorders>
            <w:shd w:fill="F7F7F7"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op w:val="single" w:sz="8" w:space="0" w:color="000000"/>
            </w:tcBorders>
            <w:shd w:fill="F7F7F7"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6" w:type="dxa"/>
            <w:gridSpan w:val="2"/>
            <w:tcBorders>
              <w:top w:val="single" w:sz="8" w:space="0" w:color="000000"/>
            </w:tcBorders>
            <w:shd w:fill="F7F7F7" w:val="clear"/>
            <w:tcMar>
              <w:top w:w="52"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2,471 </w:t>
            </w:r>
          </w:p>
        </w:tc>
        <w:tc>
          <w:tcPr>
            <w:tcW w:w="111" w:type="dxa"/>
            <w:tcBorders>
              <w:top w:val="single" w:sz="8" w:space="0" w:color="000000"/>
            </w:tcBorders>
            <w:shd w:fill="F7F7F7"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090"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delle Sans;sans-serif" w:hAnsi="Adelle Sans;sans-serif"/>
                <w:b/>
                <w:color w:val="000000"/>
                <w:sz w:val="18"/>
              </w:rPr>
            </w:pPr>
            <w:r>
              <w:rPr>
                <w:rFonts w:ascii="Adelle Sans;sans-serif" w:hAnsi="Adelle Sans;sans-serif"/>
                <w:b/>
                <w:color w:val="000000"/>
                <w:sz w:val="18"/>
              </w:rPr>
              <w:t>Operating expenses</w:t>
            </w:r>
          </w:p>
        </w:tc>
        <w:tc>
          <w:tcPr>
            <w:tcW w:w="165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090" w:type="dxa"/>
            <w:gridSpan w:val="3"/>
            <w:tcBorders/>
            <w:shd w:fill="F7F7F7" w:val="clear"/>
            <w:tcMar>
              <w:top w:w="0" w:type="dxa"/>
              <w:left w:w="0" w:type="dxa"/>
              <w:bottom w:w="0" w:type="dxa"/>
              <w:right w:w="0" w:type="dxa"/>
            </w:tcMar>
            <w:vAlign w:val="center"/>
          </w:tcPr>
          <w:p>
            <w:pPr>
              <w:pStyle w:val="TableContents"/>
              <w:bidi w:val="0"/>
              <w:spacing w:lineRule="auto" w:line="240" w:before="0" w:after="0"/>
              <w:jc w:val="left"/>
              <w:rPr/>
            </w:pPr>
            <w:r>
              <w:rPr>
                <w:rFonts w:ascii="Adelle Sans;sans-serif" w:hAnsi="Adelle Sans;sans-serif"/>
                <w:b w:val="false"/>
                <w:color w:val="000000"/>
                <w:sz w:val="18"/>
              </w:rPr>
              <w:t>Sales and marketing</w:t>
            </w:r>
            <w:r>
              <w:rPr>
                <w:rFonts w:ascii="Adelle Sans;sans-serif" w:hAnsi="Adelle Sans;sans-serif"/>
                <w:b w:val="false"/>
                <w:color w:val="000000"/>
                <w:sz w:val="12"/>
              </w:rPr>
              <w:t>(1)</w:t>
            </w:r>
          </w:p>
        </w:tc>
        <w:tc>
          <w:tcPr>
            <w:tcW w:w="1546" w:type="dxa"/>
            <w:gridSpan w:val="2"/>
            <w:tcBorders/>
            <w:shd w:fill="F7F7F7"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498 </w:t>
            </w:r>
          </w:p>
        </w:tc>
        <w:tc>
          <w:tcPr>
            <w:tcW w:w="112" w:type="dxa"/>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6" w:type="dxa"/>
            <w:gridSpan w:val="2"/>
            <w:tcBorders/>
            <w:shd w:fill="F7F7F7"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415 </w:t>
            </w:r>
          </w:p>
        </w:tc>
        <w:tc>
          <w:tcPr>
            <w:tcW w:w="112" w:type="dxa"/>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6" w:type="dxa"/>
            <w:gridSpan w:val="2"/>
            <w:tcBorders/>
            <w:shd w:fill="F7F7F7"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994 </w:t>
            </w:r>
          </w:p>
        </w:tc>
        <w:tc>
          <w:tcPr>
            <w:tcW w:w="111" w:type="dxa"/>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6" w:type="dxa"/>
            <w:gridSpan w:val="2"/>
            <w:tcBorders/>
            <w:shd w:fill="F7F7F7"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820 </w:t>
            </w:r>
          </w:p>
        </w:tc>
        <w:tc>
          <w:tcPr>
            <w:tcW w:w="111" w:type="dxa"/>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09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delle Sans;sans-serif" w:hAnsi="Adelle Sans;sans-serif"/>
                <w:b w:val="false"/>
                <w:color w:val="000000"/>
                <w:sz w:val="18"/>
              </w:rPr>
              <w:t>Research and development</w:t>
            </w:r>
            <w:r>
              <w:rPr>
                <w:rFonts w:ascii="Adelle Sans;sans-serif" w:hAnsi="Adelle Sans;sans-serif"/>
                <w:b w:val="false"/>
                <w:color w:val="000000"/>
                <w:sz w:val="12"/>
              </w:rPr>
              <w:t>(1)(2)</w:t>
            </w:r>
          </w:p>
        </w:tc>
        <w:tc>
          <w:tcPr>
            <w:tcW w:w="15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445 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394 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882 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771 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090" w:type="dxa"/>
            <w:gridSpan w:val="3"/>
            <w:tcBorders/>
            <w:shd w:fill="F7F7F7" w:val="clear"/>
            <w:tcMar>
              <w:top w:w="0" w:type="dxa"/>
              <w:left w:w="0" w:type="dxa"/>
              <w:bottom w:w="0" w:type="dxa"/>
              <w:right w:w="0" w:type="dxa"/>
            </w:tcMar>
            <w:vAlign w:val="center"/>
          </w:tcPr>
          <w:p>
            <w:pPr>
              <w:pStyle w:val="TableContents"/>
              <w:bidi w:val="0"/>
              <w:spacing w:lineRule="auto" w:line="240" w:before="0" w:after="0"/>
              <w:jc w:val="left"/>
              <w:rPr/>
            </w:pPr>
            <w:r>
              <w:rPr>
                <w:rFonts w:ascii="Adelle Sans;sans-serif" w:hAnsi="Adelle Sans;sans-serif"/>
                <w:b w:val="false"/>
                <w:color w:val="000000"/>
                <w:sz w:val="18"/>
              </w:rPr>
              <w:t>General and administrative</w:t>
            </w:r>
            <w:r>
              <w:rPr>
                <w:rFonts w:ascii="Adelle Sans;sans-serif" w:hAnsi="Adelle Sans;sans-serif"/>
                <w:b w:val="false"/>
                <w:color w:val="000000"/>
                <w:sz w:val="12"/>
              </w:rPr>
              <w:t>(1)</w:t>
            </w:r>
          </w:p>
        </w:tc>
        <w:tc>
          <w:tcPr>
            <w:tcW w:w="1546" w:type="dxa"/>
            <w:gridSpan w:val="2"/>
            <w:tcBorders/>
            <w:shd w:fill="F7F7F7"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136 </w:t>
            </w:r>
          </w:p>
        </w:tc>
        <w:tc>
          <w:tcPr>
            <w:tcW w:w="112" w:type="dxa"/>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6" w:type="dxa"/>
            <w:gridSpan w:val="2"/>
            <w:tcBorders/>
            <w:shd w:fill="F7F7F7"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122 </w:t>
            </w:r>
          </w:p>
        </w:tc>
        <w:tc>
          <w:tcPr>
            <w:tcW w:w="112" w:type="dxa"/>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6" w:type="dxa"/>
            <w:gridSpan w:val="2"/>
            <w:tcBorders/>
            <w:shd w:fill="F7F7F7"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251 </w:t>
            </w:r>
          </w:p>
        </w:tc>
        <w:tc>
          <w:tcPr>
            <w:tcW w:w="111" w:type="dxa"/>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6" w:type="dxa"/>
            <w:gridSpan w:val="2"/>
            <w:tcBorders/>
            <w:shd w:fill="F7F7F7"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231 </w:t>
            </w:r>
          </w:p>
        </w:tc>
        <w:tc>
          <w:tcPr>
            <w:tcW w:w="111" w:type="dxa"/>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0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delle Sans;sans-serif" w:hAnsi="Adelle Sans;sans-serif"/>
                <w:b w:val="false"/>
                <w:color w:val="000000"/>
                <w:sz w:val="18"/>
              </w:rPr>
            </w:pPr>
            <w:r>
              <w:rPr>
                <w:rFonts w:ascii="Adelle Sans;sans-serif" w:hAnsi="Adelle Sans;sans-serif"/>
                <w:b w:val="false"/>
                <w:color w:val="000000"/>
                <w:sz w:val="18"/>
              </w:rPr>
              <w:t>Transaction and loan losses</w:t>
            </w:r>
          </w:p>
        </w:tc>
        <w:tc>
          <w:tcPr>
            <w:tcW w:w="15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141 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80 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257 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155 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090" w:type="dxa"/>
            <w:gridSpan w:val="3"/>
            <w:tcBorders/>
            <w:shd w:fill="F7F7F7" w:val="clear"/>
            <w:tcMar>
              <w:top w:w="0" w:type="dxa"/>
              <w:left w:w="0" w:type="dxa"/>
              <w:bottom w:w="0" w:type="dxa"/>
              <w:right w:w="0" w:type="dxa"/>
            </w:tcMar>
            <w:vAlign w:val="center"/>
          </w:tcPr>
          <w:p>
            <w:pPr>
              <w:pStyle w:val="TableContents"/>
              <w:bidi w:val="0"/>
              <w:spacing w:lineRule="auto" w:line="240" w:before="0" w:after="283"/>
              <w:jc w:val="left"/>
              <w:rPr>
                <w:rFonts w:ascii="Adelle Sans;sans-serif" w:hAnsi="Adelle Sans;sans-serif"/>
                <w:b w:val="false"/>
                <w:color w:val="000000"/>
                <w:sz w:val="18"/>
              </w:rPr>
            </w:pPr>
            <w:r>
              <w:rPr>
                <w:rFonts w:ascii="Adelle Sans;sans-serif" w:hAnsi="Adelle Sans;sans-serif"/>
                <w:b w:val="false"/>
                <w:color w:val="000000"/>
                <w:sz w:val="18"/>
              </w:rPr>
              <w:t>Total operating expenses</w:t>
            </w:r>
          </w:p>
        </w:tc>
        <w:tc>
          <w:tcPr>
            <w:tcW w:w="1546" w:type="dxa"/>
            <w:gridSpan w:val="2"/>
            <w:tcBorders>
              <w:top w:val="single" w:sz="4" w:space="0" w:color="000000"/>
            </w:tcBorders>
            <w:shd w:fill="F7F7F7" w:val="clear"/>
            <w:tcMar>
              <w:top w:w="52"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1,220 </w:t>
            </w:r>
          </w:p>
        </w:tc>
        <w:tc>
          <w:tcPr>
            <w:tcW w:w="112" w:type="dxa"/>
            <w:tcBorders>
              <w:top w:val="single" w:sz="4" w:space="0" w:color="000000"/>
            </w:tcBorders>
            <w:shd w:fill="F7F7F7"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op w:val="single" w:sz="4" w:space="0" w:color="000000"/>
            </w:tcBorders>
            <w:shd w:fill="F7F7F7"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6" w:type="dxa"/>
            <w:gridSpan w:val="2"/>
            <w:tcBorders>
              <w:top w:val="single" w:sz="4" w:space="0" w:color="000000"/>
            </w:tcBorders>
            <w:shd w:fill="F7F7F7" w:val="clear"/>
            <w:tcMar>
              <w:top w:w="52"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1,011 </w:t>
            </w:r>
          </w:p>
        </w:tc>
        <w:tc>
          <w:tcPr>
            <w:tcW w:w="112" w:type="dxa"/>
            <w:tcBorders>
              <w:top w:val="single" w:sz="4" w:space="0" w:color="000000"/>
            </w:tcBorders>
            <w:shd w:fill="F7F7F7"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6" w:type="dxa"/>
            <w:gridSpan w:val="2"/>
            <w:tcBorders>
              <w:top w:val="single" w:sz="4" w:space="0" w:color="000000"/>
            </w:tcBorders>
            <w:shd w:fill="F7F7F7" w:val="clear"/>
            <w:tcMar>
              <w:top w:w="52"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2,384 </w:t>
            </w:r>
          </w:p>
        </w:tc>
        <w:tc>
          <w:tcPr>
            <w:tcW w:w="111" w:type="dxa"/>
            <w:tcBorders>
              <w:top w:val="single" w:sz="4" w:space="0" w:color="000000"/>
            </w:tcBorders>
            <w:shd w:fill="F7F7F7"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op w:val="single" w:sz="4" w:space="0" w:color="000000"/>
            </w:tcBorders>
            <w:shd w:fill="F7F7F7"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6" w:type="dxa"/>
            <w:gridSpan w:val="2"/>
            <w:tcBorders>
              <w:top w:val="single" w:sz="4" w:space="0" w:color="000000"/>
            </w:tcBorders>
            <w:shd w:fill="F7F7F7" w:val="clear"/>
            <w:tcMar>
              <w:top w:w="52"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1,977 </w:t>
            </w:r>
          </w:p>
        </w:tc>
        <w:tc>
          <w:tcPr>
            <w:tcW w:w="111" w:type="dxa"/>
            <w:tcBorders>
              <w:top w:val="single" w:sz="4" w:space="0" w:color="000000"/>
            </w:tcBorders>
            <w:shd w:fill="F7F7F7"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0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delle Sans;sans-serif" w:hAnsi="Adelle Sans;sans-serif"/>
                <w:b/>
                <w:color w:val="000000"/>
                <w:sz w:val="18"/>
              </w:rPr>
            </w:pPr>
            <w:r>
              <w:rPr>
                <w:rFonts w:ascii="Adelle Sans;sans-serif" w:hAnsi="Adelle Sans;sans-serif"/>
                <w:b/>
                <w:color w:val="000000"/>
                <w:sz w:val="18"/>
              </w:rPr>
              <w:t>Income from operations</w:t>
            </w:r>
          </w:p>
        </w:tc>
        <w:tc>
          <w:tcPr>
            <w:tcW w:w="154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delle Sans;sans-serif" w:hAnsi="Adelle Sans;sans-serif"/>
                <w:b/>
                <w:color w:val="000000"/>
                <w:sz w:val="18"/>
              </w:rPr>
              <w:t>488</w:t>
            </w:r>
            <w:r>
              <w:rPr>
                <w:color w:val="000000"/>
              </w:rPr>
              <w:t> </w:t>
            </w:r>
          </w:p>
        </w:tc>
        <w:tc>
          <w:tcPr>
            <w:tcW w:w="11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delle Sans;sans-serif" w:hAnsi="Adelle Sans;sans-serif"/>
                <w:b/>
                <w:color w:val="000000"/>
                <w:sz w:val="18"/>
              </w:rPr>
              <w:t>291</w:t>
            </w:r>
            <w:r>
              <w:rPr>
                <w:color w:val="000000"/>
              </w:rPr>
              <w:t> </w:t>
            </w:r>
          </w:p>
        </w:tc>
        <w:tc>
          <w:tcPr>
            <w:tcW w:w="11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delle Sans;sans-serif" w:hAnsi="Adelle Sans;sans-serif"/>
                <w:b/>
                <w:color w:val="000000"/>
                <w:sz w:val="18"/>
              </w:rPr>
              <w:t>870</w:t>
            </w:r>
            <w:r>
              <w:rPr>
                <w:color w:val="000000"/>
              </w:rPr>
              <w:t> </w:t>
            </w:r>
          </w:p>
        </w:tc>
        <w:tc>
          <w:tcPr>
            <w:tcW w:w="11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delle Sans;sans-serif" w:hAnsi="Adelle Sans;sans-serif"/>
                <w:b/>
                <w:color w:val="000000"/>
                <w:sz w:val="18"/>
              </w:rPr>
              <w:t>494</w:t>
            </w:r>
            <w:r>
              <w:rPr>
                <w:color w:val="000000"/>
              </w:rPr>
              <w:t> </w:t>
            </w:r>
          </w:p>
        </w:tc>
        <w:tc>
          <w:tcPr>
            <w:tcW w:w="11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090" w:type="dxa"/>
            <w:gridSpan w:val="3"/>
            <w:tcBorders>
              <w:top w:val="single" w:sz="8" w:space="0" w:color="000000"/>
            </w:tcBorders>
            <w:shd w:fill="F7F7F7" w:val="clear"/>
            <w:tcMar>
              <w:top w:w="52" w:type="dxa"/>
              <w:left w:w="0" w:type="dxa"/>
              <w:bottom w:w="0" w:type="dxa"/>
              <w:right w:w="0" w:type="dxa"/>
            </w:tcMar>
            <w:vAlign w:val="center"/>
          </w:tcPr>
          <w:p>
            <w:pPr>
              <w:pStyle w:val="TableContents"/>
              <w:bidi w:val="0"/>
              <w:spacing w:lineRule="auto" w:line="240" w:before="0" w:after="283"/>
              <w:jc w:val="left"/>
              <w:rPr>
                <w:rFonts w:ascii="Adelle Sans;sans-serif" w:hAnsi="Adelle Sans;sans-serif"/>
                <w:b w:val="false"/>
                <w:color w:val="000000"/>
                <w:sz w:val="18"/>
              </w:rPr>
            </w:pPr>
            <w:r>
              <w:rPr>
                <w:rFonts w:ascii="Adelle Sans;sans-serif" w:hAnsi="Adelle Sans;sans-serif"/>
                <w:b w:val="false"/>
                <w:color w:val="000000"/>
                <w:sz w:val="18"/>
              </w:rPr>
              <w:t>Net gain (loss) on equity and equity method investments</w:t>
            </w:r>
          </w:p>
        </w:tc>
        <w:tc>
          <w:tcPr>
            <w:tcW w:w="1546" w:type="dxa"/>
            <w:gridSpan w:val="2"/>
            <w:tcBorders>
              <w:top w:val="single" w:sz="8" w:space="0" w:color="000000"/>
            </w:tcBorders>
            <w:shd w:fill="F7F7F7" w:val="clear"/>
            <w:tcMar>
              <w:top w:w="52"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1,228 </w:t>
            </w:r>
          </w:p>
        </w:tc>
        <w:tc>
          <w:tcPr>
            <w:tcW w:w="112" w:type="dxa"/>
            <w:tcBorders>
              <w:top w:val="single" w:sz="8" w:space="0" w:color="000000"/>
            </w:tcBorders>
            <w:shd w:fill="F7F7F7"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op w:val="single" w:sz="8" w:space="0" w:color="000000"/>
            </w:tcBorders>
            <w:shd w:fill="F7F7F7"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6" w:type="dxa"/>
            <w:gridSpan w:val="2"/>
            <w:tcBorders>
              <w:top w:val="single" w:sz="8" w:space="0" w:color="000000"/>
            </w:tcBorders>
            <w:shd w:fill="F7F7F7" w:val="clear"/>
            <w:tcMar>
              <w:top w:w="52"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658 </w:t>
            </w:r>
          </w:p>
        </w:tc>
        <w:tc>
          <w:tcPr>
            <w:tcW w:w="112" w:type="dxa"/>
            <w:tcBorders>
              <w:top w:val="single" w:sz="8" w:space="0" w:color="000000"/>
            </w:tcBorders>
            <w:shd w:fill="F7F7F7"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7F7F7"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6" w:type="dxa"/>
            <w:gridSpan w:val="2"/>
            <w:tcBorders>
              <w:top w:val="single" w:sz="8" w:space="0" w:color="000000"/>
            </w:tcBorders>
            <w:shd w:fill="F7F7F7" w:val="clear"/>
            <w:tcMar>
              <w:top w:w="52"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146 </w:t>
            </w:r>
          </w:p>
        </w:tc>
        <w:tc>
          <w:tcPr>
            <w:tcW w:w="111" w:type="dxa"/>
            <w:tcBorders>
              <w:top w:val="single" w:sz="8" w:space="0" w:color="000000"/>
            </w:tcBorders>
            <w:shd w:fill="F7F7F7"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op w:val="single" w:sz="8" w:space="0" w:color="000000"/>
            </w:tcBorders>
            <w:shd w:fill="F7F7F7"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6" w:type="dxa"/>
            <w:gridSpan w:val="2"/>
            <w:tcBorders>
              <w:top w:val="single" w:sz="8" w:space="0" w:color="000000"/>
            </w:tcBorders>
            <w:shd w:fill="F7F7F7" w:val="clear"/>
            <w:tcMar>
              <w:top w:w="52"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(386)</w:t>
            </w:r>
          </w:p>
        </w:tc>
        <w:tc>
          <w:tcPr>
            <w:tcW w:w="111" w:type="dxa"/>
            <w:tcBorders>
              <w:top w:val="single" w:sz="8" w:space="0" w:color="000000"/>
            </w:tcBorders>
            <w:shd w:fill="F7F7F7"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0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delle Sans;sans-serif" w:hAnsi="Adelle Sans;sans-serif"/>
                <w:b w:val="false"/>
                <w:color w:val="000000"/>
                <w:sz w:val="18"/>
              </w:rPr>
            </w:pPr>
            <w:r>
              <w:rPr>
                <w:rFonts w:ascii="Adelle Sans;sans-serif" w:hAnsi="Adelle Sans;sans-serif"/>
                <w:b w:val="false"/>
                <w:color w:val="000000"/>
                <w:sz w:val="18"/>
              </w:rPr>
              <w:t>Other income, net</w:t>
            </w:r>
          </w:p>
        </w:tc>
        <w:tc>
          <w:tcPr>
            <w:tcW w:w="15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59 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130 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125 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201 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090" w:type="dxa"/>
            <w:gridSpan w:val="3"/>
            <w:tcBorders/>
            <w:shd w:fill="F7F7F7" w:val="clear"/>
            <w:tcMar>
              <w:top w:w="0" w:type="dxa"/>
              <w:left w:w="0" w:type="dxa"/>
              <w:bottom w:w="0" w:type="dxa"/>
              <w:right w:w="0" w:type="dxa"/>
            </w:tcMar>
            <w:vAlign w:val="center"/>
          </w:tcPr>
          <w:p>
            <w:pPr>
              <w:pStyle w:val="TableContents"/>
              <w:bidi w:val="0"/>
              <w:spacing w:lineRule="auto" w:line="240" w:before="0" w:after="283"/>
              <w:jc w:val="left"/>
              <w:rPr>
                <w:rFonts w:ascii="Adelle Sans;sans-serif" w:hAnsi="Adelle Sans;sans-serif"/>
                <w:b w:val="false"/>
                <w:color w:val="000000"/>
                <w:sz w:val="18"/>
              </w:rPr>
            </w:pPr>
            <w:r>
              <w:rPr>
                <w:rFonts w:ascii="Adelle Sans;sans-serif" w:hAnsi="Adelle Sans;sans-serif"/>
                <w:b w:val="false"/>
                <w:color w:val="000000"/>
                <w:sz w:val="18"/>
              </w:rPr>
              <w:t>Income before income taxes</w:t>
            </w:r>
          </w:p>
        </w:tc>
        <w:tc>
          <w:tcPr>
            <w:tcW w:w="1546" w:type="dxa"/>
            <w:gridSpan w:val="2"/>
            <w:tcBorders>
              <w:top w:val="single" w:sz="4" w:space="0" w:color="000000"/>
            </w:tcBorders>
            <w:shd w:fill="F7F7F7" w:val="clear"/>
            <w:tcMar>
              <w:top w:w="52"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1,775 </w:t>
            </w:r>
          </w:p>
        </w:tc>
        <w:tc>
          <w:tcPr>
            <w:tcW w:w="112" w:type="dxa"/>
            <w:tcBorders>
              <w:top w:val="single" w:sz="4" w:space="0" w:color="000000"/>
            </w:tcBorders>
            <w:shd w:fill="F7F7F7"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op w:val="single" w:sz="4" w:space="0" w:color="000000"/>
            </w:tcBorders>
            <w:shd w:fill="F7F7F7"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6" w:type="dxa"/>
            <w:gridSpan w:val="2"/>
            <w:tcBorders>
              <w:top w:val="single" w:sz="4" w:space="0" w:color="000000"/>
            </w:tcBorders>
            <w:shd w:fill="F7F7F7" w:val="clear"/>
            <w:tcMar>
              <w:top w:w="52"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1,079 </w:t>
            </w:r>
          </w:p>
        </w:tc>
        <w:tc>
          <w:tcPr>
            <w:tcW w:w="112" w:type="dxa"/>
            <w:tcBorders>
              <w:top w:val="single" w:sz="4" w:space="0" w:color="000000"/>
            </w:tcBorders>
            <w:shd w:fill="F7F7F7"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6" w:type="dxa"/>
            <w:gridSpan w:val="2"/>
            <w:tcBorders>
              <w:top w:val="single" w:sz="4" w:space="0" w:color="000000"/>
            </w:tcBorders>
            <w:shd w:fill="F7F7F7" w:val="clear"/>
            <w:tcMar>
              <w:top w:w="52"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1,141 </w:t>
            </w:r>
          </w:p>
        </w:tc>
        <w:tc>
          <w:tcPr>
            <w:tcW w:w="111" w:type="dxa"/>
            <w:tcBorders>
              <w:top w:val="single" w:sz="4" w:space="0" w:color="000000"/>
            </w:tcBorders>
            <w:shd w:fill="F7F7F7"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op w:val="single" w:sz="4" w:space="0" w:color="000000"/>
            </w:tcBorders>
            <w:shd w:fill="F7F7F7"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6" w:type="dxa"/>
            <w:gridSpan w:val="2"/>
            <w:tcBorders>
              <w:top w:val="single" w:sz="4" w:space="0" w:color="000000"/>
            </w:tcBorders>
            <w:shd w:fill="F7F7F7" w:val="clear"/>
            <w:tcMar>
              <w:top w:w="52"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309 </w:t>
            </w:r>
          </w:p>
        </w:tc>
        <w:tc>
          <w:tcPr>
            <w:tcW w:w="111" w:type="dxa"/>
            <w:tcBorders>
              <w:top w:val="single" w:sz="4" w:space="0" w:color="000000"/>
            </w:tcBorders>
            <w:shd w:fill="F7F7F7"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0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delle Sans;sans-serif" w:hAnsi="Adelle Sans;sans-serif"/>
                <w:b w:val="false"/>
                <w:color w:val="000000"/>
                <w:sz w:val="18"/>
              </w:rPr>
            </w:pPr>
            <w:r>
              <w:rPr>
                <w:rFonts w:ascii="Adelle Sans;sans-serif" w:hAnsi="Adelle Sans;sans-serif"/>
                <w:b w:val="false"/>
                <w:color w:val="000000"/>
                <w:sz w:val="18"/>
              </w:rPr>
              <w:t>Provision for income taxes</w:t>
            </w:r>
          </w:p>
        </w:tc>
        <w:tc>
          <w:tcPr>
            <w:tcW w:w="1546"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(273)</w:t>
            </w:r>
          </w:p>
        </w:tc>
        <w:tc>
          <w:tcPr>
            <w:tcW w:w="112"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6"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(173)</w:t>
            </w:r>
          </w:p>
        </w:tc>
        <w:tc>
          <w:tcPr>
            <w:tcW w:w="112"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6"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(220)</w:t>
            </w:r>
          </w:p>
        </w:tc>
        <w:tc>
          <w:tcPr>
            <w:tcW w:w="111"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6"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(85)</w:t>
            </w:r>
          </w:p>
        </w:tc>
        <w:tc>
          <w:tcPr>
            <w:tcW w:w="111"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090" w:type="dxa"/>
            <w:gridSpan w:val="3"/>
            <w:tcBorders/>
            <w:shd w:fill="F7F7F7" w:val="clear"/>
            <w:tcMar>
              <w:top w:w="0" w:type="dxa"/>
              <w:left w:w="0" w:type="dxa"/>
              <w:bottom w:w="0" w:type="dxa"/>
              <w:right w:w="0" w:type="dxa"/>
            </w:tcMar>
            <w:vAlign w:val="center"/>
          </w:tcPr>
          <w:p>
            <w:pPr>
              <w:pStyle w:val="TableContents"/>
              <w:bidi w:val="0"/>
              <w:spacing w:lineRule="auto" w:line="240" w:before="0" w:after="283"/>
              <w:jc w:val="left"/>
              <w:rPr>
                <w:rFonts w:ascii="Adelle Sans;sans-serif" w:hAnsi="Adelle Sans;sans-serif"/>
                <w:b/>
                <w:color w:val="000000"/>
                <w:sz w:val="18"/>
              </w:rPr>
            </w:pPr>
            <w:r>
              <w:rPr>
                <w:rFonts w:ascii="Adelle Sans;sans-serif" w:hAnsi="Adelle Sans;sans-serif"/>
                <w:b/>
                <w:color w:val="000000"/>
                <w:sz w:val="18"/>
              </w:rPr>
              <w:t>Net income</w:t>
            </w:r>
          </w:p>
        </w:tc>
        <w:tc>
          <w:tcPr>
            <w:tcW w:w="1546" w:type="dxa"/>
            <w:gridSpan w:val="2"/>
            <w:tcBorders>
              <w:top w:val="single" w:sz="8" w:space="0" w:color="000000"/>
            </w:tcBorders>
            <w:shd w:fill="F7F7F7" w:val="clear"/>
            <w:tcMar>
              <w:top w:w="52" w:type="dxa"/>
              <w:left w:w="0" w:type="dxa"/>
              <w:bottom w:w="0" w:type="dxa"/>
              <w:right w:w="0" w:type="dxa"/>
            </w:tcMar>
            <w:vAlign w:val="center"/>
          </w:tcPr>
          <w:p>
            <w:pPr>
              <w:pStyle w:val="TableContents"/>
              <w:bidi w:val="0"/>
              <w:spacing w:lineRule="auto" w:line="240" w:before="0" w:after="283"/>
              <w:jc w:val="right"/>
              <w:rPr/>
            </w:pPr>
            <w:r>
              <w:rPr>
                <w:rFonts w:ascii="Adelle Sans;sans-serif" w:hAnsi="Adelle Sans;sans-serif"/>
                <w:b/>
                <w:color w:val="000000"/>
                <w:sz w:val="18"/>
              </w:rPr>
              <w:t>1,502</w:t>
            </w:r>
            <w:r>
              <w:rPr>
                <w:color w:val="000000"/>
              </w:rPr>
              <w:t> </w:t>
            </w:r>
          </w:p>
        </w:tc>
        <w:tc>
          <w:tcPr>
            <w:tcW w:w="112" w:type="dxa"/>
            <w:tcBorders>
              <w:top w:val="single" w:sz="8" w:space="0" w:color="000000"/>
            </w:tcBorders>
            <w:shd w:fill="F7F7F7"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op w:val="single" w:sz="8" w:space="0" w:color="000000"/>
            </w:tcBorders>
            <w:shd w:fill="F7F7F7"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6" w:type="dxa"/>
            <w:gridSpan w:val="2"/>
            <w:tcBorders>
              <w:top w:val="single" w:sz="8" w:space="0" w:color="000000"/>
            </w:tcBorders>
            <w:shd w:fill="F7F7F7" w:val="clear"/>
            <w:tcMar>
              <w:top w:w="52" w:type="dxa"/>
              <w:left w:w="0" w:type="dxa"/>
              <w:bottom w:w="0" w:type="dxa"/>
              <w:right w:w="0" w:type="dxa"/>
            </w:tcMar>
            <w:vAlign w:val="center"/>
          </w:tcPr>
          <w:p>
            <w:pPr>
              <w:pStyle w:val="TableContents"/>
              <w:bidi w:val="0"/>
              <w:spacing w:lineRule="auto" w:line="240" w:before="0" w:after="283"/>
              <w:jc w:val="right"/>
              <w:rPr/>
            </w:pPr>
            <w:r>
              <w:rPr>
                <w:rFonts w:ascii="Adelle Sans;sans-serif" w:hAnsi="Adelle Sans;sans-serif"/>
                <w:b/>
                <w:color w:val="000000"/>
                <w:sz w:val="18"/>
              </w:rPr>
              <w:t>906</w:t>
            </w:r>
            <w:r>
              <w:rPr>
                <w:color w:val="000000"/>
              </w:rPr>
              <w:t> </w:t>
            </w:r>
          </w:p>
        </w:tc>
        <w:tc>
          <w:tcPr>
            <w:tcW w:w="112" w:type="dxa"/>
            <w:tcBorders>
              <w:top w:val="single" w:sz="8" w:space="0" w:color="000000"/>
            </w:tcBorders>
            <w:shd w:fill="F7F7F7"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6" w:type="dxa"/>
            <w:gridSpan w:val="2"/>
            <w:tcBorders>
              <w:top w:val="single" w:sz="8" w:space="0" w:color="000000"/>
            </w:tcBorders>
            <w:shd w:fill="F7F7F7" w:val="clear"/>
            <w:tcMar>
              <w:top w:w="52" w:type="dxa"/>
              <w:left w:w="0" w:type="dxa"/>
              <w:bottom w:w="0" w:type="dxa"/>
              <w:right w:w="0" w:type="dxa"/>
            </w:tcMar>
            <w:vAlign w:val="center"/>
          </w:tcPr>
          <w:p>
            <w:pPr>
              <w:pStyle w:val="TableContents"/>
              <w:bidi w:val="0"/>
              <w:spacing w:lineRule="auto" w:line="240" w:before="0" w:after="283"/>
              <w:jc w:val="right"/>
              <w:rPr/>
            </w:pPr>
            <w:r>
              <w:rPr>
                <w:rFonts w:ascii="Adelle Sans;sans-serif" w:hAnsi="Adelle Sans;sans-serif"/>
                <w:b/>
                <w:color w:val="000000"/>
                <w:sz w:val="18"/>
              </w:rPr>
              <w:t>921</w:t>
            </w:r>
            <w:r>
              <w:rPr>
                <w:color w:val="000000"/>
              </w:rPr>
              <w:t> </w:t>
            </w:r>
          </w:p>
        </w:tc>
        <w:tc>
          <w:tcPr>
            <w:tcW w:w="111" w:type="dxa"/>
            <w:tcBorders>
              <w:top w:val="single" w:sz="8" w:space="0" w:color="000000"/>
            </w:tcBorders>
            <w:shd w:fill="F7F7F7"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op w:val="single" w:sz="8" w:space="0" w:color="000000"/>
            </w:tcBorders>
            <w:shd w:fill="F7F7F7"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6" w:type="dxa"/>
            <w:gridSpan w:val="2"/>
            <w:tcBorders>
              <w:top w:val="single" w:sz="8" w:space="0" w:color="000000"/>
            </w:tcBorders>
            <w:shd w:fill="F7F7F7" w:val="clear"/>
            <w:tcMar>
              <w:top w:w="52" w:type="dxa"/>
              <w:left w:w="0" w:type="dxa"/>
              <w:bottom w:w="0" w:type="dxa"/>
              <w:right w:w="0" w:type="dxa"/>
            </w:tcMar>
            <w:vAlign w:val="center"/>
          </w:tcPr>
          <w:p>
            <w:pPr>
              <w:pStyle w:val="TableContents"/>
              <w:bidi w:val="0"/>
              <w:spacing w:lineRule="auto" w:line="240" w:before="0" w:after="283"/>
              <w:jc w:val="right"/>
              <w:rPr/>
            </w:pPr>
            <w:r>
              <w:rPr>
                <w:rFonts w:ascii="Adelle Sans;sans-serif" w:hAnsi="Adelle Sans;sans-serif"/>
                <w:b/>
                <w:color w:val="000000"/>
                <w:sz w:val="18"/>
              </w:rPr>
              <w:t>224</w:t>
            </w:r>
            <w:r>
              <w:rPr>
                <w:color w:val="000000"/>
              </w:rPr>
              <w:t> </w:t>
            </w:r>
          </w:p>
        </w:tc>
        <w:tc>
          <w:tcPr>
            <w:tcW w:w="111" w:type="dxa"/>
            <w:tcBorders>
              <w:top w:val="single" w:sz="8" w:space="0" w:color="000000"/>
            </w:tcBorders>
            <w:shd w:fill="F7F7F7"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090"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delle Sans;sans-serif" w:hAnsi="Adelle Sans;sans-serif"/>
                <w:b/>
                <w:color w:val="000000"/>
                <w:sz w:val="18"/>
              </w:rPr>
            </w:pPr>
            <w:r>
              <w:rPr>
                <w:rFonts w:ascii="Adelle Sans;sans-serif" w:hAnsi="Adelle Sans;sans-serif"/>
                <w:b/>
                <w:color w:val="000000"/>
                <w:sz w:val="18"/>
              </w:rPr>
              <w:t>Net income per share attributable to shareholders:</w:t>
            </w:r>
          </w:p>
        </w:tc>
        <w:tc>
          <w:tcPr>
            <w:tcW w:w="165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090" w:type="dxa"/>
            <w:gridSpan w:val="3"/>
            <w:tcBorders/>
            <w:shd w:fill="F7F7F7" w:val="clear"/>
            <w:tcMar>
              <w:top w:w="0" w:type="dxa"/>
              <w:left w:w="0" w:type="dxa"/>
              <w:bottom w:w="0" w:type="dxa"/>
              <w:right w:w="0" w:type="dxa"/>
            </w:tcMar>
            <w:vAlign w:val="center"/>
          </w:tcPr>
          <w:p>
            <w:pPr>
              <w:pStyle w:val="TableContents"/>
              <w:bidi w:val="0"/>
              <w:spacing w:lineRule="auto" w:line="240" w:before="0" w:after="283"/>
              <w:jc w:val="left"/>
              <w:rPr>
                <w:rFonts w:ascii="Adelle Sans;sans-serif" w:hAnsi="Adelle Sans;sans-serif"/>
                <w:b w:val="false"/>
                <w:color w:val="000000"/>
                <w:sz w:val="18"/>
              </w:rPr>
            </w:pPr>
            <w:r>
              <w:rPr>
                <w:rFonts w:ascii="Adelle Sans;sans-serif" w:hAnsi="Adelle Sans;sans-serif"/>
                <w:b w:val="false"/>
                <w:color w:val="000000"/>
                <w:sz w:val="18"/>
              </w:rPr>
              <w:t xml:space="preserve">Basic </w:t>
            </w:r>
          </w:p>
        </w:tc>
        <w:tc>
          <w:tcPr>
            <w:tcW w:w="430" w:type="dxa"/>
            <w:tcBorders/>
            <w:shd w:fill="F7F7F7" w:val="clear"/>
            <w:tcMar>
              <w:top w:w="0" w:type="dxa"/>
              <w:left w:w="0" w:type="dxa"/>
              <w:bottom w:w="0" w:type="dxa"/>
              <w:right w:w="0" w:type="dxa"/>
            </w:tcMar>
            <w:vAlign w:val="center"/>
          </w:tcPr>
          <w:p>
            <w:pPr>
              <w:pStyle w:val="TableContents"/>
              <w:bidi w:val="0"/>
              <w:spacing w:lineRule="auto" w:line="240" w:before="0" w:after="283"/>
              <w:jc w:val="left"/>
              <w:rPr>
                <w:rFonts w:ascii="Adelle Sans;sans-serif" w:hAnsi="Adelle Sans;sans-serif"/>
                <w:b w:val="false"/>
                <w:color w:val="000000"/>
                <w:sz w:val="18"/>
              </w:rPr>
            </w:pPr>
            <w:r>
              <w:rPr>
                <w:rFonts w:ascii="Adelle Sans;sans-serif" w:hAnsi="Adelle Sans;sans-serif"/>
                <w:b w:val="false"/>
                <w:color w:val="000000"/>
                <w:sz w:val="18"/>
              </w:rPr>
              <w:t>$</w:t>
            </w:r>
          </w:p>
        </w:tc>
        <w:tc>
          <w:tcPr>
            <w:tcW w:w="1116" w:type="dxa"/>
            <w:tcBorders/>
            <w:shd w:fill="F7F7F7"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1.16 </w:t>
            </w:r>
          </w:p>
        </w:tc>
        <w:tc>
          <w:tcPr>
            <w:tcW w:w="112" w:type="dxa"/>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 w:type="dxa"/>
            <w:tcBorders/>
            <w:shd w:fill="F7F7F7" w:val="clear"/>
            <w:tcMar>
              <w:top w:w="0" w:type="dxa"/>
              <w:left w:w="0" w:type="dxa"/>
              <w:bottom w:w="0" w:type="dxa"/>
              <w:right w:w="0" w:type="dxa"/>
            </w:tcMar>
            <w:vAlign w:val="center"/>
          </w:tcPr>
          <w:p>
            <w:pPr>
              <w:pStyle w:val="TableContents"/>
              <w:bidi w:val="0"/>
              <w:spacing w:lineRule="auto" w:line="240" w:before="0" w:after="283"/>
              <w:jc w:val="left"/>
              <w:rPr>
                <w:rFonts w:ascii="Adelle Sans;sans-serif" w:hAnsi="Adelle Sans;sans-serif"/>
                <w:b w:val="false"/>
                <w:color w:val="000000"/>
                <w:sz w:val="18"/>
              </w:rPr>
            </w:pPr>
            <w:r>
              <w:rPr>
                <w:rFonts w:ascii="Adelle Sans;sans-serif" w:hAnsi="Adelle Sans;sans-serif"/>
                <w:b w:val="false"/>
                <w:color w:val="000000"/>
                <w:sz w:val="18"/>
              </w:rPr>
              <w:t>$</w:t>
            </w:r>
          </w:p>
        </w:tc>
        <w:tc>
          <w:tcPr>
            <w:tcW w:w="1116" w:type="dxa"/>
            <w:tcBorders/>
            <w:shd w:fill="F7F7F7"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0.70 </w:t>
            </w:r>
          </w:p>
        </w:tc>
        <w:tc>
          <w:tcPr>
            <w:tcW w:w="112" w:type="dxa"/>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 w:type="dxa"/>
            <w:tcBorders/>
            <w:shd w:fill="F7F7F7" w:val="clear"/>
            <w:tcMar>
              <w:top w:w="0" w:type="dxa"/>
              <w:left w:w="0" w:type="dxa"/>
              <w:bottom w:w="0" w:type="dxa"/>
              <w:right w:w="0" w:type="dxa"/>
            </w:tcMar>
            <w:vAlign w:val="center"/>
          </w:tcPr>
          <w:p>
            <w:pPr>
              <w:pStyle w:val="TableContents"/>
              <w:bidi w:val="0"/>
              <w:spacing w:lineRule="auto" w:line="240" w:before="0" w:after="283"/>
              <w:jc w:val="left"/>
              <w:rPr>
                <w:rFonts w:ascii="Adelle Sans;sans-serif" w:hAnsi="Adelle Sans;sans-serif"/>
                <w:b w:val="false"/>
                <w:color w:val="000000"/>
                <w:sz w:val="18"/>
              </w:rPr>
            </w:pPr>
            <w:r>
              <w:rPr>
                <w:rFonts w:ascii="Adelle Sans;sans-serif" w:hAnsi="Adelle Sans;sans-serif"/>
                <w:b w:val="false"/>
                <w:color w:val="000000"/>
                <w:sz w:val="18"/>
              </w:rPr>
              <w:t>$</w:t>
            </w:r>
          </w:p>
        </w:tc>
        <w:tc>
          <w:tcPr>
            <w:tcW w:w="1116" w:type="dxa"/>
            <w:tcBorders/>
            <w:shd w:fill="F7F7F7"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0.71 </w:t>
            </w:r>
          </w:p>
        </w:tc>
        <w:tc>
          <w:tcPr>
            <w:tcW w:w="111" w:type="dxa"/>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 w:type="dxa"/>
            <w:tcBorders/>
            <w:shd w:fill="F7F7F7" w:val="clear"/>
            <w:tcMar>
              <w:top w:w="0" w:type="dxa"/>
              <w:left w:w="0" w:type="dxa"/>
              <w:bottom w:w="0" w:type="dxa"/>
              <w:right w:w="0" w:type="dxa"/>
            </w:tcMar>
            <w:vAlign w:val="center"/>
          </w:tcPr>
          <w:p>
            <w:pPr>
              <w:pStyle w:val="TableContents"/>
              <w:bidi w:val="0"/>
              <w:spacing w:lineRule="auto" w:line="240" w:before="0" w:after="283"/>
              <w:jc w:val="left"/>
              <w:rPr>
                <w:rFonts w:ascii="Adelle Sans;sans-serif" w:hAnsi="Adelle Sans;sans-serif"/>
                <w:b w:val="false"/>
                <w:color w:val="000000"/>
                <w:sz w:val="18"/>
              </w:rPr>
            </w:pPr>
            <w:r>
              <w:rPr>
                <w:rFonts w:ascii="Adelle Sans;sans-serif" w:hAnsi="Adelle Sans;sans-serif"/>
                <w:b w:val="false"/>
                <w:color w:val="000000"/>
                <w:sz w:val="18"/>
              </w:rPr>
              <w:t>$</w:t>
            </w:r>
          </w:p>
        </w:tc>
        <w:tc>
          <w:tcPr>
            <w:tcW w:w="1116" w:type="dxa"/>
            <w:tcBorders/>
            <w:shd w:fill="F7F7F7"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0.17 </w:t>
            </w:r>
          </w:p>
        </w:tc>
        <w:tc>
          <w:tcPr>
            <w:tcW w:w="111" w:type="dxa"/>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0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delle Sans;sans-serif" w:hAnsi="Adelle Sans;sans-serif"/>
                <w:b w:val="false"/>
                <w:color w:val="000000"/>
                <w:sz w:val="18"/>
              </w:rPr>
            </w:pPr>
            <w:r>
              <w:rPr>
                <w:rFonts w:ascii="Adelle Sans;sans-serif" w:hAnsi="Adelle Sans;sans-serif"/>
                <w:b w:val="false"/>
                <w:color w:val="000000"/>
                <w:sz w:val="18"/>
              </w:rPr>
              <w:t>Diluted</w:t>
            </w:r>
          </w:p>
        </w:tc>
        <w:tc>
          <w:tcPr>
            <w:tcW w:w="43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delle Sans;sans-serif" w:hAnsi="Adelle Sans;sans-serif"/>
                <w:b w:val="false"/>
                <w:color w:val="000000"/>
                <w:sz w:val="18"/>
              </w:rPr>
            </w:pPr>
            <w:r>
              <w:rPr>
                <w:rFonts w:ascii="Adelle Sans;sans-serif" w:hAnsi="Adelle Sans;sans-serif"/>
                <w:b w:val="false"/>
                <w:color w:val="000000"/>
                <w:sz w:val="18"/>
              </w:rPr>
              <w:t>$</w:t>
            </w:r>
          </w:p>
        </w:tc>
        <w:tc>
          <w:tcPr>
            <w:tcW w:w="11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1.16 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delle Sans;sans-serif" w:hAnsi="Adelle Sans;sans-serif"/>
                <w:b w:val="false"/>
                <w:color w:val="000000"/>
                <w:sz w:val="18"/>
              </w:rPr>
            </w:pPr>
            <w:r>
              <w:rPr>
                <w:rFonts w:ascii="Adelle Sans;sans-serif" w:hAnsi="Adelle Sans;sans-serif"/>
                <w:b w:val="false"/>
                <w:color w:val="000000"/>
                <w:sz w:val="18"/>
              </w:rPr>
              <w:t>$</w:t>
            </w:r>
          </w:p>
        </w:tc>
        <w:tc>
          <w:tcPr>
            <w:tcW w:w="11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0.69 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delle Sans;sans-serif" w:hAnsi="Adelle Sans;sans-serif"/>
                <w:b w:val="false"/>
                <w:color w:val="000000"/>
                <w:sz w:val="18"/>
              </w:rPr>
            </w:pPr>
            <w:r>
              <w:rPr>
                <w:rFonts w:ascii="Adelle Sans;sans-serif" w:hAnsi="Adelle Sans;sans-serif"/>
                <w:b w:val="false"/>
                <w:color w:val="000000"/>
                <w:sz w:val="18"/>
              </w:rPr>
              <w:t>$</w:t>
            </w:r>
          </w:p>
        </w:tc>
        <w:tc>
          <w:tcPr>
            <w:tcW w:w="11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0.71 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delle Sans;sans-serif" w:hAnsi="Adelle Sans;sans-serif"/>
                <w:b w:val="false"/>
                <w:color w:val="000000"/>
                <w:sz w:val="18"/>
              </w:rPr>
            </w:pPr>
            <w:r>
              <w:rPr>
                <w:rFonts w:ascii="Adelle Sans;sans-serif" w:hAnsi="Adelle Sans;sans-serif"/>
                <w:b w:val="false"/>
                <w:color w:val="000000"/>
                <w:sz w:val="18"/>
              </w:rPr>
              <w:t>$</w:t>
            </w:r>
          </w:p>
        </w:tc>
        <w:tc>
          <w:tcPr>
            <w:tcW w:w="11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0.17 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090" w:type="dxa"/>
            <w:gridSpan w:val="3"/>
            <w:tcBorders>
              <w:top w:val="single" w:sz="8" w:space="0" w:color="000000"/>
            </w:tcBorders>
            <w:shd w:fill="F7F7F7" w:val="clear"/>
            <w:tcMar>
              <w:top w:w="52" w:type="dxa"/>
              <w:left w:w="0" w:type="dxa"/>
              <w:bottom w:w="0" w:type="dxa"/>
              <w:right w:w="0" w:type="dxa"/>
            </w:tcMar>
            <w:vAlign w:val="center"/>
          </w:tcPr>
          <w:p>
            <w:pPr>
              <w:pStyle w:val="TableContents"/>
              <w:bidi w:val="0"/>
              <w:spacing w:lineRule="auto" w:line="240" w:before="0" w:after="283"/>
              <w:jc w:val="left"/>
              <w:rPr>
                <w:rFonts w:ascii="Adelle Sans;sans-serif" w:hAnsi="Adelle Sans;sans-serif"/>
                <w:b/>
                <w:color w:val="000000"/>
                <w:sz w:val="18"/>
              </w:rPr>
            </w:pPr>
            <w:r>
              <w:rPr>
                <w:rFonts w:ascii="Adelle Sans;sans-serif" w:hAnsi="Adelle Sans;sans-serif"/>
                <w:b/>
                <w:color w:val="000000"/>
                <w:sz w:val="18"/>
              </w:rPr>
              <w:t>Weighted average shares used to compute net income per share attributable to shareholders:</w:t>
            </w:r>
          </w:p>
        </w:tc>
        <w:tc>
          <w:tcPr>
            <w:tcW w:w="1658" w:type="dxa"/>
            <w:gridSpan w:val="3"/>
            <w:tcBorders>
              <w:top w:val="single" w:sz="8" w:space="0" w:color="000000"/>
            </w:tcBorders>
            <w:shd w:fill="F7F7F7"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op w:val="single" w:sz="8" w:space="0" w:color="000000"/>
            </w:tcBorders>
            <w:shd w:fill="F7F7F7"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8" w:type="dxa"/>
            <w:gridSpan w:val="3"/>
            <w:tcBorders>
              <w:top w:val="single" w:sz="8" w:space="0" w:color="000000"/>
            </w:tcBorders>
            <w:shd w:fill="F7F7F7"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7F7F7"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7" w:type="dxa"/>
            <w:gridSpan w:val="3"/>
            <w:tcBorders>
              <w:top w:val="single" w:sz="8" w:space="0" w:color="000000"/>
            </w:tcBorders>
            <w:shd w:fill="F7F7F7"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op w:val="single" w:sz="8" w:space="0" w:color="000000"/>
            </w:tcBorders>
            <w:shd w:fill="F7F7F7"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7" w:type="dxa"/>
            <w:gridSpan w:val="3"/>
            <w:tcBorders>
              <w:top w:val="single" w:sz="8" w:space="0" w:color="000000"/>
            </w:tcBorders>
            <w:shd w:fill="F7F7F7"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0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delle Sans;sans-serif" w:hAnsi="Adelle Sans;sans-serif"/>
                <w:b w:val="false"/>
                <w:color w:val="000000"/>
                <w:sz w:val="18"/>
              </w:rPr>
            </w:pPr>
            <w:r>
              <w:rPr>
                <w:rFonts w:ascii="Adelle Sans;sans-serif" w:hAnsi="Adelle Sans;sans-serif"/>
                <w:b w:val="false"/>
                <w:color w:val="000000"/>
                <w:sz w:val="18"/>
              </w:rPr>
              <w:t>Basic</w:t>
            </w:r>
          </w:p>
        </w:tc>
        <w:tc>
          <w:tcPr>
            <w:tcW w:w="15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1,295,220,307 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1,297,746,050 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1,299,266,611 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1,296,593,342 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090" w:type="dxa"/>
            <w:gridSpan w:val="3"/>
            <w:tcBorders/>
            <w:shd w:fill="F7F7F7" w:val="clear"/>
            <w:tcMar>
              <w:top w:w="0" w:type="dxa"/>
              <w:left w:w="0" w:type="dxa"/>
              <w:bottom w:w="0" w:type="dxa"/>
              <w:right w:w="0" w:type="dxa"/>
            </w:tcMar>
            <w:vAlign w:val="center"/>
          </w:tcPr>
          <w:p>
            <w:pPr>
              <w:pStyle w:val="TableContents"/>
              <w:bidi w:val="0"/>
              <w:spacing w:lineRule="auto" w:line="240" w:before="0" w:after="283"/>
              <w:jc w:val="left"/>
              <w:rPr>
                <w:rFonts w:ascii="Adelle Sans;sans-serif" w:hAnsi="Adelle Sans;sans-serif"/>
                <w:b w:val="false"/>
                <w:color w:val="000000"/>
                <w:sz w:val="18"/>
              </w:rPr>
            </w:pPr>
            <w:r>
              <w:rPr>
                <w:rFonts w:ascii="Adelle Sans;sans-serif" w:hAnsi="Adelle Sans;sans-serif"/>
                <w:b w:val="false"/>
                <w:color w:val="000000"/>
                <w:sz w:val="18"/>
              </w:rPr>
              <w:t>Diluted</w:t>
            </w:r>
          </w:p>
        </w:tc>
        <w:tc>
          <w:tcPr>
            <w:tcW w:w="1546" w:type="dxa"/>
            <w:gridSpan w:val="2"/>
            <w:tcBorders/>
            <w:shd w:fill="F7F7F7"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1,297,940,958 </w:t>
            </w:r>
          </w:p>
        </w:tc>
        <w:tc>
          <w:tcPr>
            <w:tcW w:w="112" w:type="dxa"/>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6" w:type="dxa"/>
            <w:gridSpan w:val="2"/>
            <w:tcBorders/>
            <w:shd w:fill="F7F7F7"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1,308,993,838 </w:t>
            </w:r>
          </w:p>
        </w:tc>
        <w:tc>
          <w:tcPr>
            <w:tcW w:w="112" w:type="dxa"/>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6" w:type="dxa"/>
            <w:gridSpan w:val="2"/>
            <w:tcBorders/>
            <w:shd w:fill="F7F7F7"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1,302,627,927 </w:t>
            </w:r>
          </w:p>
        </w:tc>
        <w:tc>
          <w:tcPr>
            <w:tcW w:w="111" w:type="dxa"/>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6" w:type="dxa"/>
            <w:gridSpan w:val="2"/>
            <w:tcBorders/>
            <w:shd w:fill="F7F7F7"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1,308,463,539 </w:t>
            </w:r>
          </w:p>
        </w:tc>
        <w:tc>
          <w:tcPr>
            <w:tcW w:w="111" w:type="dxa"/>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jc w:val="both"/>
        <w:rPr/>
      </w:pPr>
      <w:bookmarkStart w:id="72" w:name="i9ccdb58d7faa4a8099ca9c90b47f0416"/>
      <w:bookmarkEnd w:id="72"/>
      <w:r>
        <w:rPr>
          <w:rFonts w:ascii="Adelle Sans Light;sans-serif" w:hAnsi="Adelle Sans Light;sans-serif"/>
          <w:b w:val="false"/>
          <w:color w:val="000000"/>
          <w:sz w:val="10"/>
        </w:rPr>
        <w:t xml:space="preserve">(1) </w:t>
      </w:r>
      <w:r>
        <w:rPr>
          <w:rFonts w:ascii="Adelle Sans Light;sans-serif" w:hAnsi="Adelle Sans Light;sans-serif"/>
          <w:b w:val="false"/>
          <w:color w:val="000000"/>
          <w:sz w:val="16"/>
        </w:rPr>
        <w:t xml:space="preserve">Includes stock-based compensation expense and related payroll taxes as follows: </w:t>
      </w:r>
    </w:p>
    <w:tbl>
      <w:tblPr>
        <w:tblW w:w="9361" w:type="dxa"/>
        <w:jc w:val="left"/>
        <w:tblInd w:w="0" w:type="dxa"/>
        <w:tblLayout w:type="fixed"/>
        <w:tblCellMar>
          <w:top w:w="28" w:type="dxa"/>
          <w:left w:w="28" w:type="dxa"/>
          <w:bottom w:w="28" w:type="dxa"/>
          <w:right w:w="28" w:type="dxa"/>
        </w:tblCellMar>
      </w:tblPr>
      <w:tblGrid>
        <w:gridCol w:w="939"/>
        <w:gridCol w:w="825"/>
        <w:gridCol w:w="831"/>
        <w:gridCol w:w="346"/>
        <w:gridCol w:w="346"/>
        <w:gridCol w:w="346"/>
        <w:gridCol w:w="346"/>
        <w:gridCol w:w="346"/>
        <w:gridCol w:w="346"/>
        <w:gridCol w:w="346"/>
        <w:gridCol w:w="346"/>
        <w:gridCol w:w="346"/>
        <w:gridCol w:w="109"/>
        <w:gridCol w:w="109"/>
        <w:gridCol w:w="109"/>
        <w:gridCol w:w="316"/>
        <w:gridCol w:w="316"/>
        <w:gridCol w:w="316"/>
        <w:gridCol w:w="316"/>
        <w:gridCol w:w="316"/>
        <w:gridCol w:w="316"/>
        <w:gridCol w:w="316"/>
        <w:gridCol w:w="316"/>
        <w:gridCol w:w="316"/>
        <w:gridCol w:w="109"/>
        <w:gridCol w:w="109"/>
        <w:gridCol w:w="109"/>
        <w:gridCol w:w="154"/>
      </w:tblGrid>
      <w:tr>
        <w:trPr/>
        <w:tc>
          <w:tcPr>
            <w:tcW w:w="939"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4"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delle Sans;sans-serif" w:hAnsi="Adelle Sans;sans-serif"/>
                <w:b/>
                <w:color w:val="000000"/>
                <w:sz w:val="18"/>
              </w:rPr>
            </w:pPr>
            <w:r>
              <w:rPr>
                <w:rFonts w:ascii="Adelle Sans;sans-serif" w:hAnsi="Adelle Sans;sans-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4"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delle Sans;sans-serif" w:hAnsi="Adelle Sans;sans-serif"/>
                <w:b/>
                <w:color w:val="000000"/>
                <w:sz w:val="18"/>
              </w:rPr>
            </w:pPr>
            <w:r>
              <w:rPr>
                <w:rFonts w:ascii="Adelle Sans;sans-serif" w:hAnsi="Adelle Sans;sans-serif"/>
                <w:b/>
                <w:color w:val="000000"/>
                <w:sz w:val="18"/>
              </w:rPr>
              <w:t>Six months ended June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25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Adelle Sans;sans-serif" w:hAnsi="Adelle Sans;sans-serif"/>
                <w:b/>
                <w:color w:val="000000"/>
                <w:sz w:val="18"/>
              </w:rPr>
            </w:pPr>
            <w:r>
              <w:rPr>
                <w:rFonts w:ascii="Adelle Sans;sans-serif" w:hAnsi="Adelle Sans;sans-serif"/>
                <w:b/>
                <w:color w:val="000000"/>
                <w:sz w:val="18"/>
              </w:rPr>
              <w:t>2026</w:t>
            </w:r>
          </w:p>
        </w:tc>
        <w:tc>
          <w:tcPr>
            <w:tcW w:w="1038"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Adelle Sans;sans-serif" w:hAnsi="Adelle Sans;sans-serif"/>
                <w:b/>
                <w:color w:val="000000"/>
                <w:sz w:val="18"/>
              </w:rPr>
            </w:pPr>
            <w:r>
              <w:rPr>
                <w:rFonts w:ascii="Adelle Sans;sans-serif" w:hAnsi="Adelle Sans;sans-serif"/>
                <w:b/>
                <w:color w:val="000000"/>
                <w:sz w:val="18"/>
              </w:rPr>
              <w:t>2025</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48"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Adelle Sans;sans-serif" w:hAnsi="Adelle Sans;sans-serif"/>
                <w:b/>
                <w:color w:val="000000"/>
                <w:sz w:val="18"/>
              </w:rPr>
            </w:pPr>
            <w:r>
              <w:rPr>
                <w:rFonts w:ascii="Adelle Sans;sans-serif" w:hAnsi="Adelle Sans;sans-serif"/>
                <w:b/>
                <w:color w:val="000000"/>
                <w:sz w:val="18"/>
              </w:rPr>
              <w:t>2026</w:t>
            </w:r>
          </w:p>
        </w:tc>
        <w:tc>
          <w:tcPr>
            <w:tcW w:w="948"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948"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Adelle Sans;sans-serif" w:hAnsi="Adelle Sans;sans-serif"/>
                <w:b/>
                <w:color w:val="000000"/>
                <w:sz w:val="18"/>
              </w:rPr>
            </w:pPr>
            <w:r>
              <w:rPr>
                <w:rFonts w:ascii="Adelle Sans;sans-serif" w:hAnsi="Adelle Sans;sans-serif"/>
                <w:b/>
                <w:color w:val="000000"/>
                <w:sz w:val="18"/>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9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5" w:type="dxa"/>
            <w:gridSpan w:val="21"/>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delle Sans;sans-serif" w:hAnsi="Adelle Sans;sans-serif"/>
                <w:b w:val="false"/>
                <w:color w:val="000000"/>
                <w:sz w:val="18"/>
              </w:rPr>
            </w:pPr>
            <w:r>
              <w:rPr>
                <w:rFonts w:ascii="Adelle Sans;sans-serif" w:hAnsi="Adelle Sans;sans-serif"/>
                <w:b w:val="false"/>
                <w:color w:val="000000"/>
                <w:sz w:val="18"/>
              </w:rPr>
              <w:t>(in US $ millions)</w:t>
            </w:r>
          </w:p>
        </w:tc>
        <w:tc>
          <w:tcPr>
            <w:tcW w:w="481" w:type="dxa"/>
            <w:gridSpan w:val="4"/>
            <w:tcBorders/>
          </w:tcPr>
          <w:p>
            <w:pPr>
              <w:pStyle w:val="TableContents"/>
              <w:bidi w:val="0"/>
              <w:spacing w:before="0" w:after="283"/>
              <w:jc w:val="left"/>
              <w:rPr>
                <w:sz w:val="4"/>
                <w:szCs w:val="4"/>
              </w:rPr>
            </w:pPr>
            <w:r>
              <w:rPr>
                <w:sz w:val="4"/>
                <w:szCs w:val="4"/>
              </w:rPr>
            </w:r>
          </w:p>
        </w:tc>
      </w:tr>
      <w:tr>
        <w:trPr/>
        <w:tc>
          <w:tcPr>
            <w:tcW w:w="2595" w:type="dxa"/>
            <w:gridSpan w:val="3"/>
            <w:tcBorders/>
            <w:shd w:fill="F7F7F7" w:val="clear"/>
            <w:tcMar>
              <w:top w:w="0" w:type="dxa"/>
              <w:left w:w="0" w:type="dxa"/>
              <w:bottom w:w="0" w:type="dxa"/>
              <w:right w:w="0" w:type="dxa"/>
            </w:tcMar>
            <w:vAlign w:val="center"/>
          </w:tcPr>
          <w:p>
            <w:pPr>
              <w:pStyle w:val="TableContents"/>
              <w:bidi w:val="0"/>
              <w:spacing w:lineRule="auto" w:line="240" w:before="0" w:after="283"/>
              <w:jc w:val="left"/>
              <w:rPr>
                <w:rFonts w:ascii="Adelle Sans;sans-serif" w:hAnsi="Adelle Sans;sans-serif"/>
                <w:b w:val="false"/>
                <w:color w:val="000000"/>
                <w:sz w:val="18"/>
              </w:rPr>
            </w:pPr>
            <w:r>
              <w:rPr>
                <w:rFonts w:ascii="Adelle Sans;sans-serif" w:hAnsi="Adelle Sans;sans-serif"/>
                <w:b w:val="false"/>
                <w:color w:val="000000"/>
                <w:sz w:val="18"/>
              </w:rPr>
              <w:t>Cost of revenues</w:t>
            </w:r>
          </w:p>
        </w:tc>
        <w:tc>
          <w:tcPr>
            <w:tcW w:w="692" w:type="dxa"/>
            <w:gridSpan w:val="2"/>
            <w:tcBorders/>
            <w:shd w:fill="F7F7F7"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2 </w:t>
            </w:r>
          </w:p>
        </w:tc>
        <w:tc>
          <w:tcPr>
            <w:tcW w:w="346" w:type="dxa"/>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7F7F7"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1 </w:t>
            </w:r>
          </w:p>
        </w:tc>
        <w:tc>
          <w:tcPr>
            <w:tcW w:w="346" w:type="dxa"/>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7F7F7"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3 </w:t>
            </w:r>
          </w:p>
        </w:tc>
        <w:tc>
          <w:tcPr>
            <w:tcW w:w="316" w:type="dxa"/>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7F7F7"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2 </w:t>
            </w:r>
          </w:p>
        </w:tc>
        <w:tc>
          <w:tcPr>
            <w:tcW w:w="316" w:type="dxa"/>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delle Sans;sans-serif" w:hAnsi="Adelle Sans;sans-serif"/>
                <w:b w:val="false"/>
                <w:color w:val="000000"/>
                <w:sz w:val="18"/>
              </w:rPr>
            </w:pPr>
            <w:r>
              <w:rPr>
                <w:rFonts w:ascii="Adelle Sans;sans-serif" w:hAnsi="Adelle Sans;sans-serif"/>
                <w:b w:val="false"/>
                <w:color w:val="000000"/>
                <w:sz w:val="18"/>
              </w:rPr>
              <w:t>Sales and marketing</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9 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12 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20 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25 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95" w:type="dxa"/>
            <w:gridSpan w:val="3"/>
            <w:tcBorders/>
            <w:shd w:fill="F7F7F7" w:val="clear"/>
            <w:tcMar>
              <w:top w:w="0" w:type="dxa"/>
              <w:left w:w="0" w:type="dxa"/>
              <w:bottom w:w="0" w:type="dxa"/>
              <w:right w:w="0" w:type="dxa"/>
            </w:tcMar>
            <w:vAlign w:val="center"/>
          </w:tcPr>
          <w:p>
            <w:pPr>
              <w:pStyle w:val="TableContents"/>
              <w:bidi w:val="0"/>
              <w:spacing w:lineRule="auto" w:line="240" w:before="0" w:after="283"/>
              <w:jc w:val="left"/>
              <w:rPr>
                <w:rFonts w:ascii="Adelle Sans;sans-serif" w:hAnsi="Adelle Sans;sans-serif"/>
                <w:b w:val="false"/>
                <w:color w:val="000000"/>
                <w:sz w:val="18"/>
              </w:rPr>
            </w:pPr>
            <w:r>
              <w:rPr>
                <w:rFonts w:ascii="Adelle Sans;sans-serif" w:hAnsi="Adelle Sans;sans-serif"/>
                <w:b w:val="false"/>
                <w:color w:val="000000"/>
                <w:sz w:val="18"/>
              </w:rPr>
              <w:t>Research and development</w:t>
            </w:r>
          </w:p>
        </w:tc>
        <w:tc>
          <w:tcPr>
            <w:tcW w:w="692" w:type="dxa"/>
            <w:gridSpan w:val="2"/>
            <w:tcBorders/>
            <w:shd w:fill="F7F7F7"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94 </w:t>
            </w:r>
          </w:p>
        </w:tc>
        <w:tc>
          <w:tcPr>
            <w:tcW w:w="346" w:type="dxa"/>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7F7F7"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85 </w:t>
            </w:r>
          </w:p>
        </w:tc>
        <w:tc>
          <w:tcPr>
            <w:tcW w:w="346" w:type="dxa"/>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7F7F7"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191 </w:t>
            </w:r>
          </w:p>
        </w:tc>
        <w:tc>
          <w:tcPr>
            <w:tcW w:w="316" w:type="dxa"/>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7F7F7"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169 </w:t>
            </w:r>
          </w:p>
        </w:tc>
        <w:tc>
          <w:tcPr>
            <w:tcW w:w="316" w:type="dxa"/>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delle Sans;sans-serif" w:hAnsi="Adelle Sans;sans-serif"/>
                <w:b w:val="false"/>
                <w:color w:val="000000"/>
                <w:sz w:val="18"/>
              </w:rPr>
            </w:pPr>
            <w:r>
              <w:rPr>
                <w:rFonts w:ascii="Adelle Sans;sans-serif" w:hAnsi="Adelle Sans;sans-serif"/>
                <w:b w:val="false"/>
                <w:color w:val="000000"/>
                <w:sz w:val="18"/>
              </w:rPr>
              <w:t>General and administrative</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28 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22 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57 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47 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95"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8" w:space="0" w:color="000000"/>
            </w:tcBorders>
            <w:shd w:fill="F7F7F7" w:val="clear"/>
            <w:tcMar>
              <w:top w:w="52"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133 </w:t>
            </w:r>
          </w:p>
        </w:tc>
        <w:tc>
          <w:tcPr>
            <w:tcW w:w="346" w:type="dxa"/>
            <w:tcBorders>
              <w:top w:val="single" w:sz="8" w:space="0" w:color="000000"/>
            </w:tcBorders>
            <w:shd w:fill="F7F7F7"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top w:val="single" w:sz="8" w:space="0" w:color="000000"/>
            </w:tcBorders>
            <w:shd w:fill="F7F7F7"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8" w:space="0" w:color="000000"/>
            </w:tcBorders>
            <w:shd w:fill="F7F7F7" w:val="clear"/>
            <w:tcMar>
              <w:top w:w="52"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120 </w:t>
            </w:r>
          </w:p>
        </w:tc>
        <w:tc>
          <w:tcPr>
            <w:tcW w:w="346" w:type="dxa"/>
            <w:tcBorders>
              <w:top w:val="single" w:sz="8" w:space="0" w:color="000000"/>
            </w:tcBorders>
            <w:shd w:fill="F7F7F7"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top w:val="single" w:sz="8" w:space="0" w:color="000000"/>
            </w:tcBorders>
            <w:shd w:fill="F7F7F7" w:val="clear"/>
            <w:tcMar>
              <w:top w:w="52"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271 </w:t>
            </w:r>
          </w:p>
        </w:tc>
        <w:tc>
          <w:tcPr>
            <w:tcW w:w="316" w:type="dxa"/>
            <w:tcBorders>
              <w:top w:val="single" w:sz="8" w:space="0" w:color="000000"/>
            </w:tcBorders>
            <w:shd w:fill="F7F7F7"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3"/>
            <w:tcBorders>
              <w:top w:val="single" w:sz="8" w:space="0" w:color="000000"/>
            </w:tcBorders>
            <w:shd w:fill="F7F7F7"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top w:val="single" w:sz="8" w:space="0" w:color="000000"/>
            </w:tcBorders>
            <w:shd w:fill="F7F7F7" w:val="clear"/>
            <w:tcMar>
              <w:top w:w="52"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243 </w:t>
            </w:r>
          </w:p>
        </w:tc>
        <w:tc>
          <w:tcPr>
            <w:tcW w:w="316" w:type="dxa"/>
            <w:tcBorders>
              <w:top w:val="single" w:sz="8" w:space="0" w:color="000000"/>
            </w:tcBorders>
            <w:shd w:fill="F7F7F7"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7955"/>
                <wp:effectExtent l="0" t="0" r="0" b="0"/>
                <wp:wrapNone/>
                <wp:docPr id="31" name="Frame30"/>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200"/>
                              <w:jc w:val="center"/>
                              <w:rPr>
                                <w:rFonts w:ascii="Adelle Sans Light;sans-serif" w:hAnsi="Adelle Sans Light;sans-serif"/>
                                <w:b w:val="false"/>
                                <w:color w:val="000000"/>
                                <w:sz w:val="20"/>
                              </w:rPr>
                            </w:pPr>
                            <w:r>
                              <w:rPr>
                                <w:rFonts w:ascii="Adelle Sans Light;sans-serif" w:hAnsi="Adelle Sans Light;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Adelle Sans Light;sans-serif" w:hAnsi="Adelle Sans Light;sans-serif"/>
                          <w:b w:val="false"/>
                          <w:color w:val="000000"/>
                          <w:sz w:val="20"/>
                        </w:rPr>
                      </w:pPr>
                      <w:r>
                        <w:rPr>
                          <w:rFonts w:ascii="Adelle Sans Light;sans-serif" w:hAnsi="Adelle Sans Light;sans-serif"/>
                          <w:b w:val="false"/>
                          <w:color w:val="000000"/>
                          <w:sz w:val="20"/>
                        </w:rPr>
                        <w:t>30</w:t>
                      </w:r>
                    </w:p>
                  </w:txbxContent>
                </v:textbox>
                <w10:wrap type="none"/>
              </v:rect>
            </w:pict>
          </mc:Fallback>
        </mc:AlternateContent>
      </w:r>
    </w:p>
    <w:p>
      <w:pPr>
        <w:pStyle w:val="TextBody"/>
        <w:bidi w:val="0"/>
        <w:spacing w:lineRule="auto" w:line="288" w:before="0" w:after="200"/>
        <w:jc w:val="both"/>
        <w:rPr/>
      </w:pPr>
      <w:hyperlink w:anchor="iccccf23fa31e44f0aa82c99ca0859db8_7">
        <w:r>
          <w:rPr>
            <w:rStyle w:val="InternetLink"/>
            <w:rFonts w:ascii="Adelle Sans Light;sans-serif" w:hAnsi="Adelle Sans Light;sans-serif"/>
            <w:b w:val="false"/>
            <w:color w:val="0000FF"/>
            <w:sz w:val="20"/>
            <w:u w:val="single"/>
          </w:rPr>
          <w:t>Table of Contents</w:t>
        </w:r>
      </w:hyperlink>
    </w:p>
    <w:p>
      <w:pPr>
        <w:pStyle w:val="TextBody"/>
        <w:bidi w:val="0"/>
        <w:spacing w:lineRule="auto" w:line="288" w:before="0" w:after="160"/>
        <w:jc w:val="both"/>
        <w:rPr/>
      </w:pPr>
      <w:bookmarkStart w:id="73" w:name="i94c0cac309284c2aa50ffcea116ceea1"/>
      <w:bookmarkEnd w:id="73"/>
      <w:r>
        <w:rPr>
          <w:rFonts w:ascii="Adelle Sans Light;sans-serif" w:hAnsi="Adelle Sans Light;sans-serif"/>
          <w:b w:val="false"/>
          <w:color w:val="000000"/>
          <w:sz w:val="10"/>
        </w:rPr>
        <w:t xml:space="preserve">(2) </w:t>
      </w:r>
      <w:r>
        <w:rPr>
          <w:rFonts w:ascii="Adelle Sans Light;sans-serif" w:hAnsi="Adelle Sans Light;sans-serif"/>
          <w:b w:val="false"/>
          <w:color w:val="000000"/>
          <w:sz w:val="16"/>
        </w:rPr>
        <w:t xml:space="preserve">Includes amortization of acquired intangibles as follows: </w:t>
      </w:r>
    </w:p>
    <w:tbl>
      <w:tblPr>
        <w:tblW w:w="9361" w:type="dxa"/>
        <w:jc w:val="left"/>
        <w:tblInd w:w="0" w:type="dxa"/>
        <w:tblLayout w:type="fixed"/>
        <w:tblCellMar>
          <w:top w:w="28" w:type="dxa"/>
          <w:left w:w="28" w:type="dxa"/>
          <w:bottom w:w="28" w:type="dxa"/>
          <w:right w:w="28" w:type="dxa"/>
        </w:tblCellMar>
      </w:tblPr>
      <w:tblGrid>
        <w:gridCol w:w="939"/>
        <w:gridCol w:w="825"/>
        <w:gridCol w:w="831"/>
        <w:gridCol w:w="346"/>
        <w:gridCol w:w="346"/>
        <w:gridCol w:w="346"/>
        <w:gridCol w:w="346"/>
        <w:gridCol w:w="346"/>
        <w:gridCol w:w="346"/>
        <w:gridCol w:w="346"/>
        <w:gridCol w:w="346"/>
        <w:gridCol w:w="346"/>
        <w:gridCol w:w="109"/>
        <w:gridCol w:w="109"/>
        <w:gridCol w:w="109"/>
        <w:gridCol w:w="316"/>
        <w:gridCol w:w="316"/>
        <w:gridCol w:w="316"/>
        <w:gridCol w:w="316"/>
        <w:gridCol w:w="316"/>
        <w:gridCol w:w="316"/>
        <w:gridCol w:w="316"/>
        <w:gridCol w:w="316"/>
        <w:gridCol w:w="316"/>
        <w:gridCol w:w="109"/>
        <w:gridCol w:w="109"/>
        <w:gridCol w:w="109"/>
        <w:gridCol w:w="154"/>
      </w:tblGrid>
      <w:tr>
        <w:trPr/>
        <w:tc>
          <w:tcPr>
            <w:tcW w:w="939"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4"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delle Sans;sans-serif" w:hAnsi="Adelle Sans;sans-serif"/>
                <w:b/>
                <w:color w:val="000000"/>
                <w:sz w:val="18"/>
              </w:rPr>
            </w:pPr>
            <w:r>
              <w:rPr>
                <w:rFonts w:ascii="Adelle Sans;sans-serif" w:hAnsi="Adelle Sans;sans-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4"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delle Sans;sans-serif" w:hAnsi="Adelle Sans;sans-serif"/>
                <w:b/>
                <w:color w:val="000000"/>
                <w:sz w:val="18"/>
              </w:rPr>
            </w:pPr>
            <w:r>
              <w:rPr>
                <w:rFonts w:ascii="Adelle Sans;sans-serif" w:hAnsi="Adelle Sans;sans-serif"/>
                <w:b/>
                <w:color w:val="000000"/>
                <w:sz w:val="18"/>
              </w:rPr>
              <w:t>Six months ended June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25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Adelle Sans;sans-serif" w:hAnsi="Adelle Sans;sans-serif"/>
                <w:b/>
                <w:color w:val="000000"/>
                <w:sz w:val="18"/>
              </w:rPr>
            </w:pPr>
            <w:r>
              <w:rPr>
                <w:rFonts w:ascii="Adelle Sans;sans-serif" w:hAnsi="Adelle Sans;sans-serif"/>
                <w:b/>
                <w:color w:val="000000"/>
                <w:sz w:val="18"/>
              </w:rPr>
              <w:t>2026</w:t>
            </w:r>
          </w:p>
        </w:tc>
        <w:tc>
          <w:tcPr>
            <w:tcW w:w="1038"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Adelle Sans;sans-serif" w:hAnsi="Adelle Sans;sans-serif"/>
                <w:b/>
                <w:color w:val="000000"/>
                <w:sz w:val="18"/>
              </w:rPr>
            </w:pPr>
            <w:r>
              <w:rPr>
                <w:rFonts w:ascii="Adelle Sans;sans-serif" w:hAnsi="Adelle Sans;sans-serif"/>
                <w:b/>
                <w:color w:val="000000"/>
                <w:sz w:val="18"/>
              </w:rPr>
              <w:t>2025</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48"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Adelle Sans;sans-serif" w:hAnsi="Adelle Sans;sans-serif"/>
                <w:b/>
                <w:color w:val="000000"/>
                <w:sz w:val="18"/>
              </w:rPr>
            </w:pPr>
            <w:r>
              <w:rPr>
                <w:rFonts w:ascii="Adelle Sans;sans-serif" w:hAnsi="Adelle Sans;sans-serif"/>
                <w:b/>
                <w:color w:val="000000"/>
                <w:sz w:val="18"/>
              </w:rPr>
              <w:t>2026</w:t>
            </w:r>
          </w:p>
        </w:tc>
        <w:tc>
          <w:tcPr>
            <w:tcW w:w="948"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948"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Adelle Sans;sans-serif" w:hAnsi="Adelle Sans;sans-serif"/>
                <w:b/>
                <w:color w:val="000000"/>
                <w:sz w:val="18"/>
              </w:rPr>
            </w:pPr>
            <w:r>
              <w:rPr>
                <w:rFonts w:ascii="Adelle Sans;sans-serif" w:hAnsi="Adelle Sans;sans-serif"/>
                <w:b/>
                <w:color w:val="000000"/>
                <w:sz w:val="18"/>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9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5" w:type="dxa"/>
            <w:gridSpan w:val="21"/>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delle Sans;sans-serif" w:hAnsi="Adelle Sans;sans-serif"/>
                <w:b w:val="false"/>
                <w:color w:val="000000"/>
                <w:sz w:val="18"/>
              </w:rPr>
            </w:pPr>
            <w:r>
              <w:rPr>
                <w:rFonts w:ascii="Adelle Sans;sans-serif" w:hAnsi="Adelle Sans;sans-serif"/>
                <w:b w:val="false"/>
                <w:color w:val="000000"/>
                <w:sz w:val="18"/>
              </w:rPr>
              <w:t>(in US $ millions)</w:t>
            </w:r>
          </w:p>
        </w:tc>
        <w:tc>
          <w:tcPr>
            <w:tcW w:w="481" w:type="dxa"/>
            <w:gridSpan w:val="4"/>
            <w:tcBorders/>
          </w:tcPr>
          <w:p>
            <w:pPr>
              <w:pStyle w:val="TableContents"/>
              <w:bidi w:val="0"/>
              <w:spacing w:before="0" w:after="283"/>
              <w:jc w:val="left"/>
              <w:rPr>
                <w:sz w:val="4"/>
                <w:szCs w:val="4"/>
              </w:rPr>
            </w:pPr>
            <w:r>
              <w:rPr>
                <w:sz w:val="4"/>
                <w:szCs w:val="4"/>
              </w:rPr>
            </w:r>
          </w:p>
        </w:tc>
      </w:tr>
      <w:tr>
        <w:trPr/>
        <w:tc>
          <w:tcPr>
            <w:tcW w:w="2595" w:type="dxa"/>
            <w:gridSpan w:val="3"/>
            <w:tcBorders/>
            <w:shd w:fill="F7F7F7" w:val="clear"/>
            <w:tcMar>
              <w:top w:w="0" w:type="dxa"/>
              <w:left w:w="0" w:type="dxa"/>
              <w:bottom w:w="0" w:type="dxa"/>
              <w:right w:w="0" w:type="dxa"/>
            </w:tcMar>
            <w:vAlign w:val="center"/>
          </w:tcPr>
          <w:p>
            <w:pPr>
              <w:pStyle w:val="TableContents"/>
              <w:bidi w:val="0"/>
              <w:spacing w:lineRule="auto" w:line="240" w:before="0" w:after="283"/>
              <w:jc w:val="left"/>
              <w:rPr>
                <w:rFonts w:ascii="Adelle Sans;sans-serif" w:hAnsi="Adelle Sans;sans-serif"/>
                <w:b w:val="false"/>
                <w:color w:val="000000"/>
                <w:sz w:val="18"/>
              </w:rPr>
            </w:pPr>
            <w:r>
              <w:rPr>
                <w:rFonts w:ascii="Adelle Sans;sans-serif" w:hAnsi="Adelle Sans;sans-serif"/>
                <w:b w:val="false"/>
                <w:color w:val="000000"/>
                <w:sz w:val="18"/>
              </w:rPr>
              <w:t>Cost of revenues</w:t>
            </w:r>
          </w:p>
        </w:tc>
        <w:tc>
          <w:tcPr>
            <w:tcW w:w="692" w:type="dxa"/>
            <w:gridSpan w:val="2"/>
            <w:tcBorders/>
            <w:shd w:fill="F7F7F7"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2 </w:t>
            </w:r>
          </w:p>
        </w:tc>
        <w:tc>
          <w:tcPr>
            <w:tcW w:w="346" w:type="dxa"/>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7F7F7"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2 </w:t>
            </w:r>
          </w:p>
        </w:tc>
        <w:tc>
          <w:tcPr>
            <w:tcW w:w="346" w:type="dxa"/>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7F7F7"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4 </w:t>
            </w:r>
          </w:p>
        </w:tc>
        <w:tc>
          <w:tcPr>
            <w:tcW w:w="316" w:type="dxa"/>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7F7F7"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4 </w:t>
            </w:r>
          </w:p>
        </w:tc>
        <w:tc>
          <w:tcPr>
            <w:tcW w:w="316" w:type="dxa"/>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95" w:type="dxa"/>
            <w:gridSpan w:val="3"/>
            <w:tcBorders/>
            <w:vAlign w:val="center"/>
          </w:tcPr>
          <w:p>
            <w:pPr>
              <w:pStyle w:val="TableContents"/>
              <w:bidi w:val="0"/>
              <w:spacing w:before="0" w:after="283"/>
              <w:jc w:val="left"/>
              <w:rPr>
                <w:sz w:val="4"/>
                <w:szCs w:val="4"/>
              </w:rPr>
            </w:pPr>
            <w:r>
              <w:rPr>
                <w:sz w:val="4"/>
                <w:szCs w:val="4"/>
              </w:rPr>
            </w:r>
          </w:p>
        </w:tc>
        <w:tc>
          <w:tcPr>
            <w:tcW w:w="1038" w:type="dxa"/>
            <w:gridSpan w:val="3"/>
            <w:tcBorders/>
            <w:vAlign w:val="center"/>
          </w:tcPr>
          <w:p>
            <w:pPr>
              <w:pStyle w:val="TableContents"/>
              <w:bidi w:val="0"/>
              <w:spacing w:before="0" w:after="283"/>
              <w:jc w:val="left"/>
              <w:rPr>
                <w:sz w:val="4"/>
                <w:szCs w:val="4"/>
              </w:rPr>
            </w:pPr>
            <w:r>
              <w:rPr>
                <w:sz w:val="4"/>
                <w:szCs w:val="4"/>
              </w:rPr>
            </w:r>
          </w:p>
        </w:tc>
        <w:tc>
          <w:tcPr>
            <w:tcW w:w="1038" w:type="dxa"/>
            <w:gridSpan w:val="3"/>
            <w:tcBorders/>
            <w:vAlign w:val="center"/>
          </w:tcPr>
          <w:p>
            <w:pPr>
              <w:pStyle w:val="TableContents"/>
              <w:bidi w:val="0"/>
              <w:spacing w:before="0" w:after="283"/>
              <w:jc w:val="left"/>
              <w:rPr>
                <w:sz w:val="4"/>
                <w:szCs w:val="4"/>
              </w:rPr>
            </w:pPr>
            <w:r>
              <w:rPr>
                <w:sz w:val="4"/>
                <w:szCs w:val="4"/>
              </w:rPr>
            </w:r>
          </w:p>
        </w:tc>
        <w:tc>
          <w:tcPr>
            <w:tcW w:w="10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8" w:type="dxa"/>
            <w:gridSpan w:val="3"/>
            <w:tcBorders/>
            <w:vAlign w:val="center"/>
          </w:tcPr>
          <w:p>
            <w:pPr>
              <w:pStyle w:val="TableContents"/>
              <w:bidi w:val="0"/>
              <w:spacing w:before="0" w:after="283"/>
              <w:jc w:val="left"/>
              <w:rPr>
                <w:sz w:val="4"/>
                <w:szCs w:val="4"/>
              </w:rPr>
            </w:pPr>
            <w:r>
              <w:rPr>
                <w:sz w:val="4"/>
                <w:szCs w:val="4"/>
              </w:rPr>
            </w:r>
          </w:p>
        </w:tc>
        <w:tc>
          <w:tcPr>
            <w:tcW w:w="948" w:type="dxa"/>
            <w:gridSpan w:val="3"/>
            <w:tcBorders/>
            <w:vAlign w:val="center"/>
          </w:tcPr>
          <w:p>
            <w:pPr>
              <w:pStyle w:val="TableContents"/>
              <w:bidi w:val="0"/>
              <w:spacing w:before="0" w:after="283"/>
              <w:jc w:val="left"/>
              <w:rPr>
                <w:sz w:val="4"/>
                <w:szCs w:val="4"/>
              </w:rPr>
            </w:pPr>
            <w:r>
              <w:rPr>
                <w:sz w:val="4"/>
                <w:szCs w:val="4"/>
              </w:rPr>
            </w:r>
          </w:p>
        </w:tc>
        <w:tc>
          <w:tcPr>
            <w:tcW w:w="94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delle Sans;sans-serif" w:hAnsi="Adelle Sans;sans-serif"/>
                <w:b w:val="false"/>
                <w:color w:val="000000"/>
                <w:sz w:val="18"/>
              </w:rPr>
            </w:pPr>
            <w:r>
              <w:rPr>
                <w:rFonts w:ascii="Adelle Sans;sans-serif" w:hAnsi="Adelle Sans;sans-serif"/>
                <w:b w:val="false"/>
                <w:color w:val="000000"/>
                <w:sz w:val="18"/>
              </w:rPr>
              <w:t>Research and development</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1 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1 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2 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95"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8" w:space="0" w:color="000000"/>
            </w:tcBorders>
            <w:shd w:fill="F7F7F7" w:val="clear"/>
            <w:tcMar>
              <w:top w:w="52"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2 </w:t>
            </w:r>
          </w:p>
        </w:tc>
        <w:tc>
          <w:tcPr>
            <w:tcW w:w="346" w:type="dxa"/>
            <w:tcBorders>
              <w:top w:val="single" w:sz="8" w:space="0" w:color="000000"/>
            </w:tcBorders>
            <w:shd w:fill="F7F7F7"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top w:val="single" w:sz="8" w:space="0" w:color="000000"/>
            </w:tcBorders>
            <w:shd w:fill="F7F7F7"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8" w:space="0" w:color="000000"/>
            </w:tcBorders>
            <w:shd w:fill="F7F7F7" w:val="clear"/>
            <w:tcMar>
              <w:top w:w="52"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3 </w:t>
            </w:r>
          </w:p>
        </w:tc>
        <w:tc>
          <w:tcPr>
            <w:tcW w:w="346" w:type="dxa"/>
            <w:tcBorders>
              <w:top w:val="single" w:sz="8" w:space="0" w:color="000000"/>
            </w:tcBorders>
            <w:shd w:fill="F7F7F7"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top w:val="single" w:sz="8" w:space="0" w:color="000000"/>
            </w:tcBorders>
            <w:shd w:fill="F7F7F7" w:val="clear"/>
            <w:tcMar>
              <w:top w:w="52"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5 </w:t>
            </w:r>
          </w:p>
        </w:tc>
        <w:tc>
          <w:tcPr>
            <w:tcW w:w="316" w:type="dxa"/>
            <w:tcBorders>
              <w:top w:val="single" w:sz="8" w:space="0" w:color="000000"/>
            </w:tcBorders>
            <w:shd w:fill="F7F7F7"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3"/>
            <w:tcBorders>
              <w:top w:val="single" w:sz="8" w:space="0" w:color="000000"/>
            </w:tcBorders>
            <w:shd w:fill="F7F7F7"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top w:val="single" w:sz="8" w:space="0" w:color="000000"/>
            </w:tcBorders>
            <w:shd w:fill="F7F7F7" w:val="clear"/>
            <w:tcMar>
              <w:top w:w="52"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6 </w:t>
            </w:r>
          </w:p>
        </w:tc>
        <w:tc>
          <w:tcPr>
            <w:tcW w:w="316" w:type="dxa"/>
            <w:tcBorders>
              <w:top w:val="single" w:sz="8" w:space="0" w:color="000000"/>
            </w:tcBorders>
            <w:shd w:fill="F7F7F7"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jc w:val="left"/>
        <w:rPr>
          <w:rFonts w:ascii="Adelle Sans;sans-serif" w:hAnsi="Adelle Sans;sans-serif"/>
          <w:b/>
          <w:i/>
          <w:color w:val="000000"/>
          <w:sz w:val="20"/>
        </w:rPr>
      </w:pPr>
      <w:bookmarkStart w:id="74" w:name="i0c9923c6a77a4277bc57d7f90ba3dbd6"/>
      <w:bookmarkEnd w:id="74"/>
      <w:r>
        <w:rPr>
          <w:rFonts w:ascii="Adelle Sans;sans-serif" w:hAnsi="Adelle Sans;sans-serif"/>
          <w:b/>
          <w:i/>
          <w:color w:val="000000"/>
          <w:sz w:val="20"/>
        </w:rPr>
        <w:t>Revenues</w:t>
      </w:r>
    </w:p>
    <w:tbl>
      <w:tblPr>
        <w:tblW w:w="10205" w:type="dxa"/>
        <w:jc w:val="left"/>
        <w:tblInd w:w="0" w:type="dxa"/>
        <w:tblLayout w:type="fixed"/>
        <w:tblCellMar>
          <w:top w:w="28" w:type="dxa"/>
          <w:left w:w="28" w:type="dxa"/>
          <w:bottom w:w="28" w:type="dxa"/>
          <w:right w:w="28" w:type="dxa"/>
        </w:tblCellMar>
      </w:tblPr>
      <w:tblGrid>
        <w:gridCol w:w="560"/>
        <w:gridCol w:w="471"/>
        <w:gridCol w:w="474"/>
        <w:gridCol w:w="358"/>
        <w:gridCol w:w="348"/>
        <w:gridCol w:w="292"/>
        <w:gridCol w:w="117"/>
        <w:gridCol w:w="117"/>
        <w:gridCol w:w="117"/>
        <w:gridCol w:w="358"/>
        <w:gridCol w:w="348"/>
        <w:gridCol w:w="292"/>
        <w:gridCol w:w="117"/>
        <w:gridCol w:w="117"/>
        <w:gridCol w:w="117"/>
        <w:gridCol w:w="250"/>
        <w:gridCol w:w="250"/>
        <w:gridCol w:w="626"/>
        <w:gridCol w:w="109"/>
        <w:gridCol w:w="109"/>
        <w:gridCol w:w="109"/>
        <w:gridCol w:w="353"/>
        <w:gridCol w:w="353"/>
        <w:gridCol w:w="306"/>
        <w:gridCol w:w="115"/>
        <w:gridCol w:w="115"/>
        <w:gridCol w:w="115"/>
        <w:gridCol w:w="353"/>
        <w:gridCol w:w="353"/>
        <w:gridCol w:w="306"/>
        <w:gridCol w:w="115"/>
        <w:gridCol w:w="115"/>
        <w:gridCol w:w="115"/>
        <w:gridCol w:w="250"/>
        <w:gridCol w:w="250"/>
        <w:gridCol w:w="626"/>
        <w:gridCol w:w="109"/>
        <w:gridCol w:w="109"/>
        <w:gridCol w:w="109"/>
        <w:gridCol w:w="109"/>
        <w:gridCol w:w="109"/>
        <w:gridCol w:w="164"/>
      </w:tblGrid>
      <w:tr>
        <w:trPr/>
        <w:tc>
          <w:tcPr>
            <w:tcW w:w="560"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5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4"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delle Sans;sans-serif" w:hAnsi="Adelle Sans;sans-serif"/>
                <w:b/>
                <w:color w:val="000000"/>
                <w:sz w:val="18"/>
              </w:rPr>
            </w:pPr>
            <w:r>
              <w:rPr>
                <w:rFonts w:ascii="Adelle Sans;sans-serif" w:hAnsi="Adelle Sans;sans-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0"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delle Sans;sans-serif" w:hAnsi="Adelle Sans;sans-serif"/>
                <w:b/>
                <w:color w:val="000000"/>
                <w:sz w:val="18"/>
              </w:rPr>
            </w:pPr>
            <w:r>
              <w:rPr>
                <w:rFonts w:ascii="Adelle Sans;sans-serif" w:hAnsi="Adelle Sans;sans-serif"/>
                <w:b/>
                <w:color w:val="000000"/>
                <w:sz w:val="18"/>
              </w:rPr>
              <w:t>Six months ended June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1" w:type="dxa"/>
            <w:gridSpan w:val="4"/>
            <w:tcBorders/>
          </w:tcPr>
          <w:p>
            <w:pPr>
              <w:pStyle w:val="TableContents"/>
              <w:bidi w:val="0"/>
              <w:spacing w:before="0" w:after="283"/>
              <w:jc w:val="left"/>
              <w:rPr>
                <w:sz w:val="4"/>
                <w:szCs w:val="4"/>
              </w:rPr>
            </w:pPr>
            <w:r>
              <w:rPr>
                <w:sz w:val="4"/>
                <w:szCs w:val="4"/>
              </w:rPr>
            </w:r>
          </w:p>
        </w:tc>
      </w:tr>
      <w:tr>
        <w:trPr/>
        <w:tc>
          <w:tcPr>
            <w:tcW w:w="15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Adelle Sans;sans-serif" w:hAnsi="Adelle Sans;sans-serif"/>
                <w:b/>
                <w:color w:val="000000"/>
                <w:sz w:val="18"/>
              </w:rPr>
            </w:pPr>
            <w:r>
              <w:rPr>
                <w:rFonts w:ascii="Adelle Sans;sans-serif" w:hAnsi="Adelle Sans;sans-serif"/>
                <w:b/>
                <w:color w:val="000000"/>
                <w:sz w:val="18"/>
              </w:rPr>
              <w:t>2026</w:t>
            </w:r>
          </w:p>
        </w:tc>
        <w:tc>
          <w:tcPr>
            <w:tcW w:w="351"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Adelle Sans;sans-serif" w:hAnsi="Adelle Sans;sans-serif"/>
                <w:b/>
                <w:color w:val="000000"/>
                <w:sz w:val="18"/>
              </w:rPr>
            </w:pPr>
            <w:r>
              <w:rPr>
                <w:rFonts w:ascii="Adelle Sans;sans-serif" w:hAnsi="Adelle Sans;sans-serif"/>
                <w:b/>
                <w:color w:val="000000"/>
                <w:sz w:val="18"/>
              </w:rPr>
              <w:t>2025</w:t>
            </w:r>
          </w:p>
        </w:tc>
        <w:tc>
          <w:tcPr>
            <w:tcW w:w="351"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Adelle Sans;sans-serif" w:hAnsi="Adelle Sans;sans-serif"/>
                <w:b/>
                <w:color w:val="000000"/>
                <w:sz w:val="18"/>
              </w:rPr>
            </w:pPr>
            <w:r>
              <w:rPr>
                <w:rFonts w:ascii="Adelle Sans;sans-serif" w:hAnsi="Adelle Sans;sans-serif"/>
                <w:b/>
                <w:color w:val="000000"/>
                <w:sz w:val="18"/>
              </w:rPr>
              <w:t>% Change</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Adelle Sans;sans-serif" w:hAnsi="Adelle Sans;sans-serif"/>
                <w:b/>
                <w:color w:val="000000"/>
                <w:sz w:val="18"/>
              </w:rPr>
            </w:pPr>
            <w:r>
              <w:rPr>
                <w:rFonts w:ascii="Adelle Sans;sans-serif" w:hAnsi="Adelle Sans;sans-serif"/>
                <w:b/>
                <w:color w:val="000000"/>
                <w:sz w:val="18"/>
              </w:rPr>
              <w:t>2026</w:t>
            </w:r>
          </w:p>
        </w:tc>
        <w:tc>
          <w:tcPr>
            <w:tcW w:w="345"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Adelle Sans;sans-serif" w:hAnsi="Adelle Sans;sans-serif"/>
                <w:b/>
                <w:color w:val="000000"/>
                <w:sz w:val="18"/>
              </w:rPr>
            </w:pPr>
            <w:r>
              <w:rPr>
                <w:rFonts w:ascii="Adelle Sans;sans-serif" w:hAnsi="Adelle Sans;sans-serif"/>
                <w:b/>
                <w:color w:val="000000"/>
                <w:sz w:val="18"/>
              </w:rPr>
              <w:t>2025</w:t>
            </w:r>
          </w:p>
        </w:tc>
        <w:tc>
          <w:tcPr>
            <w:tcW w:w="345"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Adelle Sans;sans-serif" w:hAnsi="Adelle Sans;sans-serif"/>
                <w:b/>
                <w:color w:val="000000"/>
                <w:sz w:val="18"/>
              </w:rPr>
            </w:pPr>
            <w:r>
              <w:rPr>
                <w:rFonts w:ascii="Adelle Sans;sans-serif" w:hAnsi="Adelle Sans;sans-serif"/>
                <w:b/>
                <w:color w:val="000000"/>
                <w:sz w:val="18"/>
              </w:rPr>
              <w:t>% Change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50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1"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Adelle Sans;sans-serif" w:hAnsi="Adelle Sans;sans-serif"/>
                <w:b w:val="false"/>
                <w:color w:val="000000"/>
                <w:sz w:val="18"/>
              </w:rPr>
            </w:pPr>
            <w:r>
              <w:rPr>
                <w:rFonts w:ascii="Adelle Sans;sans-serif" w:hAnsi="Adelle Sans;sans-serif"/>
                <w:b w:val="false"/>
                <w:color w:val="000000"/>
                <w:sz w:val="18"/>
              </w:rPr>
              <w:t>(in US $ millions, except percentages)</w:t>
            </w:r>
          </w:p>
        </w:tc>
        <w:tc>
          <w:tcPr>
            <w:tcW w:w="709" w:type="dxa"/>
            <w:gridSpan w:val="6"/>
            <w:tcBorders/>
          </w:tcPr>
          <w:p>
            <w:pPr>
              <w:pStyle w:val="TableContents"/>
              <w:bidi w:val="0"/>
              <w:spacing w:before="0" w:after="283"/>
              <w:jc w:val="left"/>
              <w:rPr>
                <w:sz w:val="4"/>
                <w:szCs w:val="4"/>
              </w:rPr>
            </w:pPr>
            <w:r>
              <w:rPr>
                <w:sz w:val="4"/>
                <w:szCs w:val="4"/>
              </w:rPr>
            </w:r>
          </w:p>
        </w:tc>
      </w:tr>
      <w:tr>
        <w:trPr/>
        <w:tc>
          <w:tcPr>
            <w:tcW w:w="15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delle Sans;sans-serif" w:hAnsi="Adelle Sans;sans-serif"/>
                <w:b/>
                <w:color w:val="000000"/>
                <w:sz w:val="18"/>
              </w:rPr>
            </w:pPr>
            <w:r>
              <w:rPr>
                <w:rFonts w:ascii="Adelle Sans;sans-serif" w:hAnsi="Adelle Sans;sans-serif"/>
                <w:b/>
                <w:color w:val="000000"/>
                <w:sz w:val="18"/>
              </w:rPr>
              <w:t>Revenues</w:t>
            </w:r>
          </w:p>
        </w:tc>
        <w:tc>
          <w:tcPr>
            <w:tcW w:w="9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505" w:type="dxa"/>
            <w:gridSpan w:val="3"/>
            <w:tcBorders/>
            <w:shd w:fill="F7F7F7" w:val="clear"/>
            <w:tcMar>
              <w:top w:w="0" w:type="dxa"/>
              <w:left w:w="0" w:type="dxa"/>
              <w:bottom w:w="0" w:type="dxa"/>
              <w:right w:w="0" w:type="dxa"/>
            </w:tcMar>
            <w:vAlign w:val="center"/>
          </w:tcPr>
          <w:p>
            <w:pPr>
              <w:pStyle w:val="TableContents"/>
              <w:bidi w:val="0"/>
              <w:spacing w:lineRule="auto" w:line="240" w:before="0" w:after="283"/>
              <w:jc w:val="left"/>
              <w:rPr>
                <w:rFonts w:ascii="Adelle Sans;sans-serif" w:hAnsi="Adelle Sans;sans-serif"/>
                <w:b w:val="false"/>
                <w:color w:val="000000"/>
                <w:sz w:val="18"/>
              </w:rPr>
            </w:pPr>
            <w:r>
              <w:rPr>
                <w:rFonts w:ascii="Adelle Sans;sans-serif" w:hAnsi="Adelle Sans;sans-serif"/>
                <w:b w:val="false"/>
                <w:color w:val="000000"/>
                <w:sz w:val="18"/>
              </w:rPr>
              <w:t>Subscription solutions</w:t>
            </w:r>
          </w:p>
        </w:tc>
        <w:tc>
          <w:tcPr>
            <w:tcW w:w="706" w:type="dxa"/>
            <w:gridSpan w:val="2"/>
            <w:tcBorders/>
            <w:shd w:fill="F7F7F7"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802 </w:t>
            </w:r>
          </w:p>
        </w:tc>
        <w:tc>
          <w:tcPr>
            <w:tcW w:w="292" w:type="dxa"/>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7F7F7"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656 </w:t>
            </w:r>
          </w:p>
        </w:tc>
        <w:tc>
          <w:tcPr>
            <w:tcW w:w="292" w:type="dxa"/>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 w:type="dxa"/>
            <w:gridSpan w:val="2"/>
            <w:tcBorders/>
            <w:shd w:fill="F7F7F7"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22 </w:t>
            </w:r>
          </w:p>
        </w:tc>
        <w:tc>
          <w:tcPr>
            <w:tcW w:w="626" w:type="dxa"/>
            <w:tcBorders/>
            <w:shd w:fill="F7F7F7"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w:t>
            </w:r>
          </w:p>
        </w:tc>
        <w:tc>
          <w:tcPr>
            <w:tcW w:w="327"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7F7F7"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1,552 </w:t>
            </w:r>
          </w:p>
        </w:tc>
        <w:tc>
          <w:tcPr>
            <w:tcW w:w="306" w:type="dxa"/>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7F7F7"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1,276 </w:t>
            </w:r>
          </w:p>
        </w:tc>
        <w:tc>
          <w:tcPr>
            <w:tcW w:w="306" w:type="dxa"/>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 w:type="dxa"/>
            <w:gridSpan w:val="2"/>
            <w:tcBorders/>
            <w:shd w:fill="F7F7F7"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22 </w:t>
            </w:r>
          </w:p>
        </w:tc>
        <w:tc>
          <w:tcPr>
            <w:tcW w:w="626" w:type="dxa"/>
            <w:tcBorders/>
            <w:shd w:fill="F7F7F7"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5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delle Sans;sans-serif" w:hAnsi="Adelle Sans;sans-serif"/>
                <w:b w:val="false"/>
                <w:color w:val="000000"/>
                <w:sz w:val="18"/>
              </w:rPr>
            </w:pPr>
            <w:r>
              <w:rPr>
                <w:rFonts w:ascii="Adelle Sans;sans-serif" w:hAnsi="Adelle Sans;sans-serif"/>
                <w:b w:val="false"/>
                <w:color w:val="000000"/>
                <w:sz w:val="18"/>
              </w:rPr>
              <w:t>Merchant solutions</w:t>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2,781 </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2,024 </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37 </w:t>
            </w:r>
          </w:p>
        </w:tc>
        <w:tc>
          <w:tcPr>
            <w:tcW w:w="6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5,201 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3,764 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38 </w:t>
            </w:r>
          </w:p>
        </w:tc>
        <w:tc>
          <w:tcPr>
            <w:tcW w:w="6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505" w:type="dxa"/>
            <w:gridSpan w:val="3"/>
            <w:tcBorders/>
            <w:shd w:fill="F7F7F7" w:val="clear"/>
            <w:tcMar>
              <w:top w:w="0" w:type="dxa"/>
              <w:left w:w="0" w:type="dxa"/>
              <w:bottom w:w="0" w:type="dxa"/>
              <w:right w:w="0" w:type="dxa"/>
            </w:tcMar>
            <w:vAlign w:val="center"/>
          </w:tcPr>
          <w:p>
            <w:pPr>
              <w:pStyle w:val="TableContents"/>
              <w:bidi w:val="0"/>
              <w:spacing w:lineRule="auto" w:line="240" w:before="0" w:after="283"/>
              <w:jc w:val="left"/>
              <w:rPr>
                <w:rFonts w:ascii="Adelle Sans;sans-serif" w:hAnsi="Adelle Sans;sans-serif"/>
                <w:b w:val="false"/>
                <w:color w:val="000000"/>
                <w:sz w:val="18"/>
              </w:rPr>
            </w:pPr>
            <w:r>
              <w:rPr>
                <w:rFonts w:ascii="Adelle Sans;sans-serif" w:hAnsi="Adelle Sans;sans-serif"/>
                <w:b w:val="false"/>
                <w:color w:val="000000"/>
                <w:sz w:val="18"/>
              </w:rPr>
              <w:t>Total revenues</w:t>
            </w:r>
          </w:p>
        </w:tc>
        <w:tc>
          <w:tcPr>
            <w:tcW w:w="706" w:type="dxa"/>
            <w:gridSpan w:val="2"/>
            <w:tcBorders>
              <w:top w:val="single" w:sz="8" w:space="0" w:color="000000"/>
            </w:tcBorders>
            <w:shd w:fill="F7F7F7" w:val="clear"/>
            <w:tcMar>
              <w:top w:w="52"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3,583 </w:t>
            </w:r>
          </w:p>
        </w:tc>
        <w:tc>
          <w:tcPr>
            <w:tcW w:w="292" w:type="dxa"/>
            <w:tcBorders>
              <w:top w:val="single" w:sz="8" w:space="0" w:color="000000"/>
            </w:tcBorders>
            <w:shd w:fill="F7F7F7"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op w:val="single" w:sz="8" w:space="0" w:color="000000"/>
            </w:tcBorders>
            <w:shd w:fill="F7F7F7"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8" w:space="0" w:color="000000"/>
            </w:tcBorders>
            <w:shd w:fill="F7F7F7" w:val="clear"/>
            <w:tcMar>
              <w:top w:w="52"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2,680 </w:t>
            </w:r>
          </w:p>
        </w:tc>
        <w:tc>
          <w:tcPr>
            <w:tcW w:w="292" w:type="dxa"/>
            <w:tcBorders>
              <w:top w:val="single" w:sz="8" w:space="0" w:color="000000"/>
            </w:tcBorders>
            <w:shd w:fill="F7F7F7"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 w:type="dxa"/>
            <w:gridSpan w:val="2"/>
            <w:tcBorders>
              <w:top w:val="single" w:sz="8" w:space="0" w:color="000000"/>
            </w:tcBorders>
            <w:shd w:fill="F7F7F7" w:val="clear"/>
            <w:tcMar>
              <w:top w:w="52"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34 </w:t>
            </w:r>
          </w:p>
        </w:tc>
        <w:tc>
          <w:tcPr>
            <w:tcW w:w="626" w:type="dxa"/>
            <w:tcBorders>
              <w:top w:val="single" w:sz="8" w:space="0" w:color="000000"/>
            </w:tcBorders>
            <w:shd w:fill="F7F7F7" w:val="clear"/>
            <w:tcMar>
              <w:top w:w="52"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w:t>
            </w:r>
          </w:p>
        </w:tc>
        <w:tc>
          <w:tcPr>
            <w:tcW w:w="327"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8" w:space="0" w:color="000000"/>
            </w:tcBorders>
            <w:shd w:fill="F7F7F7" w:val="clear"/>
            <w:tcMar>
              <w:top w:w="52"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6,753 </w:t>
            </w:r>
          </w:p>
        </w:tc>
        <w:tc>
          <w:tcPr>
            <w:tcW w:w="306" w:type="dxa"/>
            <w:tcBorders>
              <w:top w:val="single" w:sz="8" w:space="0" w:color="000000"/>
            </w:tcBorders>
            <w:shd w:fill="F7F7F7"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op w:val="single" w:sz="8" w:space="0" w:color="000000"/>
            </w:tcBorders>
            <w:shd w:fill="F7F7F7"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8" w:space="0" w:color="000000"/>
            </w:tcBorders>
            <w:shd w:fill="F7F7F7" w:val="clear"/>
            <w:tcMar>
              <w:top w:w="52"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5,040 </w:t>
            </w:r>
          </w:p>
        </w:tc>
        <w:tc>
          <w:tcPr>
            <w:tcW w:w="306" w:type="dxa"/>
            <w:tcBorders>
              <w:top w:val="single" w:sz="8" w:space="0" w:color="000000"/>
            </w:tcBorders>
            <w:shd w:fill="F7F7F7"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 w:type="dxa"/>
            <w:gridSpan w:val="2"/>
            <w:tcBorders>
              <w:top w:val="single" w:sz="8" w:space="0" w:color="000000"/>
            </w:tcBorders>
            <w:shd w:fill="F7F7F7" w:val="clear"/>
            <w:tcMar>
              <w:top w:w="52"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34 </w:t>
            </w:r>
          </w:p>
        </w:tc>
        <w:tc>
          <w:tcPr>
            <w:tcW w:w="626" w:type="dxa"/>
            <w:tcBorders>
              <w:top w:val="single" w:sz="8" w:space="0" w:color="000000"/>
            </w:tcBorders>
            <w:shd w:fill="F7F7F7" w:val="clear"/>
            <w:tcMar>
              <w:top w:w="52"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50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505" w:type="dxa"/>
            <w:gridSpan w:val="3"/>
            <w:tcBorders/>
            <w:shd w:fill="F7F7F7" w:val="clear"/>
            <w:tcMar>
              <w:top w:w="0" w:type="dxa"/>
              <w:left w:w="0" w:type="dxa"/>
              <w:bottom w:w="0" w:type="dxa"/>
              <w:right w:w="0" w:type="dxa"/>
            </w:tcMar>
            <w:vAlign w:val="center"/>
          </w:tcPr>
          <w:p>
            <w:pPr>
              <w:pStyle w:val="TableContents"/>
              <w:bidi w:val="0"/>
              <w:spacing w:lineRule="auto" w:line="240" w:before="0" w:after="283"/>
              <w:jc w:val="left"/>
              <w:rPr>
                <w:rFonts w:ascii="Adelle Sans;sans-serif" w:hAnsi="Adelle Sans;sans-serif"/>
                <w:b/>
                <w:color w:val="000000"/>
                <w:sz w:val="18"/>
              </w:rPr>
            </w:pPr>
            <w:r>
              <w:rPr>
                <w:rFonts w:ascii="Adelle Sans;sans-serif" w:hAnsi="Adelle Sans;sans-serif"/>
                <w:b/>
                <w:color w:val="000000"/>
                <w:sz w:val="18"/>
              </w:rPr>
              <w:t>Percentage of revenues</w:t>
            </w:r>
          </w:p>
        </w:tc>
        <w:tc>
          <w:tcPr>
            <w:tcW w:w="998"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5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delle Sans;sans-serif" w:hAnsi="Adelle Sans;sans-serif"/>
                <w:b w:val="false"/>
                <w:color w:val="000000"/>
                <w:sz w:val="18"/>
              </w:rPr>
            </w:pPr>
            <w:r>
              <w:rPr>
                <w:rFonts w:ascii="Adelle Sans;sans-serif" w:hAnsi="Adelle Sans;sans-serif"/>
                <w:b w:val="false"/>
                <w:color w:val="000000"/>
                <w:sz w:val="18"/>
              </w:rPr>
              <w:t>Subscription solutions</w:t>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22 </w:t>
            </w:r>
          </w:p>
        </w:tc>
        <w:tc>
          <w:tcPr>
            <w:tcW w:w="2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w:t>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24 </w:t>
            </w:r>
          </w:p>
        </w:tc>
        <w:tc>
          <w:tcPr>
            <w:tcW w:w="2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w:t>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23 </w:t>
            </w:r>
          </w:p>
        </w:tc>
        <w:tc>
          <w:tcPr>
            <w:tcW w:w="3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w:t>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25 </w:t>
            </w:r>
          </w:p>
        </w:tc>
        <w:tc>
          <w:tcPr>
            <w:tcW w:w="3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w:t>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505" w:type="dxa"/>
            <w:gridSpan w:val="3"/>
            <w:tcBorders/>
            <w:shd w:fill="F7F7F7" w:val="clear"/>
            <w:tcMar>
              <w:top w:w="0" w:type="dxa"/>
              <w:left w:w="0" w:type="dxa"/>
              <w:bottom w:w="0" w:type="dxa"/>
              <w:right w:w="0" w:type="dxa"/>
            </w:tcMar>
            <w:vAlign w:val="center"/>
          </w:tcPr>
          <w:p>
            <w:pPr>
              <w:pStyle w:val="TableContents"/>
              <w:bidi w:val="0"/>
              <w:spacing w:lineRule="auto" w:line="240" w:before="0" w:after="283"/>
              <w:jc w:val="left"/>
              <w:rPr>
                <w:rFonts w:ascii="Adelle Sans;sans-serif" w:hAnsi="Adelle Sans;sans-serif"/>
                <w:b w:val="false"/>
                <w:color w:val="000000"/>
                <w:sz w:val="18"/>
              </w:rPr>
            </w:pPr>
            <w:r>
              <w:rPr>
                <w:rFonts w:ascii="Adelle Sans;sans-serif" w:hAnsi="Adelle Sans;sans-serif"/>
                <w:b w:val="false"/>
                <w:color w:val="000000"/>
                <w:sz w:val="18"/>
              </w:rPr>
              <w:t>Merchant solutions</w:t>
            </w:r>
          </w:p>
        </w:tc>
        <w:tc>
          <w:tcPr>
            <w:tcW w:w="706" w:type="dxa"/>
            <w:gridSpan w:val="2"/>
            <w:tcBorders/>
            <w:shd w:fill="F7F7F7"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78 </w:t>
            </w:r>
          </w:p>
        </w:tc>
        <w:tc>
          <w:tcPr>
            <w:tcW w:w="292" w:type="dxa"/>
            <w:tcBorders/>
            <w:shd w:fill="F7F7F7"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w:t>
            </w:r>
          </w:p>
        </w:tc>
        <w:tc>
          <w:tcPr>
            <w:tcW w:w="351"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7F7F7"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76 </w:t>
            </w:r>
          </w:p>
        </w:tc>
        <w:tc>
          <w:tcPr>
            <w:tcW w:w="292" w:type="dxa"/>
            <w:tcBorders/>
            <w:shd w:fill="F7F7F7"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w:t>
            </w:r>
          </w:p>
        </w:tc>
        <w:tc>
          <w:tcPr>
            <w:tcW w:w="351"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7F7F7"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77 </w:t>
            </w:r>
          </w:p>
        </w:tc>
        <w:tc>
          <w:tcPr>
            <w:tcW w:w="306" w:type="dxa"/>
            <w:tcBorders/>
            <w:shd w:fill="F7F7F7"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w:t>
            </w:r>
          </w:p>
        </w:tc>
        <w:tc>
          <w:tcPr>
            <w:tcW w:w="345"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7F7F7"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75 </w:t>
            </w:r>
          </w:p>
        </w:tc>
        <w:tc>
          <w:tcPr>
            <w:tcW w:w="306" w:type="dxa"/>
            <w:tcBorders/>
            <w:shd w:fill="F7F7F7"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w:t>
            </w:r>
          </w:p>
        </w:tc>
        <w:tc>
          <w:tcPr>
            <w:tcW w:w="345"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50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delle Sans;sans-serif" w:hAnsi="Adelle Sans;sans-serif"/>
                <w:b w:val="false"/>
                <w:color w:val="000000"/>
                <w:sz w:val="18"/>
              </w:rPr>
            </w:pPr>
            <w:r>
              <w:rPr>
                <w:rFonts w:ascii="Adelle Sans;sans-serif" w:hAnsi="Adelle Sans;sans-serif"/>
                <w:b w:val="false"/>
                <w:color w:val="000000"/>
                <w:sz w:val="18"/>
              </w:rPr>
              <w:t>Total revenues</w:t>
            </w:r>
          </w:p>
        </w:tc>
        <w:tc>
          <w:tcPr>
            <w:tcW w:w="70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100 </w:t>
            </w:r>
          </w:p>
        </w:tc>
        <w:tc>
          <w:tcPr>
            <w:tcW w:w="29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w:t>
            </w:r>
          </w:p>
        </w:tc>
        <w:tc>
          <w:tcPr>
            <w:tcW w:w="3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100 </w:t>
            </w:r>
          </w:p>
        </w:tc>
        <w:tc>
          <w:tcPr>
            <w:tcW w:w="29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w:t>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100 </w:t>
            </w:r>
          </w:p>
        </w:tc>
        <w:tc>
          <w:tcPr>
            <w:tcW w:w="30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w:t>
            </w:r>
          </w:p>
        </w:tc>
        <w:tc>
          <w:tcPr>
            <w:tcW w:w="34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100 </w:t>
            </w:r>
          </w:p>
        </w:tc>
        <w:tc>
          <w:tcPr>
            <w:tcW w:w="30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w:t>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jc w:val="left"/>
        <w:rPr>
          <w:rFonts w:ascii="Adelle Sans;sans-serif" w:hAnsi="Adelle Sans;sans-serif"/>
          <w:b w:val="false"/>
          <w:i/>
          <w:color w:val="000000"/>
          <w:sz w:val="20"/>
        </w:rPr>
      </w:pPr>
      <w:bookmarkStart w:id="75" w:name="i132355bab06a4531b49c915e3c764cca"/>
      <w:bookmarkEnd w:id="75"/>
      <w:r>
        <w:rPr>
          <w:rFonts w:ascii="Adelle Sans;sans-serif" w:hAnsi="Adelle Sans;sans-serif"/>
          <w:b w:val="false"/>
          <w:i/>
          <w:color w:val="000000"/>
          <w:sz w:val="20"/>
        </w:rPr>
        <w:t>Subscription Solutions</w:t>
      </w:r>
    </w:p>
    <w:p>
      <w:pPr>
        <w:pStyle w:val="TextBody"/>
        <w:bidi w:val="0"/>
        <w:spacing w:lineRule="auto" w:line="288" w:before="0" w:after="200"/>
        <w:jc w:val="both"/>
        <w:rPr>
          <w:rFonts w:ascii="Adelle Sans Light;sans-serif" w:hAnsi="Adelle Sans Light;sans-serif"/>
          <w:b w:val="false"/>
          <w:color w:val="000000"/>
          <w:sz w:val="20"/>
        </w:rPr>
      </w:pPr>
      <w:r>
        <w:rPr>
          <w:rFonts w:ascii="Adelle Sans Light;sans-serif" w:hAnsi="Adelle Sans Light;sans-serif"/>
          <w:b w:val="false"/>
          <w:color w:val="000000"/>
          <w:sz w:val="20"/>
        </w:rPr>
        <w:t xml:space="preserve">Subscription solutions revenues increased for the three months ended June 30, 2026 compared to the same period in 2025. The largest component of the period-over-period change was an increase in subscription fees of $129 million driven by an increase in MRR, which was a result of a higher number of merchants using our platform and by a larger percentage of subscriptions coming from higher priced plans, such as Plus. The increase was also driven by higher GMV resulting in an increase in subscription fees from the variable component of certain subscription contracts. </w:t>
      </w:r>
    </w:p>
    <w:p>
      <w:pPr>
        <w:pStyle w:val="TextBody"/>
        <w:bidi w:val="0"/>
        <w:spacing w:lineRule="auto" w:line="288" w:before="0" w:after="200"/>
        <w:jc w:val="both"/>
        <w:rPr>
          <w:rFonts w:ascii="Adelle Sans Light;sans-serif" w:hAnsi="Adelle Sans Light;sans-serif"/>
          <w:b w:val="false"/>
          <w:color w:val="000000"/>
          <w:sz w:val="20"/>
        </w:rPr>
      </w:pPr>
      <w:r>
        <w:rPr>
          <w:rFonts w:ascii="Adelle Sans Light;sans-serif" w:hAnsi="Adelle Sans Light;sans-serif"/>
          <w:b w:val="false"/>
          <w:color w:val="000000"/>
          <w:sz w:val="20"/>
        </w:rPr>
        <w:t xml:space="preserve">Subscription solutions revenues increased for the six months ended June 30, 2026 compared to the same period in 2025. The largest component of the period-over-period change was an increase in subscription fees of $230 million driven by an increase in MRR, which was a result of a higher number of merchants using our platform and by a larger percentage of subscriptions coming from higher priced plans, such as Plus. The increase was also driven by higher GMV resulting in an increase in subscription fees from the variable component of certain subscription contracts. </w:t>
      </w:r>
    </w:p>
    <w:p>
      <w:pPr>
        <w:pStyle w:val="TextBody"/>
        <w:bidi w:val="0"/>
        <w:spacing w:lineRule="auto" w:line="288" w:before="0" w:after="200"/>
        <w:jc w:val="left"/>
        <w:rPr>
          <w:rFonts w:ascii="Adelle Sans;sans-serif" w:hAnsi="Adelle Sans;sans-serif"/>
          <w:b w:val="false"/>
          <w:i/>
          <w:color w:val="000000"/>
          <w:sz w:val="20"/>
        </w:rPr>
      </w:pPr>
      <w:bookmarkStart w:id="76" w:name="i0cf1297542e748e6a4c751db69b22dc4"/>
      <w:bookmarkEnd w:id="76"/>
      <w:r>
        <w:rPr>
          <w:rFonts w:ascii="Adelle Sans;sans-serif" w:hAnsi="Adelle Sans;sans-serif"/>
          <w:b w:val="false"/>
          <w:i/>
          <w:color w:val="000000"/>
          <w:sz w:val="20"/>
        </w:rPr>
        <w:t>Merchant Solutions</w:t>
      </w:r>
    </w:p>
    <w:p>
      <w:pPr>
        <w:pStyle w:val="TextBody"/>
        <w:bidi w:val="0"/>
        <w:spacing w:lineRule="auto" w:line="288" w:before="0" w:after="200"/>
        <w:jc w:val="both"/>
        <w:rPr>
          <w:rFonts w:ascii="Adelle Sans Light;sans-serif" w:hAnsi="Adelle Sans Light;sans-serif"/>
          <w:b w:val="false"/>
          <w:color w:val="000000"/>
          <w:sz w:val="20"/>
        </w:rPr>
      </w:pPr>
      <w:r>
        <w:rPr>
          <w:rFonts w:ascii="Adelle Sans Light;sans-serif" w:hAnsi="Adelle Sans Light;sans-serif"/>
          <w:b w:val="false"/>
          <w:color w:val="000000"/>
          <w:sz w:val="20"/>
        </w:rPr>
        <w:t>Merchant solutions revenues increased for the three months ended June 30, 2026 compared to the same period in 2025. The largest component of the period-over-period change was an increase in Shopify Payments revenue of $624 million, relating to payment processing and currency conversion fees, growing in the three months ended June 30, 2026 compared to the same period in 2025. This increase was a result of an increase in our Shopify Payments penetration rate and an increase in GMV from merchants using our platform. These factors drove $21.4 billion of additional GMV facilitated using Shopify Payments in the three months ended June 30, 2026 compared to the same period in 2025, representing growth of 38%. For the three months ended June 30, 2026, the Shopify Payments penetration rate was 68%, resulting in GMV of $78.1 billion that was facilitated using Shopify Payments. This compares to a penetration rate of 64% resulting in GMV of $56.6 billion that was facilitated using Shopify Payments in the same period in 2025.</w:t>
      </w:r>
    </w:p>
    <w:p>
      <w:pPr>
        <w:pStyle w:val="TextBody"/>
        <w:bidi w:val="0"/>
        <w:spacing w:lineRule="auto" w:line="288" w:before="0" w:after="200"/>
        <w:jc w:val="both"/>
        <w:rPr>
          <w:rFonts w:ascii="Adelle Sans Light;sans-serif" w:hAnsi="Adelle Sans Light;sans-serif"/>
          <w:b w:val="false"/>
          <w:color w:val="000000"/>
          <w:sz w:val="20"/>
        </w:rPr>
      </w:pPr>
      <w:r>
        <w:rPr>
          <w:rFonts w:ascii="Adelle Sans Light;sans-serif" w:hAnsi="Adelle Sans Light;sans-serif"/>
          <w:b w:val="false"/>
          <w:color w:val="000000"/>
          <w:sz w:val="20"/>
        </w:rPr>
        <w:t xml:space="preserve">Merchant solutions revenues increased for the six months ended June 30, 2026 compared to the same period in 2025. The largest component of the period-over-period change was an increase in Shopify Payments revenue of $1.2 billion, relating to payment processing and currency conversion fees, growing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7955"/>
                <wp:effectExtent l="0" t="0" r="0" b="0"/>
                <wp:wrapNone/>
                <wp:docPr id="32" name="Frame31"/>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200"/>
                              <w:jc w:val="center"/>
                              <w:rPr>
                                <w:rFonts w:ascii="Adelle Sans Light;sans-serif" w:hAnsi="Adelle Sans Light;sans-serif"/>
                                <w:b w:val="false"/>
                                <w:color w:val="000000"/>
                                <w:sz w:val="20"/>
                              </w:rPr>
                            </w:pPr>
                            <w:r>
                              <w:rPr>
                                <w:rFonts w:ascii="Adelle Sans Light;sans-serif" w:hAnsi="Adelle Sans Light;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Adelle Sans Light;sans-serif" w:hAnsi="Adelle Sans Light;sans-serif"/>
                          <w:b w:val="false"/>
                          <w:color w:val="000000"/>
                          <w:sz w:val="20"/>
                        </w:rPr>
                      </w:pPr>
                      <w:r>
                        <w:rPr>
                          <w:rFonts w:ascii="Adelle Sans Light;sans-serif" w:hAnsi="Adelle Sans Light;sans-serif"/>
                          <w:b w:val="false"/>
                          <w:color w:val="000000"/>
                          <w:sz w:val="20"/>
                        </w:rPr>
                        <w:t>31</w:t>
                      </w:r>
                    </w:p>
                  </w:txbxContent>
                </v:textbox>
                <w10:wrap type="none"/>
              </v:rect>
            </w:pict>
          </mc:Fallback>
        </mc:AlternateContent>
      </w:r>
    </w:p>
    <w:p>
      <w:pPr>
        <w:pStyle w:val="TextBody"/>
        <w:bidi w:val="0"/>
        <w:spacing w:lineRule="auto" w:line="288" w:before="0" w:after="200"/>
        <w:jc w:val="both"/>
        <w:rPr/>
      </w:pPr>
      <w:hyperlink w:anchor="iccccf23fa31e44f0aa82c99ca0859db8_7">
        <w:r>
          <w:rPr>
            <w:rStyle w:val="InternetLink"/>
            <w:rFonts w:ascii="Adelle Sans Light;sans-serif" w:hAnsi="Adelle Sans Light;sans-serif"/>
            <w:b w:val="false"/>
            <w:color w:val="0000FF"/>
            <w:sz w:val="20"/>
            <w:u w:val="single"/>
          </w:rPr>
          <w:t>Table of Contents</w:t>
        </w:r>
      </w:hyperlink>
    </w:p>
    <w:p>
      <w:pPr>
        <w:pStyle w:val="TextBody"/>
        <w:bidi w:val="0"/>
        <w:spacing w:lineRule="auto" w:line="288" w:before="0" w:after="200"/>
        <w:jc w:val="both"/>
        <w:rPr>
          <w:rFonts w:ascii="Adelle Sans Light;sans-serif" w:hAnsi="Adelle Sans Light;sans-serif"/>
          <w:b w:val="false"/>
          <w:color w:val="000000"/>
          <w:sz w:val="20"/>
        </w:rPr>
      </w:pPr>
      <w:r>
        <w:rPr>
          <w:rFonts w:ascii="Adelle Sans Light;sans-serif" w:hAnsi="Adelle Sans Light;sans-serif"/>
          <w:b w:val="false"/>
          <w:color w:val="000000"/>
          <w:sz w:val="20"/>
        </w:rPr>
        <w:t>in the six months ended June 30, 2026 compared to the same period in 2025. This increase was a result of an increase in our Shopify Payments penetration rate and an increase in GMV from our merchants using our platform. These factors drove $41.0 billion of additional GMV facilitated using Shopify Payments in the six months ended June 30, 2026 compared to the same period in 2025, representing growth of 39%. For the six months ended June 30, 2026, the Shopify Payments penetration rate was 67%, resulting in GMV of $145.1 billion that was facilitated using Shopify Payments. This compares to a penetration rate of 64% resulting in GMV of $104.1 billion that was facilitated using Shopify Payments in the same period in 2025.</w:t>
      </w:r>
    </w:p>
    <w:p>
      <w:pPr>
        <w:pStyle w:val="TextBody"/>
        <w:bidi w:val="0"/>
        <w:spacing w:lineRule="auto" w:line="288" w:before="0" w:after="200"/>
        <w:jc w:val="left"/>
        <w:rPr>
          <w:rFonts w:ascii="Adelle Sans;sans-serif" w:hAnsi="Adelle Sans;sans-serif"/>
          <w:b/>
          <w:i/>
          <w:color w:val="000000"/>
          <w:sz w:val="20"/>
        </w:rPr>
      </w:pPr>
      <w:bookmarkStart w:id="77" w:name="i0a664ca7e1c248df93400047e41a0105"/>
      <w:bookmarkEnd w:id="77"/>
      <w:r>
        <w:rPr>
          <w:rFonts w:ascii="Adelle Sans;sans-serif" w:hAnsi="Adelle Sans;sans-serif"/>
          <w:b/>
          <w:i/>
          <w:color w:val="000000"/>
          <w:sz w:val="20"/>
        </w:rPr>
        <w:t>Cost of Revenues</w:t>
      </w:r>
    </w:p>
    <w:tbl>
      <w:tblPr>
        <w:tblW w:w="10205" w:type="dxa"/>
        <w:jc w:val="left"/>
        <w:tblInd w:w="0" w:type="dxa"/>
        <w:tblLayout w:type="fixed"/>
        <w:tblCellMar>
          <w:top w:w="28" w:type="dxa"/>
          <w:left w:w="28" w:type="dxa"/>
          <w:bottom w:w="28" w:type="dxa"/>
          <w:right w:w="28" w:type="dxa"/>
        </w:tblCellMar>
      </w:tblPr>
      <w:tblGrid>
        <w:gridCol w:w="671"/>
        <w:gridCol w:w="423"/>
        <w:gridCol w:w="425"/>
        <w:gridCol w:w="358"/>
        <w:gridCol w:w="348"/>
        <w:gridCol w:w="290"/>
        <w:gridCol w:w="116"/>
        <w:gridCol w:w="116"/>
        <w:gridCol w:w="116"/>
        <w:gridCol w:w="358"/>
        <w:gridCol w:w="348"/>
        <w:gridCol w:w="290"/>
        <w:gridCol w:w="116"/>
        <w:gridCol w:w="116"/>
        <w:gridCol w:w="116"/>
        <w:gridCol w:w="250"/>
        <w:gridCol w:w="250"/>
        <w:gridCol w:w="626"/>
        <w:gridCol w:w="109"/>
        <w:gridCol w:w="109"/>
        <w:gridCol w:w="109"/>
        <w:gridCol w:w="353"/>
        <w:gridCol w:w="353"/>
        <w:gridCol w:w="304"/>
        <w:gridCol w:w="114"/>
        <w:gridCol w:w="114"/>
        <w:gridCol w:w="114"/>
        <w:gridCol w:w="353"/>
        <w:gridCol w:w="353"/>
        <w:gridCol w:w="304"/>
        <w:gridCol w:w="114"/>
        <w:gridCol w:w="114"/>
        <w:gridCol w:w="114"/>
        <w:gridCol w:w="250"/>
        <w:gridCol w:w="250"/>
        <w:gridCol w:w="626"/>
        <w:gridCol w:w="109"/>
        <w:gridCol w:w="109"/>
        <w:gridCol w:w="109"/>
        <w:gridCol w:w="109"/>
        <w:gridCol w:w="109"/>
        <w:gridCol w:w="170"/>
      </w:tblGrid>
      <w:tr>
        <w:trPr/>
        <w:tc>
          <w:tcPr>
            <w:tcW w:w="671"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1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4"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delle Sans;sans-serif" w:hAnsi="Adelle Sans;sans-serif"/>
                <w:b/>
                <w:color w:val="000000"/>
                <w:sz w:val="18"/>
              </w:rPr>
            </w:pPr>
            <w:r>
              <w:rPr>
                <w:rFonts w:ascii="Adelle Sans;sans-serif" w:hAnsi="Adelle Sans;sans-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0"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delle Sans;sans-serif" w:hAnsi="Adelle Sans;sans-serif"/>
                <w:b/>
                <w:color w:val="000000"/>
                <w:sz w:val="18"/>
              </w:rPr>
            </w:pPr>
            <w:r>
              <w:rPr>
                <w:rFonts w:ascii="Adelle Sans;sans-serif" w:hAnsi="Adelle Sans;sans-serif"/>
                <w:b/>
                <w:color w:val="000000"/>
                <w:sz w:val="18"/>
              </w:rPr>
              <w:t>Six months ended June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7" w:type="dxa"/>
            <w:gridSpan w:val="4"/>
            <w:tcBorders/>
          </w:tcPr>
          <w:p>
            <w:pPr>
              <w:pStyle w:val="TableContents"/>
              <w:bidi w:val="0"/>
              <w:spacing w:before="0" w:after="283"/>
              <w:jc w:val="left"/>
              <w:rPr>
                <w:sz w:val="4"/>
                <w:szCs w:val="4"/>
              </w:rPr>
            </w:pPr>
            <w:r>
              <w:rPr>
                <w:sz w:val="4"/>
                <w:szCs w:val="4"/>
              </w:rPr>
            </w:r>
          </w:p>
        </w:tc>
      </w:tr>
      <w:tr>
        <w:trPr/>
        <w:tc>
          <w:tcPr>
            <w:tcW w:w="1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Adelle Sans;sans-serif" w:hAnsi="Adelle Sans;sans-serif"/>
                <w:b/>
                <w:color w:val="000000"/>
                <w:sz w:val="18"/>
              </w:rPr>
            </w:pPr>
            <w:r>
              <w:rPr>
                <w:rFonts w:ascii="Adelle Sans;sans-serif" w:hAnsi="Adelle Sans;sans-serif"/>
                <w:b/>
                <w:color w:val="000000"/>
                <w:sz w:val="18"/>
              </w:rPr>
              <w:t>2026</w:t>
            </w:r>
          </w:p>
        </w:tc>
        <w:tc>
          <w:tcPr>
            <w:tcW w:w="348"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Adelle Sans;sans-serif" w:hAnsi="Adelle Sans;sans-serif"/>
                <w:b/>
                <w:color w:val="000000"/>
                <w:sz w:val="18"/>
              </w:rPr>
            </w:pPr>
            <w:r>
              <w:rPr>
                <w:rFonts w:ascii="Adelle Sans;sans-serif" w:hAnsi="Adelle Sans;sans-serif"/>
                <w:b/>
                <w:color w:val="000000"/>
                <w:sz w:val="18"/>
              </w:rPr>
              <w:t>2025</w:t>
            </w:r>
          </w:p>
        </w:tc>
        <w:tc>
          <w:tcPr>
            <w:tcW w:w="348"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Adelle Sans;sans-serif" w:hAnsi="Adelle Sans;sans-serif"/>
                <w:b/>
                <w:color w:val="000000"/>
                <w:sz w:val="18"/>
              </w:rPr>
            </w:pPr>
            <w:r>
              <w:rPr>
                <w:rFonts w:ascii="Adelle Sans;sans-serif" w:hAnsi="Adelle Sans;sans-serif"/>
                <w:b/>
                <w:color w:val="000000"/>
                <w:sz w:val="18"/>
              </w:rPr>
              <w:t>% Change</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Adelle Sans;sans-serif" w:hAnsi="Adelle Sans;sans-serif"/>
                <w:b/>
                <w:color w:val="000000"/>
                <w:sz w:val="18"/>
              </w:rPr>
            </w:pPr>
            <w:r>
              <w:rPr>
                <w:rFonts w:ascii="Adelle Sans;sans-serif" w:hAnsi="Adelle Sans;sans-serif"/>
                <w:b/>
                <w:color w:val="000000"/>
                <w:sz w:val="18"/>
              </w:rPr>
              <w:t>2026</w:t>
            </w:r>
          </w:p>
        </w:tc>
        <w:tc>
          <w:tcPr>
            <w:tcW w:w="342"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Adelle Sans;sans-serif" w:hAnsi="Adelle Sans;sans-serif"/>
                <w:b/>
                <w:color w:val="000000"/>
                <w:sz w:val="18"/>
              </w:rPr>
            </w:pPr>
            <w:r>
              <w:rPr>
                <w:rFonts w:ascii="Adelle Sans;sans-serif" w:hAnsi="Adelle Sans;sans-serif"/>
                <w:b/>
                <w:color w:val="000000"/>
                <w:sz w:val="18"/>
              </w:rPr>
              <w:t>2025</w:t>
            </w:r>
          </w:p>
        </w:tc>
        <w:tc>
          <w:tcPr>
            <w:tcW w:w="342"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Adelle Sans;sans-serif" w:hAnsi="Adelle Sans;sans-serif"/>
                <w:b/>
                <w:color w:val="000000"/>
                <w:sz w:val="18"/>
              </w:rPr>
            </w:pPr>
            <w:r>
              <w:rPr>
                <w:rFonts w:ascii="Adelle Sans;sans-serif" w:hAnsi="Adelle Sans;sans-serif"/>
                <w:b/>
                <w:color w:val="000000"/>
                <w:sz w:val="18"/>
              </w:rPr>
              <w:t>% Change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151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1"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Adelle Sans;sans-serif" w:hAnsi="Adelle Sans;sans-serif"/>
                <w:b w:val="false"/>
                <w:color w:val="000000"/>
                <w:sz w:val="18"/>
              </w:rPr>
            </w:pPr>
            <w:r>
              <w:rPr>
                <w:rFonts w:ascii="Adelle Sans;sans-serif" w:hAnsi="Adelle Sans;sans-serif"/>
                <w:b w:val="false"/>
                <w:color w:val="000000"/>
                <w:sz w:val="18"/>
              </w:rPr>
              <w:t>(in US $ millions, except percentages)</w:t>
            </w:r>
          </w:p>
        </w:tc>
        <w:tc>
          <w:tcPr>
            <w:tcW w:w="715" w:type="dxa"/>
            <w:gridSpan w:val="6"/>
            <w:tcBorders/>
          </w:tcPr>
          <w:p>
            <w:pPr>
              <w:pStyle w:val="TableContents"/>
              <w:bidi w:val="0"/>
              <w:spacing w:before="0" w:after="283"/>
              <w:jc w:val="left"/>
              <w:rPr>
                <w:sz w:val="4"/>
                <w:szCs w:val="4"/>
              </w:rPr>
            </w:pPr>
            <w:r>
              <w:rPr>
                <w:sz w:val="4"/>
                <w:szCs w:val="4"/>
              </w:rPr>
            </w:r>
          </w:p>
        </w:tc>
      </w:tr>
      <w:tr>
        <w:trPr/>
        <w:tc>
          <w:tcPr>
            <w:tcW w:w="15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delle Sans;sans-serif" w:hAnsi="Adelle Sans;sans-serif"/>
                <w:b/>
                <w:color w:val="000000"/>
                <w:sz w:val="18"/>
              </w:rPr>
            </w:pPr>
            <w:r>
              <w:rPr>
                <w:rFonts w:ascii="Adelle Sans;sans-serif" w:hAnsi="Adelle Sans;sans-serif"/>
                <w:b/>
                <w:color w:val="000000"/>
                <w:sz w:val="18"/>
              </w:rPr>
              <w:t>Cost of revenues:</w:t>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1519" w:type="dxa"/>
            <w:gridSpan w:val="3"/>
            <w:tcBorders/>
            <w:shd w:fill="F7F7F7" w:val="clear"/>
            <w:tcMar>
              <w:top w:w="0" w:type="dxa"/>
              <w:left w:w="0" w:type="dxa"/>
              <w:bottom w:w="0" w:type="dxa"/>
              <w:right w:w="0" w:type="dxa"/>
            </w:tcMar>
            <w:vAlign w:val="center"/>
          </w:tcPr>
          <w:p>
            <w:pPr>
              <w:pStyle w:val="TableContents"/>
              <w:bidi w:val="0"/>
              <w:spacing w:lineRule="auto" w:line="240" w:before="0" w:after="283"/>
              <w:jc w:val="left"/>
              <w:rPr>
                <w:rFonts w:ascii="Adelle Sans;sans-serif" w:hAnsi="Adelle Sans;sans-serif"/>
                <w:b w:val="false"/>
                <w:color w:val="000000"/>
                <w:sz w:val="18"/>
              </w:rPr>
            </w:pPr>
            <w:r>
              <w:rPr>
                <w:rFonts w:ascii="Adelle Sans;sans-serif" w:hAnsi="Adelle Sans;sans-serif"/>
                <w:b w:val="false"/>
                <w:color w:val="000000"/>
                <w:sz w:val="18"/>
              </w:rPr>
              <w:t>Cost of subscription solutions</w:t>
            </w:r>
          </w:p>
        </w:tc>
        <w:tc>
          <w:tcPr>
            <w:tcW w:w="706" w:type="dxa"/>
            <w:gridSpan w:val="2"/>
            <w:tcBorders/>
            <w:shd w:fill="F7F7F7"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163 </w:t>
            </w:r>
          </w:p>
        </w:tc>
        <w:tc>
          <w:tcPr>
            <w:tcW w:w="290" w:type="dxa"/>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7F7F7"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121 </w:t>
            </w:r>
          </w:p>
        </w:tc>
        <w:tc>
          <w:tcPr>
            <w:tcW w:w="290" w:type="dxa"/>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 w:type="dxa"/>
            <w:gridSpan w:val="2"/>
            <w:tcBorders/>
            <w:shd w:fill="F7F7F7"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35 </w:t>
            </w:r>
          </w:p>
        </w:tc>
        <w:tc>
          <w:tcPr>
            <w:tcW w:w="626" w:type="dxa"/>
            <w:tcBorders/>
            <w:shd w:fill="F7F7F7"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w:t>
            </w:r>
          </w:p>
        </w:tc>
        <w:tc>
          <w:tcPr>
            <w:tcW w:w="327"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7F7F7"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311 </w:t>
            </w:r>
          </w:p>
        </w:tc>
        <w:tc>
          <w:tcPr>
            <w:tcW w:w="304" w:type="dxa"/>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7F7F7"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244 </w:t>
            </w:r>
          </w:p>
        </w:tc>
        <w:tc>
          <w:tcPr>
            <w:tcW w:w="304" w:type="dxa"/>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 w:type="dxa"/>
            <w:gridSpan w:val="2"/>
            <w:tcBorders/>
            <w:shd w:fill="F7F7F7"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27 </w:t>
            </w:r>
          </w:p>
        </w:tc>
        <w:tc>
          <w:tcPr>
            <w:tcW w:w="626" w:type="dxa"/>
            <w:tcBorders/>
            <w:shd w:fill="F7F7F7"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15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delle Sans;sans-serif" w:hAnsi="Adelle Sans;sans-serif"/>
                <w:b w:val="false"/>
                <w:color w:val="000000"/>
                <w:sz w:val="18"/>
              </w:rPr>
            </w:pPr>
            <w:r>
              <w:rPr>
                <w:rFonts w:ascii="Adelle Sans;sans-serif" w:hAnsi="Adelle Sans;sans-serif"/>
                <w:b w:val="false"/>
                <w:color w:val="000000"/>
                <w:sz w:val="18"/>
              </w:rPr>
              <w:t>Cost of merchant solutions</w:t>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1,712 </w:t>
            </w:r>
          </w:p>
        </w:tc>
        <w:tc>
          <w:tcPr>
            <w:tcW w:w="2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1,257 </w:t>
            </w:r>
          </w:p>
        </w:tc>
        <w:tc>
          <w:tcPr>
            <w:tcW w:w="2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36 </w:t>
            </w:r>
          </w:p>
        </w:tc>
        <w:tc>
          <w:tcPr>
            <w:tcW w:w="6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3,188 </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2,325 </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37 </w:t>
            </w:r>
          </w:p>
        </w:tc>
        <w:tc>
          <w:tcPr>
            <w:tcW w:w="6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1519" w:type="dxa"/>
            <w:gridSpan w:val="3"/>
            <w:tcBorders/>
            <w:shd w:fill="F7F7F7" w:val="clear"/>
            <w:tcMar>
              <w:top w:w="0" w:type="dxa"/>
              <w:left w:w="0" w:type="dxa"/>
              <w:bottom w:w="0" w:type="dxa"/>
              <w:right w:w="0" w:type="dxa"/>
            </w:tcMar>
            <w:vAlign w:val="center"/>
          </w:tcPr>
          <w:p>
            <w:pPr>
              <w:pStyle w:val="TableContents"/>
              <w:bidi w:val="0"/>
              <w:spacing w:lineRule="auto" w:line="240" w:before="0" w:after="283"/>
              <w:jc w:val="left"/>
              <w:rPr>
                <w:rFonts w:ascii="Adelle Sans;sans-serif" w:hAnsi="Adelle Sans;sans-serif"/>
                <w:b w:val="false"/>
                <w:color w:val="000000"/>
                <w:sz w:val="18"/>
              </w:rPr>
            </w:pPr>
            <w:r>
              <w:rPr>
                <w:rFonts w:ascii="Adelle Sans;sans-serif" w:hAnsi="Adelle Sans;sans-serif"/>
                <w:b w:val="false"/>
                <w:color w:val="000000"/>
                <w:sz w:val="18"/>
              </w:rPr>
              <w:t>Total cost of revenues</w:t>
            </w:r>
          </w:p>
        </w:tc>
        <w:tc>
          <w:tcPr>
            <w:tcW w:w="706" w:type="dxa"/>
            <w:gridSpan w:val="2"/>
            <w:tcBorders>
              <w:top w:val="single" w:sz="8" w:space="0" w:color="000000"/>
            </w:tcBorders>
            <w:shd w:fill="F7F7F7" w:val="clear"/>
            <w:tcMar>
              <w:top w:w="52"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1,875 </w:t>
            </w:r>
          </w:p>
        </w:tc>
        <w:tc>
          <w:tcPr>
            <w:tcW w:w="290" w:type="dxa"/>
            <w:tcBorders>
              <w:top w:val="single" w:sz="8" w:space="0" w:color="000000"/>
            </w:tcBorders>
            <w:shd w:fill="F7F7F7"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op w:val="single" w:sz="8" w:space="0" w:color="000000"/>
            </w:tcBorders>
            <w:shd w:fill="F7F7F7"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8" w:space="0" w:color="000000"/>
            </w:tcBorders>
            <w:shd w:fill="F7F7F7" w:val="clear"/>
            <w:tcMar>
              <w:top w:w="52"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1,378 </w:t>
            </w:r>
          </w:p>
        </w:tc>
        <w:tc>
          <w:tcPr>
            <w:tcW w:w="290" w:type="dxa"/>
            <w:tcBorders>
              <w:top w:val="single" w:sz="8" w:space="0" w:color="000000"/>
            </w:tcBorders>
            <w:shd w:fill="F7F7F7"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 w:type="dxa"/>
            <w:gridSpan w:val="2"/>
            <w:tcBorders>
              <w:top w:val="single" w:sz="8" w:space="0" w:color="000000"/>
            </w:tcBorders>
            <w:shd w:fill="F7F7F7" w:val="clear"/>
            <w:tcMar>
              <w:top w:w="52"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36 </w:t>
            </w:r>
          </w:p>
        </w:tc>
        <w:tc>
          <w:tcPr>
            <w:tcW w:w="626" w:type="dxa"/>
            <w:tcBorders>
              <w:top w:val="single" w:sz="8" w:space="0" w:color="000000"/>
            </w:tcBorders>
            <w:shd w:fill="F7F7F7" w:val="clear"/>
            <w:tcMar>
              <w:top w:w="52"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w:t>
            </w:r>
          </w:p>
        </w:tc>
        <w:tc>
          <w:tcPr>
            <w:tcW w:w="327"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8" w:space="0" w:color="000000"/>
            </w:tcBorders>
            <w:shd w:fill="F7F7F7" w:val="clear"/>
            <w:tcMar>
              <w:top w:w="52"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3,499 </w:t>
            </w:r>
          </w:p>
        </w:tc>
        <w:tc>
          <w:tcPr>
            <w:tcW w:w="304" w:type="dxa"/>
            <w:tcBorders>
              <w:top w:val="single" w:sz="8" w:space="0" w:color="000000"/>
            </w:tcBorders>
            <w:shd w:fill="F7F7F7"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op w:val="single" w:sz="8" w:space="0" w:color="000000"/>
            </w:tcBorders>
            <w:shd w:fill="F7F7F7"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8" w:space="0" w:color="000000"/>
            </w:tcBorders>
            <w:shd w:fill="F7F7F7" w:val="clear"/>
            <w:tcMar>
              <w:top w:w="52"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2,569 </w:t>
            </w:r>
          </w:p>
        </w:tc>
        <w:tc>
          <w:tcPr>
            <w:tcW w:w="304" w:type="dxa"/>
            <w:tcBorders>
              <w:top w:val="single" w:sz="8" w:space="0" w:color="000000"/>
            </w:tcBorders>
            <w:shd w:fill="F7F7F7"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 w:type="dxa"/>
            <w:gridSpan w:val="2"/>
            <w:tcBorders>
              <w:top w:val="single" w:sz="8" w:space="0" w:color="000000"/>
            </w:tcBorders>
            <w:shd w:fill="F7F7F7" w:val="clear"/>
            <w:tcMar>
              <w:top w:w="52"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36 </w:t>
            </w:r>
          </w:p>
        </w:tc>
        <w:tc>
          <w:tcPr>
            <w:tcW w:w="626" w:type="dxa"/>
            <w:tcBorders>
              <w:top w:val="single" w:sz="8" w:space="0" w:color="000000"/>
            </w:tcBorders>
            <w:shd w:fill="F7F7F7" w:val="clear"/>
            <w:tcMar>
              <w:top w:w="52"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151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1519" w:type="dxa"/>
            <w:gridSpan w:val="3"/>
            <w:tcBorders/>
            <w:shd w:fill="F7F7F7" w:val="clear"/>
            <w:tcMar>
              <w:top w:w="0" w:type="dxa"/>
              <w:left w:w="0" w:type="dxa"/>
              <w:bottom w:w="0" w:type="dxa"/>
              <w:right w:w="0" w:type="dxa"/>
            </w:tcMar>
            <w:vAlign w:val="center"/>
          </w:tcPr>
          <w:p>
            <w:pPr>
              <w:pStyle w:val="TableContents"/>
              <w:bidi w:val="0"/>
              <w:spacing w:lineRule="auto" w:line="240" w:before="0" w:after="283"/>
              <w:jc w:val="left"/>
              <w:rPr>
                <w:rFonts w:ascii="Adelle Sans;sans-serif" w:hAnsi="Adelle Sans;sans-serif"/>
                <w:b/>
                <w:color w:val="000000"/>
                <w:sz w:val="18"/>
              </w:rPr>
            </w:pPr>
            <w:r>
              <w:rPr>
                <w:rFonts w:ascii="Adelle Sans;sans-serif" w:hAnsi="Adelle Sans;sans-serif"/>
                <w:b/>
                <w:color w:val="000000"/>
                <w:sz w:val="18"/>
              </w:rPr>
              <w:t>Percentage of revenues:</w:t>
            </w:r>
          </w:p>
        </w:tc>
        <w:tc>
          <w:tcPr>
            <w:tcW w:w="996"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15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delle Sans;sans-serif" w:hAnsi="Adelle Sans;sans-serif"/>
                <w:b w:val="false"/>
                <w:color w:val="000000"/>
                <w:sz w:val="18"/>
              </w:rPr>
            </w:pPr>
            <w:r>
              <w:rPr>
                <w:rFonts w:ascii="Adelle Sans;sans-serif" w:hAnsi="Adelle Sans;sans-serif"/>
                <w:b w:val="false"/>
                <w:color w:val="000000"/>
                <w:sz w:val="18"/>
              </w:rPr>
              <w:t>Cost of subscription solutions</w:t>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5 </w:t>
            </w:r>
          </w:p>
        </w:tc>
        <w:tc>
          <w:tcPr>
            <w:tcW w:w="29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w:t>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5 </w:t>
            </w:r>
          </w:p>
        </w:tc>
        <w:tc>
          <w:tcPr>
            <w:tcW w:w="29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w:t>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5 </w:t>
            </w:r>
          </w:p>
        </w:tc>
        <w:tc>
          <w:tcPr>
            <w:tcW w:w="30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w:t>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5 </w:t>
            </w:r>
          </w:p>
        </w:tc>
        <w:tc>
          <w:tcPr>
            <w:tcW w:w="30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w:t>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1519" w:type="dxa"/>
            <w:gridSpan w:val="3"/>
            <w:tcBorders/>
            <w:shd w:fill="F7F7F7" w:val="clear"/>
            <w:tcMar>
              <w:top w:w="0" w:type="dxa"/>
              <w:left w:w="0" w:type="dxa"/>
              <w:bottom w:w="0" w:type="dxa"/>
              <w:right w:w="0" w:type="dxa"/>
            </w:tcMar>
            <w:vAlign w:val="center"/>
          </w:tcPr>
          <w:p>
            <w:pPr>
              <w:pStyle w:val="TableContents"/>
              <w:bidi w:val="0"/>
              <w:spacing w:lineRule="auto" w:line="240" w:before="0" w:after="283"/>
              <w:jc w:val="left"/>
              <w:rPr>
                <w:rFonts w:ascii="Adelle Sans;sans-serif" w:hAnsi="Adelle Sans;sans-serif"/>
                <w:b w:val="false"/>
                <w:color w:val="000000"/>
                <w:sz w:val="18"/>
              </w:rPr>
            </w:pPr>
            <w:r>
              <w:rPr>
                <w:rFonts w:ascii="Adelle Sans;sans-serif" w:hAnsi="Adelle Sans;sans-serif"/>
                <w:b w:val="false"/>
                <w:color w:val="000000"/>
                <w:sz w:val="18"/>
              </w:rPr>
              <w:t>Cost of merchant solutions</w:t>
            </w:r>
          </w:p>
        </w:tc>
        <w:tc>
          <w:tcPr>
            <w:tcW w:w="706" w:type="dxa"/>
            <w:gridSpan w:val="2"/>
            <w:tcBorders/>
            <w:shd w:fill="F7F7F7"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48 </w:t>
            </w:r>
          </w:p>
        </w:tc>
        <w:tc>
          <w:tcPr>
            <w:tcW w:w="290" w:type="dxa"/>
            <w:tcBorders/>
            <w:shd w:fill="F7F7F7"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w:t>
            </w:r>
          </w:p>
        </w:tc>
        <w:tc>
          <w:tcPr>
            <w:tcW w:w="348"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7F7F7"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47 </w:t>
            </w:r>
          </w:p>
        </w:tc>
        <w:tc>
          <w:tcPr>
            <w:tcW w:w="290" w:type="dxa"/>
            <w:tcBorders/>
            <w:shd w:fill="F7F7F7"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w:t>
            </w:r>
          </w:p>
        </w:tc>
        <w:tc>
          <w:tcPr>
            <w:tcW w:w="348"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7F7F7"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47 </w:t>
            </w:r>
          </w:p>
        </w:tc>
        <w:tc>
          <w:tcPr>
            <w:tcW w:w="304" w:type="dxa"/>
            <w:tcBorders/>
            <w:shd w:fill="F7F7F7"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w:t>
            </w:r>
          </w:p>
        </w:tc>
        <w:tc>
          <w:tcPr>
            <w:tcW w:w="342"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7F7F7"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46 </w:t>
            </w:r>
          </w:p>
        </w:tc>
        <w:tc>
          <w:tcPr>
            <w:tcW w:w="304" w:type="dxa"/>
            <w:tcBorders/>
            <w:shd w:fill="F7F7F7"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w:t>
            </w:r>
          </w:p>
        </w:tc>
        <w:tc>
          <w:tcPr>
            <w:tcW w:w="342"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15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delle Sans;sans-serif" w:hAnsi="Adelle Sans;sans-serif"/>
                <w:b w:val="false"/>
                <w:color w:val="000000"/>
                <w:sz w:val="18"/>
              </w:rPr>
            </w:pPr>
            <w:r>
              <w:rPr>
                <w:rFonts w:ascii="Adelle Sans;sans-serif" w:hAnsi="Adelle Sans;sans-serif"/>
                <w:b w:val="false"/>
                <w:color w:val="000000"/>
                <w:sz w:val="18"/>
              </w:rPr>
              <w:t>Total cost of revenues</w:t>
            </w:r>
          </w:p>
        </w:tc>
        <w:tc>
          <w:tcPr>
            <w:tcW w:w="70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52 </w:t>
            </w:r>
          </w:p>
        </w:tc>
        <w:tc>
          <w:tcPr>
            <w:tcW w:w="29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w:t>
            </w:r>
          </w:p>
        </w:tc>
        <w:tc>
          <w:tcPr>
            <w:tcW w:w="34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51 </w:t>
            </w:r>
          </w:p>
        </w:tc>
        <w:tc>
          <w:tcPr>
            <w:tcW w:w="29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w:t>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52 </w:t>
            </w:r>
          </w:p>
        </w:tc>
        <w:tc>
          <w:tcPr>
            <w:tcW w:w="30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w:t>
            </w:r>
          </w:p>
        </w:tc>
        <w:tc>
          <w:tcPr>
            <w:tcW w:w="34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51 </w:t>
            </w:r>
          </w:p>
        </w:tc>
        <w:tc>
          <w:tcPr>
            <w:tcW w:w="30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w:t>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jc w:val="left"/>
        <w:rPr>
          <w:rFonts w:ascii="Adelle Sans;sans-serif" w:hAnsi="Adelle Sans;sans-serif"/>
          <w:b w:val="false"/>
          <w:i/>
          <w:color w:val="000000"/>
          <w:sz w:val="20"/>
        </w:rPr>
      </w:pPr>
      <w:bookmarkStart w:id="78" w:name="i41c19be633a84fc9ad25be0da3be93f7"/>
      <w:bookmarkEnd w:id="78"/>
      <w:r>
        <w:rPr>
          <w:rFonts w:ascii="Adelle Sans;sans-serif" w:hAnsi="Adelle Sans;sans-serif"/>
          <w:b w:val="false"/>
          <w:i/>
          <w:color w:val="000000"/>
          <w:sz w:val="20"/>
        </w:rPr>
        <w:t>Cost of Subscription Solutions</w:t>
      </w:r>
    </w:p>
    <w:p>
      <w:pPr>
        <w:pStyle w:val="TextBody"/>
        <w:bidi w:val="0"/>
        <w:spacing w:lineRule="auto" w:line="288" w:before="240" w:after="200"/>
        <w:jc w:val="both"/>
        <w:rPr>
          <w:rFonts w:ascii="Adelle Sans Light;sans-serif" w:hAnsi="Adelle Sans Light;sans-serif"/>
          <w:b w:val="false"/>
          <w:color w:val="000000"/>
          <w:sz w:val="20"/>
        </w:rPr>
      </w:pPr>
      <w:r>
        <w:rPr>
          <w:rFonts w:ascii="Adelle Sans Light;sans-serif" w:hAnsi="Adelle Sans Light;sans-serif"/>
          <w:b w:val="false"/>
          <w:color w:val="000000"/>
          <w:sz w:val="20"/>
        </w:rPr>
        <w:t>Cost of subscription solutions increased for the three months ended June 30, 2026 compared to the same period in 2025. The increase was driven by a $37 million increase in cloud and infrastructure costs which includes AI-related usage. Cloud and infrastructure costs remains the significant majority of our cost of subscription solutions.</w:t>
      </w:r>
    </w:p>
    <w:p>
      <w:pPr>
        <w:pStyle w:val="TextBody"/>
        <w:bidi w:val="0"/>
        <w:spacing w:lineRule="auto" w:line="288" w:before="0" w:after="200"/>
        <w:jc w:val="both"/>
        <w:rPr>
          <w:rFonts w:ascii="Adelle Sans Light;sans-serif" w:hAnsi="Adelle Sans Light;sans-serif"/>
          <w:b w:val="false"/>
          <w:color w:val="000000"/>
          <w:sz w:val="20"/>
        </w:rPr>
      </w:pPr>
      <w:r>
        <w:rPr>
          <w:rFonts w:ascii="Adelle Sans Light;sans-serif" w:hAnsi="Adelle Sans Light;sans-serif"/>
          <w:b w:val="false"/>
          <w:color w:val="000000"/>
          <w:sz w:val="20"/>
        </w:rPr>
        <w:t>Cost of subscription solutions increased for the six months ended June 30, 2026 compared to the same period in 2025. The increase was driven by a $59 million increase in cloud and infrastructure costs which includes AI-related usage. Cloud and infrastructure costs remains the significant majority of our cost of subscription solutions.</w:t>
      </w:r>
    </w:p>
    <w:p>
      <w:pPr>
        <w:pStyle w:val="TextBody"/>
        <w:bidi w:val="0"/>
        <w:spacing w:lineRule="auto" w:line="288" w:before="0" w:after="200"/>
        <w:jc w:val="left"/>
        <w:rPr>
          <w:rFonts w:ascii="Adelle Sans;sans-serif" w:hAnsi="Adelle Sans;sans-serif"/>
          <w:b w:val="false"/>
          <w:i/>
          <w:color w:val="000000"/>
          <w:sz w:val="20"/>
        </w:rPr>
      </w:pPr>
      <w:bookmarkStart w:id="79" w:name="id2b82cd9560d424daca577a505d84baa"/>
      <w:bookmarkEnd w:id="79"/>
      <w:r>
        <w:rPr>
          <w:rFonts w:ascii="Adelle Sans;sans-serif" w:hAnsi="Adelle Sans;sans-serif"/>
          <w:b w:val="false"/>
          <w:i/>
          <w:color w:val="000000"/>
          <w:sz w:val="20"/>
        </w:rPr>
        <w:t>Cost of Merchant Solutions</w:t>
      </w:r>
    </w:p>
    <w:p>
      <w:pPr>
        <w:pStyle w:val="TextBody"/>
        <w:bidi w:val="0"/>
        <w:spacing w:lineRule="auto" w:line="288" w:before="0" w:after="200"/>
        <w:jc w:val="both"/>
        <w:rPr>
          <w:rFonts w:ascii="Adelle Sans Light;sans-serif" w:hAnsi="Adelle Sans Light;sans-serif"/>
          <w:b w:val="false"/>
          <w:color w:val="000000"/>
          <w:sz w:val="20"/>
        </w:rPr>
      </w:pPr>
      <w:r>
        <w:rPr>
          <w:rFonts w:ascii="Adelle Sans Light;sans-serif" w:hAnsi="Adelle Sans Light;sans-serif"/>
          <w:b w:val="false"/>
          <w:color w:val="000000"/>
          <w:sz w:val="20"/>
        </w:rPr>
        <w:t>Cost of merchant solutions increased for the three months ended June 30, 2026 compared to the same period in 2025. The increase was driven by higher payment processing fees resulting from an increase in GMV facilitated through Shopify Payments.</w:t>
      </w:r>
    </w:p>
    <w:p>
      <w:pPr>
        <w:pStyle w:val="TextBody"/>
        <w:bidi w:val="0"/>
        <w:spacing w:lineRule="auto" w:line="288" w:before="0" w:after="200"/>
        <w:jc w:val="both"/>
        <w:rPr>
          <w:rFonts w:ascii="Adelle Sans Light;sans-serif" w:hAnsi="Adelle Sans Light;sans-serif"/>
          <w:b w:val="false"/>
          <w:color w:val="000000"/>
          <w:sz w:val="20"/>
        </w:rPr>
      </w:pPr>
      <w:r>
        <w:rPr>
          <w:rFonts w:ascii="Adelle Sans Light;sans-serif" w:hAnsi="Adelle Sans Light;sans-serif"/>
          <w:b w:val="false"/>
          <w:color w:val="000000"/>
          <w:sz w:val="20"/>
        </w:rPr>
        <w:t>Cost of merchant solutions increased for the six months ended June 30, 2026 compared to the same period in 2025. The increase was driven by higher payment processing fees resulting from an increase in GMV facilitated through Shopify Payments.</w:t>
      </w:r>
    </w:p>
    <w:tbl>
      <w:tblPr>
        <w:tblW w:w="10205" w:type="dxa"/>
        <w:jc w:val="left"/>
        <w:tblInd w:w="0" w:type="dxa"/>
        <w:tblLayout w:type="fixed"/>
        <w:tblCellMar>
          <w:top w:w="28" w:type="dxa"/>
          <w:left w:w="28" w:type="dxa"/>
          <w:bottom w:w="28" w:type="dxa"/>
          <w:right w:w="28" w:type="dxa"/>
        </w:tblCellMar>
      </w:tblPr>
      <w:tblGrid>
        <w:gridCol w:w="540"/>
        <w:gridCol w:w="475"/>
        <w:gridCol w:w="455"/>
        <w:gridCol w:w="358"/>
        <w:gridCol w:w="348"/>
        <w:gridCol w:w="297"/>
        <w:gridCol w:w="119"/>
        <w:gridCol w:w="119"/>
        <w:gridCol w:w="119"/>
        <w:gridCol w:w="358"/>
        <w:gridCol w:w="348"/>
        <w:gridCol w:w="297"/>
        <w:gridCol w:w="119"/>
        <w:gridCol w:w="119"/>
        <w:gridCol w:w="119"/>
        <w:gridCol w:w="250"/>
        <w:gridCol w:w="250"/>
        <w:gridCol w:w="626"/>
        <w:gridCol w:w="109"/>
        <w:gridCol w:w="109"/>
        <w:gridCol w:w="109"/>
        <w:gridCol w:w="353"/>
        <w:gridCol w:w="353"/>
        <w:gridCol w:w="308"/>
        <w:gridCol w:w="116"/>
        <w:gridCol w:w="116"/>
        <w:gridCol w:w="116"/>
        <w:gridCol w:w="353"/>
        <w:gridCol w:w="353"/>
        <w:gridCol w:w="308"/>
        <w:gridCol w:w="116"/>
        <w:gridCol w:w="116"/>
        <w:gridCol w:w="116"/>
        <w:gridCol w:w="250"/>
        <w:gridCol w:w="250"/>
        <w:gridCol w:w="626"/>
        <w:gridCol w:w="109"/>
        <w:gridCol w:w="109"/>
        <w:gridCol w:w="109"/>
        <w:gridCol w:w="109"/>
        <w:gridCol w:w="109"/>
        <w:gridCol w:w="167"/>
      </w:tblGrid>
      <w:tr>
        <w:trPr/>
        <w:tc>
          <w:tcPr>
            <w:tcW w:w="540"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14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6"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delle Sans;sans-serif" w:hAnsi="Adelle Sans;sans-serif"/>
                <w:b/>
                <w:color w:val="000000"/>
                <w:sz w:val="18"/>
              </w:rPr>
            </w:pPr>
            <w:r>
              <w:rPr>
                <w:rFonts w:ascii="Adelle Sans;sans-serif" w:hAnsi="Adelle Sans;sans-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0"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delle Sans;sans-serif" w:hAnsi="Adelle Sans;sans-serif"/>
                <w:b/>
                <w:color w:val="000000"/>
                <w:sz w:val="18"/>
              </w:rPr>
            </w:pPr>
            <w:r>
              <w:rPr>
                <w:rFonts w:ascii="Adelle Sans;sans-serif" w:hAnsi="Adelle Sans;sans-serif"/>
                <w:b/>
                <w:color w:val="000000"/>
                <w:sz w:val="18"/>
              </w:rPr>
              <w:t>Six months ended June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4" w:type="dxa"/>
            <w:gridSpan w:val="4"/>
            <w:tcBorders/>
          </w:tcPr>
          <w:p>
            <w:pPr>
              <w:pStyle w:val="TableContents"/>
              <w:bidi w:val="0"/>
              <w:spacing w:before="0" w:after="283"/>
              <w:jc w:val="left"/>
              <w:rPr>
                <w:sz w:val="4"/>
                <w:szCs w:val="4"/>
              </w:rPr>
            </w:pPr>
            <w:r>
              <w:rPr>
                <w:sz w:val="4"/>
                <w:szCs w:val="4"/>
              </w:rPr>
            </w:r>
          </w:p>
        </w:tc>
      </w:tr>
      <w:tr>
        <w:trPr/>
        <w:tc>
          <w:tcPr>
            <w:tcW w:w="14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Adelle Sans;sans-serif" w:hAnsi="Adelle Sans;sans-serif"/>
                <w:b/>
                <w:color w:val="000000"/>
                <w:sz w:val="18"/>
              </w:rPr>
            </w:pPr>
            <w:r>
              <w:rPr>
                <w:rFonts w:ascii="Adelle Sans;sans-serif" w:hAnsi="Adelle Sans;sans-serif"/>
                <w:b/>
                <w:color w:val="000000"/>
                <w:sz w:val="18"/>
              </w:rPr>
              <w:t>2026</w:t>
            </w:r>
          </w:p>
        </w:tc>
        <w:tc>
          <w:tcPr>
            <w:tcW w:w="35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Adelle Sans;sans-serif" w:hAnsi="Adelle Sans;sans-serif"/>
                <w:b/>
                <w:color w:val="000000"/>
                <w:sz w:val="18"/>
              </w:rPr>
            </w:pPr>
            <w:r>
              <w:rPr>
                <w:rFonts w:ascii="Adelle Sans;sans-serif" w:hAnsi="Adelle Sans;sans-serif"/>
                <w:b/>
                <w:color w:val="000000"/>
                <w:sz w:val="18"/>
              </w:rPr>
              <w:t>2025</w:t>
            </w:r>
          </w:p>
        </w:tc>
        <w:tc>
          <w:tcPr>
            <w:tcW w:w="35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Adelle Sans;sans-serif" w:hAnsi="Adelle Sans;sans-serif"/>
                <w:b/>
                <w:color w:val="000000"/>
                <w:sz w:val="18"/>
              </w:rPr>
            </w:pPr>
            <w:r>
              <w:rPr>
                <w:rFonts w:ascii="Adelle Sans;sans-serif" w:hAnsi="Adelle Sans;sans-serif"/>
                <w:b/>
                <w:color w:val="000000"/>
                <w:sz w:val="18"/>
              </w:rPr>
              <w:t>% Change</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Adelle Sans;sans-serif" w:hAnsi="Adelle Sans;sans-serif"/>
                <w:b/>
                <w:color w:val="000000"/>
                <w:sz w:val="18"/>
              </w:rPr>
            </w:pPr>
            <w:r>
              <w:rPr>
                <w:rFonts w:ascii="Adelle Sans;sans-serif" w:hAnsi="Adelle Sans;sans-serif"/>
                <w:b/>
                <w:color w:val="000000"/>
                <w:sz w:val="18"/>
              </w:rPr>
              <w:t>2026</w:t>
            </w:r>
          </w:p>
        </w:tc>
        <w:tc>
          <w:tcPr>
            <w:tcW w:w="348"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Adelle Sans;sans-serif" w:hAnsi="Adelle Sans;sans-serif"/>
                <w:b/>
                <w:color w:val="000000"/>
                <w:sz w:val="18"/>
              </w:rPr>
            </w:pPr>
            <w:r>
              <w:rPr>
                <w:rFonts w:ascii="Adelle Sans;sans-serif" w:hAnsi="Adelle Sans;sans-serif"/>
                <w:b/>
                <w:color w:val="000000"/>
                <w:sz w:val="18"/>
              </w:rPr>
              <w:t>2025</w:t>
            </w:r>
          </w:p>
        </w:tc>
        <w:tc>
          <w:tcPr>
            <w:tcW w:w="348"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Adelle Sans;sans-serif" w:hAnsi="Adelle Sans;sans-serif"/>
                <w:b/>
                <w:color w:val="000000"/>
                <w:sz w:val="18"/>
              </w:rPr>
            </w:pPr>
            <w:r>
              <w:rPr>
                <w:rFonts w:ascii="Adelle Sans;sans-serif" w:hAnsi="Adelle Sans;sans-serif"/>
                <w:b/>
                <w:color w:val="000000"/>
                <w:sz w:val="18"/>
              </w:rPr>
              <w:t>% Change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147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3" w:type="dxa"/>
            <w:gridSpan w:val="3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delle Sans;sans-serif" w:hAnsi="Adelle Sans;sans-serif"/>
                <w:b w:val="false"/>
                <w:color w:val="000000"/>
                <w:sz w:val="18"/>
              </w:rPr>
            </w:pPr>
            <w:r>
              <w:rPr>
                <w:rFonts w:ascii="Adelle Sans;sans-serif" w:hAnsi="Adelle Sans;sans-serif"/>
                <w:b w:val="false"/>
                <w:color w:val="000000"/>
                <w:sz w:val="18"/>
              </w:rPr>
              <w:t>(in US $ millions, except percentages)</w:t>
            </w:r>
          </w:p>
        </w:tc>
        <w:tc>
          <w:tcPr>
            <w:tcW w:w="712" w:type="dxa"/>
            <w:gridSpan w:val="6"/>
            <w:tcBorders/>
          </w:tcPr>
          <w:p>
            <w:pPr>
              <w:pStyle w:val="TableContents"/>
              <w:bidi w:val="0"/>
              <w:spacing w:before="0" w:after="283"/>
              <w:jc w:val="left"/>
              <w:rPr>
                <w:sz w:val="4"/>
                <w:szCs w:val="4"/>
              </w:rPr>
            </w:pPr>
            <w:r>
              <w:rPr>
                <w:sz w:val="4"/>
                <w:szCs w:val="4"/>
              </w:rPr>
            </w:r>
          </w:p>
        </w:tc>
      </w:tr>
      <w:tr>
        <w:trPr/>
        <w:tc>
          <w:tcPr>
            <w:tcW w:w="1470" w:type="dxa"/>
            <w:gridSpan w:val="3"/>
            <w:tcBorders/>
            <w:shd w:fill="F7F7F7" w:val="clear"/>
            <w:tcMar>
              <w:top w:w="0" w:type="dxa"/>
              <w:left w:w="0" w:type="dxa"/>
              <w:bottom w:w="0" w:type="dxa"/>
              <w:right w:w="0" w:type="dxa"/>
            </w:tcMar>
            <w:vAlign w:val="center"/>
          </w:tcPr>
          <w:p>
            <w:pPr>
              <w:pStyle w:val="TableContents"/>
              <w:bidi w:val="0"/>
              <w:spacing w:lineRule="auto" w:line="240" w:before="0" w:after="283"/>
              <w:jc w:val="left"/>
              <w:rPr>
                <w:rFonts w:ascii="Adelle Sans;sans-serif" w:hAnsi="Adelle Sans;sans-serif"/>
                <w:b w:val="false"/>
                <w:color w:val="000000"/>
                <w:sz w:val="18"/>
              </w:rPr>
            </w:pPr>
            <w:r>
              <w:rPr>
                <w:rFonts w:ascii="Adelle Sans;sans-serif" w:hAnsi="Adelle Sans;sans-serif"/>
                <w:b w:val="false"/>
                <w:color w:val="000000"/>
                <w:sz w:val="18"/>
              </w:rPr>
              <w:t>Gross profit</w:t>
            </w:r>
          </w:p>
        </w:tc>
        <w:tc>
          <w:tcPr>
            <w:tcW w:w="706" w:type="dxa"/>
            <w:gridSpan w:val="2"/>
            <w:tcBorders/>
            <w:shd w:fill="F7F7F7"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1,708 </w:t>
            </w:r>
          </w:p>
        </w:tc>
        <w:tc>
          <w:tcPr>
            <w:tcW w:w="297" w:type="dxa"/>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7F7F7"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1,302 </w:t>
            </w:r>
          </w:p>
        </w:tc>
        <w:tc>
          <w:tcPr>
            <w:tcW w:w="297" w:type="dxa"/>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 w:type="dxa"/>
            <w:gridSpan w:val="2"/>
            <w:tcBorders/>
            <w:shd w:fill="F7F7F7"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31 </w:t>
            </w:r>
          </w:p>
        </w:tc>
        <w:tc>
          <w:tcPr>
            <w:tcW w:w="626" w:type="dxa"/>
            <w:tcBorders/>
            <w:shd w:fill="F7F7F7"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w:t>
            </w:r>
          </w:p>
        </w:tc>
        <w:tc>
          <w:tcPr>
            <w:tcW w:w="327"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7F7F7"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3,254 </w:t>
            </w:r>
          </w:p>
        </w:tc>
        <w:tc>
          <w:tcPr>
            <w:tcW w:w="308" w:type="dxa"/>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7F7F7"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2,471 </w:t>
            </w:r>
          </w:p>
        </w:tc>
        <w:tc>
          <w:tcPr>
            <w:tcW w:w="308" w:type="dxa"/>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 w:type="dxa"/>
            <w:gridSpan w:val="2"/>
            <w:tcBorders/>
            <w:shd w:fill="F7F7F7"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32 </w:t>
            </w:r>
          </w:p>
        </w:tc>
        <w:tc>
          <w:tcPr>
            <w:tcW w:w="626" w:type="dxa"/>
            <w:tcBorders/>
            <w:shd w:fill="F7F7F7"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14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delle Sans;sans-serif" w:hAnsi="Adelle Sans;sans-serif"/>
                <w:b w:val="false"/>
                <w:color w:val="000000"/>
                <w:sz w:val="18"/>
              </w:rPr>
            </w:pPr>
            <w:r>
              <w:rPr>
                <w:rFonts w:ascii="Adelle Sans;sans-serif" w:hAnsi="Adelle Sans;sans-serif"/>
                <w:b w:val="false"/>
                <w:color w:val="000000"/>
                <w:sz w:val="18"/>
              </w:rPr>
              <w:t>Percentage of total revenues</w:t>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48 </w:t>
            </w:r>
          </w:p>
        </w:tc>
        <w:tc>
          <w:tcPr>
            <w:tcW w:w="29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w:t>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49 </w:t>
            </w:r>
          </w:p>
        </w:tc>
        <w:tc>
          <w:tcPr>
            <w:tcW w:w="29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w:t>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48 </w:t>
            </w:r>
          </w:p>
        </w:tc>
        <w:tc>
          <w:tcPr>
            <w:tcW w:w="3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w:t>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49 </w:t>
            </w:r>
          </w:p>
        </w:tc>
        <w:tc>
          <w:tcPr>
            <w:tcW w:w="3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w:t>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7955"/>
                <wp:effectExtent l="0" t="0" r="0" b="0"/>
                <wp:wrapNone/>
                <wp:docPr id="33" name="Frame32"/>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200"/>
                              <w:jc w:val="center"/>
                              <w:rPr>
                                <w:rFonts w:ascii="Adelle Sans Light;sans-serif" w:hAnsi="Adelle Sans Light;sans-serif"/>
                                <w:b w:val="false"/>
                                <w:color w:val="000000"/>
                                <w:sz w:val="20"/>
                              </w:rPr>
                            </w:pPr>
                            <w:r>
                              <w:rPr>
                                <w:rFonts w:ascii="Adelle Sans Light;sans-serif" w:hAnsi="Adelle Sans Light;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Adelle Sans Light;sans-serif" w:hAnsi="Adelle Sans Light;sans-serif"/>
                          <w:b w:val="false"/>
                          <w:color w:val="000000"/>
                          <w:sz w:val="20"/>
                        </w:rPr>
                      </w:pPr>
                      <w:r>
                        <w:rPr>
                          <w:rFonts w:ascii="Adelle Sans Light;sans-serif" w:hAnsi="Adelle Sans Light;sans-serif"/>
                          <w:b w:val="false"/>
                          <w:color w:val="000000"/>
                          <w:sz w:val="20"/>
                        </w:rPr>
                        <w:t>32</w:t>
                      </w:r>
                    </w:p>
                  </w:txbxContent>
                </v:textbox>
                <w10:wrap type="none"/>
              </v:rect>
            </w:pict>
          </mc:Fallback>
        </mc:AlternateContent>
      </w:r>
    </w:p>
    <w:p>
      <w:pPr>
        <w:pStyle w:val="TextBody"/>
        <w:bidi w:val="0"/>
        <w:spacing w:lineRule="auto" w:line="288" w:before="0" w:after="200"/>
        <w:jc w:val="both"/>
        <w:rPr/>
      </w:pPr>
      <w:hyperlink w:anchor="iccccf23fa31e44f0aa82c99ca0859db8_7">
        <w:r>
          <w:rPr>
            <w:rStyle w:val="InternetLink"/>
            <w:rFonts w:ascii="Adelle Sans Light;sans-serif" w:hAnsi="Adelle Sans Light;sans-serif"/>
            <w:b w:val="false"/>
            <w:color w:val="0000FF"/>
            <w:sz w:val="20"/>
            <w:u w:val="single"/>
          </w:rPr>
          <w:t>Table of Contents</w:t>
        </w:r>
      </w:hyperlink>
    </w:p>
    <w:p>
      <w:pPr>
        <w:pStyle w:val="TextBody"/>
        <w:bidi w:val="0"/>
        <w:spacing w:lineRule="auto" w:line="288" w:before="0" w:after="200"/>
        <w:jc w:val="left"/>
        <w:rPr>
          <w:rFonts w:ascii="Adelle Sans;sans-serif" w:hAnsi="Adelle Sans;sans-serif"/>
          <w:b/>
          <w:i/>
          <w:color w:val="000000"/>
          <w:sz w:val="20"/>
        </w:rPr>
      </w:pPr>
      <w:bookmarkStart w:id="80" w:name="i727873c26f0445a0992799cb2fde5857"/>
      <w:bookmarkEnd w:id="80"/>
      <w:r>
        <w:rPr>
          <w:rFonts w:ascii="Adelle Sans;sans-serif" w:hAnsi="Adelle Sans;sans-serif"/>
          <w:b/>
          <w:i/>
          <w:color w:val="000000"/>
          <w:sz w:val="20"/>
        </w:rPr>
        <w:t xml:space="preserve">Operating Expenses </w:t>
      </w:r>
    </w:p>
    <w:p>
      <w:pPr>
        <w:pStyle w:val="TextBody"/>
        <w:bidi w:val="0"/>
        <w:spacing w:lineRule="auto" w:line="288" w:before="0" w:after="200"/>
        <w:jc w:val="left"/>
        <w:rPr>
          <w:rFonts w:ascii="Adelle Sans;sans-serif" w:hAnsi="Adelle Sans;sans-serif"/>
          <w:b w:val="false"/>
          <w:i/>
          <w:color w:val="000000"/>
          <w:sz w:val="20"/>
        </w:rPr>
      </w:pPr>
      <w:bookmarkStart w:id="81" w:name="i57a054b3626e4de19a721cdf8299773c"/>
      <w:bookmarkEnd w:id="81"/>
      <w:r>
        <w:rPr>
          <w:rFonts w:ascii="Adelle Sans;sans-serif" w:hAnsi="Adelle Sans;sans-serif"/>
          <w:b w:val="false"/>
          <w:i/>
          <w:color w:val="000000"/>
          <w:sz w:val="20"/>
        </w:rPr>
        <w:t xml:space="preserve">Sales and Marketing </w:t>
      </w:r>
    </w:p>
    <w:tbl>
      <w:tblPr>
        <w:tblW w:w="10205" w:type="dxa"/>
        <w:jc w:val="left"/>
        <w:tblInd w:w="0" w:type="dxa"/>
        <w:tblLayout w:type="fixed"/>
        <w:tblCellMar>
          <w:top w:w="28" w:type="dxa"/>
          <w:left w:w="28" w:type="dxa"/>
          <w:bottom w:w="28" w:type="dxa"/>
          <w:right w:w="28" w:type="dxa"/>
        </w:tblCellMar>
      </w:tblPr>
      <w:tblGrid>
        <w:gridCol w:w="726"/>
        <w:gridCol w:w="597"/>
        <w:gridCol w:w="601"/>
        <w:gridCol w:w="267"/>
        <w:gridCol w:w="259"/>
        <w:gridCol w:w="334"/>
        <w:gridCol w:w="134"/>
        <w:gridCol w:w="134"/>
        <w:gridCol w:w="134"/>
        <w:gridCol w:w="267"/>
        <w:gridCol w:w="259"/>
        <w:gridCol w:w="334"/>
        <w:gridCol w:w="134"/>
        <w:gridCol w:w="134"/>
        <w:gridCol w:w="134"/>
        <w:gridCol w:w="250"/>
        <w:gridCol w:w="250"/>
        <w:gridCol w:w="626"/>
        <w:gridCol w:w="109"/>
        <w:gridCol w:w="109"/>
        <w:gridCol w:w="109"/>
        <w:gridCol w:w="263"/>
        <w:gridCol w:w="263"/>
        <w:gridCol w:w="328"/>
        <w:gridCol w:w="127"/>
        <w:gridCol w:w="127"/>
        <w:gridCol w:w="127"/>
        <w:gridCol w:w="263"/>
        <w:gridCol w:w="263"/>
        <w:gridCol w:w="328"/>
        <w:gridCol w:w="127"/>
        <w:gridCol w:w="127"/>
        <w:gridCol w:w="127"/>
        <w:gridCol w:w="250"/>
        <w:gridCol w:w="250"/>
        <w:gridCol w:w="626"/>
        <w:gridCol w:w="109"/>
        <w:gridCol w:w="109"/>
        <w:gridCol w:w="109"/>
        <w:gridCol w:w="109"/>
        <w:gridCol w:w="109"/>
        <w:gridCol w:w="163"/>
      </w:tblGrid>
      <w:tr>
        <w:trPr/>
        <w:tc>
          <w:tcPr>
            <w:tcW w:w="726"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9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0"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delle Sans;sans-serif" w:hAnsi="Adelle Sans;sans-serif"/>
                <w:b/>
                <w:color w:val="000000"/>
                <w:sz w:val="18"/>
              </w:rPr>
            </w:pPr>
            <w:r>
              <w:rPr>
                <w:rFonts w:ascii="Adelle Sans;sans-serif" w:hAnsi="Adelle Sans;sans-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96"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delle Sans;sans-serif" w:hAnsi="Adelle Sans;sans-serif"/>
                <w:b/>
                <w:color w:val="000000"/>
                <w:sz w:val="18"/>
              </w:rPr>
            </w:pPr>
            <w:r>
              <w:rPr>
                <w:rFonts w:ascii="Adelle Sans;sans-serif" w:hAnsi="Adelle Sans;sans-serif"/>
                <w:b/>
                <w:color w:val="000000"/>
                <w:sz w:val="18"/>
              </w:rPr>
              <w:t>Six months ended June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0" w:type="dxa"/>
            <w:gridSpan w:val="4"/>
            <w:tcBorders/>
          </w:tcPr>
          <w:p>
            <w:pPr>
              <w:pStyle w:val="TableContents"/>
              <w:bidi w:val="0"/>
              <w:spacing w:before="0" w:after="283"/>
              <w:jc w:val="left"/>
              <w:rPr>
                <w:sz w:val="4"/>
                <w:szCs w:val="4"/>
              </w:rPr>
            </w:pPr>
            <w:r>
              <w:rPr>
                <w:sz w:val="4"/>
                <w:szCs w:val="4"/>
              </w:rPr>
            </w:r>
          </w:p>
        </w:tc>
      </w:tr>
      <w:tr>
        <w:trPr/>
        <w:tc>
          <w:tcPr>
            <w:tcW w:w="19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Adelle Sans;sans-serif" w:hAnsi="Adelle Sans;sans-serif"/>
                <w:b/>
                <w:color w:val="000000"/>
                <w:sz w:val="18"/>
              </w:rPr>
            </w:pPr>
            <w:r>
              <w:rPr>
                <w:rFonts w:ascii="Adelle Sans;sans-serif" w:hAnsi="Adelle Sans;sans-serif"/>
                <w:b/>
                <w:color w:val="000000"/>
                <w:sz w:val="18"/>
              </w:rPr>
              <w:t>2026</w:t>
            </w:r>
          </w:p>
        </w:tc>
        <w:tc>
          <w:tcPr>
            <w:tcW w:w="402"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860"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Adelle Sans;sans-serif" w:hAnsi="Adelle Sans;sans-serif"/>
                <w:b/>
                <w:color w:val="000000"/>
                <w:sz w:val="18"/>
              </w:rPr>
            </w:pPr>
            <w:r>
              <w:rPr>
                <w:rFonts w:ascii="Adelle Sans;sans-serif" w:hAnsi="Adelle Sans;sans-serif"/>
                <w:b/>
                <w:color w:val="000000"/>
                <w:sz w:val="18"/>
              </w:rPr>
              <w:t>2025</w:t>
            </w:r>
          </w:p>
        </w:tc>
        <w:tc>
          <w:tcPr>
            <w:tcW w:w="402"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Adelle Sans;sans-serif" w:hAnsi="Adelle Sans;sans-serif"/>
                <w:b/>
                <w:color w:val="000000"/>
                <w:sz w:val="18"/>
              </w:rPr>
            </w:pPr>
            <w:r>
              <w:rPr>
                <w:rFonts w:ascii="Adelle Sans;sans-serif" w:hAnsi="Adelle Sans;sans-serif"/>
                <w:b/>
                <w:color w:val="000000"/>
                <w:sz w:val="18"/>
              </w:rPr>
              <w:t>% Change</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54"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Adelle Sans;sans-serif" w:hAnsi="Adelle Sans;sans-serif"/>
                <w:b/>
                <w:color w:val="000000"/>
                <w:sz w:val="18"/>
              </w:rPr>
            </w:pPr>
            <w:r>
              <w:rPr>
                <w:rFonts w:ascii="Adelle Sans;sans-serif" w:hAnsi="Adelle Sans;sans-serif"/>
                <w:b/>
                <w:color w:val="000000"/>
                <w:sz w:val="18"/>
              </w:rPr>
              <w:t>2026</w:t>
            </w:r>
          </w:p>
        </w:tc>
        <w:tc>
          <w:tcPr>
            <w:tcW w:w="381"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854"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Adelle Sans;sans-serif" w:hAnsi="Adelle Sans;sans-serif"/>
                <w:b/>
                <w:color w:val="000000"/>
                <w:sz w:val="18"/>
              </w:rPr>
            </w:pPr>
            <w:r>
              <w:rPr>
                <w:rFonts w:ascii="Adelle Sans;sans-serif" w:hAnsi="Adelle Sans;sans-serif"/>
                <w:b/>
                <w:color w:val="000000"/>
                <w:sz w:val="18"/>
              </w:rPr>
              <w:t>2025</w:t>
            </w:r>
          </w:p>
        </w:tc>
        <w:tc>
          <w:tcPr>
            <w:tcW w:w="381"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Adelle Sans;sans-serif" w:hAnsi="Adelle Sans;sans-serif"/>
                <w:b/>
                <w:color w:val="000000"/>
                <w:sz w:val="18"/>
              </w:rPr>
            </w:pPr>
            <w:r>
              <w:rPr>
                <w:rFonts w:ascii="Adelle Sans;sans-serif" w:hAnsi="Adelle Sans;sans-serif"/>
                <w:b/>
                <w:color w:val="000000"/>
                <w:sz w:val="18"/>
              </w:rPr>
              <w:t>% Change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92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3" w:type="dxa"/>
            <w:gridSpan w:val="3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delle Sans;sans-serif" w:hAnsi="Adelle Sans;sans-serif"/>
                <w:b w:val="false"/>
                <w:color w:val="000000"/>
                <w:sz w:val="18"/>
              </w:rPr>
            </w:pPr>
            <w:r>
              <w:rPr>
                <w:rFonts w:ascii="Adelle Sans;sans-serif" w:hAnsi="Adelle Sans;sans-serif"/>
                <w:b w:val="false"/>
                <w:color w:val="000000"/>
                <w:sz w:val="18"/>
              </w:rPr>
              <w:t>(in US $ millions, except percentages)</w:t>
            </w:r>
          </w:p>
        </w:tc>
        <w:tc>
          <w:tcPr>
            <w:tcW w:w="708" w:type="dxa"/>
            <w:gridSpan w:val="6"/>
            <w:tcBorders/>
          </w:tcPr>
          <w:p>
            <w:pPr>
              <w:pStyle w:val="TableContents"/>
              <w:bidi w:val="0"/>
              <w:spacing w:before="0" w:after="283"/>
              <w:jc w:val="left"/>
              <w:rPr>
                <w:sz w:val="4"/>
                <w:szCs w:val="4"/>
              </w:rPr>
            </w:pPr>
            <w:r>
              <w:rPr>
                <w:sz w:val="4"/>
                <w:szCs w:val="4"/>
              </w:rPr>
            </w:r>
          </w:p>
        </w:tc>
      </w:tr>
      <w:tr>
        <w:trPr/>
        <w:tc>
          <w:tcPr>
            <w:tcW w:w="1924" w:type="dxa"/>
            <w:gridSpan w:val="3"/>
            <w:tcBorders/>
            <w:shd w:fill="F7F7F7" w:val="clear"/>
            <w:tcMar>
              <w:top w:w="0" w:type="dxa"/>
              <w:left w:w="0" w:type="dxa"/>
              <w:bottom w:w="0" w:type="dxa"/>
              <w:right w:w="0" w:type="dxa"/>
            </w:tcMar>
            <w:vAlign w:val="center"/>
          </w:tcPr>
          <w:p>
            <w:pPr>
              <w:pStyle w:val="TableContents"/>
              <w:bidi w:val="0"/>
              <w:spacing w:lineRule="auto" w:line="240" w:before="0" w:after="283"/>
              <w:jc w:val="left"/>
              <w:rPr>
                <w:rFonts w:ascii="Adelle Sans;sans-serif" w:hAnsi="Adelle Sans;sans-serif"/>
                <w:b w:val="false"/>
                <w:color w:val="000000"/>
                <w:sz w:val="18"/>
              </w:rPr>
            </w:pPr>
            <w:r>
              <w:rPr>
                <w:rFonts w:ascii="Adelle Sans;sans-serif" w:hAnsi="Adelle Sans;sans-serif"/>
                <w:b w:val="false"/>
                <w:color w:val="000000"/>
                <w:sz w:val="18"/>
              </w:rPr>
              <w:t>Sales and marketing</w:t>
            </w:r>
          </w:p>
        </w:tc>
        <w:tc>
          <w:tcPr>
            <w:tcW w:w="526" w:type="dxa"/>
            <w:gridSpan w:val="2"/>
            <w:tcBorders/>
            <w:shd w:fill="F7F7F7"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498 </w:t>
            </w:r>
          </w:p>
        </w:tc>
        <w:tc>
          <w:tcPr>
            <w:tcW w:w="334" w:type="dxa"/>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7F7F7"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415 </w:t>
            </w:r>
          </w:p>
        </w:tc>
        <w:tc>
          <w:tcPr>
            <w:tcW w:w="334" w:type="dxa"/>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 w:type="dxa"/>
            <w:gridSpan w:val="2"/>
            <w:tcBorders/>
            <w:shd w:fill="F7F7F7"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20 </w:t>
            </w:r>
          </w:p>
        </w:tc>
        <w:tc>
          <w:tcPr>
            <w:tcW w:w="626" w:type="dxa"/>
            <w:tcBorders/>
            <w:shd w:fill="F7F7F7"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w:t>
            </w:r>
          </w:p>
        </w:tc>
        <w:tc>
          <w:tcPr>
            <w:tcW w:w="327"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7F7F7"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994 </w:t>
            </w:r>
          </w:p>
        </w:tc>
        <w:tc>
          <w:tcPr>
            <w:tcW w:w="328" w:type="dxa"/>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7F7F7"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820 </w:t>
            </w:r>
          </w:p>
        </w:tc>
        <w:tc>
          <w:tcPr>
            <w:tcW w:w="328" w:type="dxa"/>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 w:type="dxa"/>
            <w:gridSpan w:val="2"/>
            <w:tcBorders/>
            <w:shd w:fill="F7F7F7"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21 </w:t>
            </w:r>
          </w:p>
        </w:tc>
        <w:tc>
          <w:tcPr>
            <w:tcW w:w="626" w:type="dxa"/>
            <w:tcBorders/>
            <w:shd w:fill="F7F7F7"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9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delle Sans;sans-serif" w:hAnsi="Adelle Sans;sans-serif"/>
                <w:b w:val="false"/>
                <w:color w:val="000000"/>
                <w:sz w:val="18"/>
              </w:rPr>
            </w:pPr>
            <w:r>
              <w:rPr>
                <w:rFonts w:ascii="Adelle Sans;sans-serif" w:hAnsi="Adelle Sans;sans-serif"/>
                <w:b w:val="false"/>
                <w:color w:val="000000"/>
                <w:sz w:val="18"/>
              </w:rPr>
              <w:t>Percentage of total revenues</w:t>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14 </w:t>
            </w:r>
          </w:p>
        </w:tc>
        <w:tc>
          <w:tcPr>
            <w:tcW w:w="33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w:t>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15 </w:t>
            </w:r>
          </w:p>
        </w:tc>
        <w:tc>
          <w:tcPr>
            <w:tcW w:w="33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w:t>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15 </w:t>
            </w:r>
          </w:p>
        </w:tc>
        <w:tc>
          <w:tcPr>
            <w:tcW w:w="32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w:t>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16 </w:t>
            </w:r>
          </w:p>
        </w:tc>
        <w:tc>
          <w:tcPr>
            <w:tcW w:w="32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w:t>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jc w:val="both"/>
        <w:rPr>
          <w:rFonts w:ascii="Adelle Sans Light;sans-serif" w:hAnsi="Adelle Sans Light;sans-serif"/>
          <w:b w:val="false"/>
          <w:color w:val="000000"/>
          <w:sz w:val="20"/>
        </w:rPr>
      </w:pPr>
      <w:r>
        <w:rPr>
          <w:rFonts w:ascii="Adelle Sans Light;sans-serif" w:hAnsi="Adelle Sans Light;sans-serif"/>
          <w:b w:val="false"/>
          <w:color w:val="000000"/>
          <w:sz w:val="20"/>
        </w:rPr>
        <w:t>Sales and marketing expenses increased for the three months ended June 30, 2026 compared to the same period in 2025, due to increases of $85 million in overall marketing program spend and $10 million in payouts related to our affiliate partner programs, offset by a $16 million decrease in employee-related costs.</w:t>
      </w:r>
    </w:p>
    <w:p>
      <w:pPr>
        <w:pStyle w:val="TextBody"/>
        <w:bidi w:val="0"/>
        <w:spacing w:lineRule="auto" w:line="288" w:before="0" w:after="200"/>
        <w:jc w:val="both"/>
        <w:rPr>
          <w:rFonts w:ascii="Adelle Sans Light;sans-serif" w:hAnsi="Adelle Sans Light;sans-serif"/>
          <w:b w:val="false"/>
          <w:color w:val="000000"/>
          <w:sz w:val="20"/>
        </w:rPr>
      </w:pPr>
      <w:r>
        <w:rPr>
          <w:rFonts w:ascii="Adelle Sans Light;sans-serif" w:hAnsi="Adelle Sans Light;sans-serif"/>
          <w:b w:val="false"/>
          <w:color w:val="000000"/>
          <w:sz w:val="20"/>
        </w:rPr>
        <w:t>Sales and marketing expenses increased for the six months ended June 30, 2026 compared to the same period in 2025, due to increases of $147 million in overall marketing program spend and $26 million in payouts related to our affiliate partner programs, offset by a $6 million decrease in employee-related costs.</w:t>
      </w:r>
    </w:p>
    <w:p>
      <w:pPr>
        <w:pStyle w:val="TextBody"/>
        <w:bidi w:val="0"/>
        <w:spacing w:before="0" w:after="200"/>
        <w:jc w:val="both"/>
        <w:rPr/>
      </w:pPr>
      <w:r>
        <w:rPr/>
      </w:r>
    </w:p>
    <w:p>
      <w:pPr>
        <w:pStyle w:val="TextBody"/>
        <w:bidi w:val="0"/>
        <w:spacing w:lineRule="auto" w:line="288" w:before="0" w:after="200"/>
        <w:jc w:val="left"/>
        <w:rPr>
          <w:rFonts w:ascii="Adelle Sans;sans-serif" w:hAnsi="Adelle Sans;sans-serif"/>
          <w:b w:val="false"/>
          <w:i/>
          <w:color w:val="000000"/>
          <w:sz w:val="20"/>
        </w:rPr>
      </w:pPr>
      <w:bookmarkStart w:id="82" w:name="i6a6564e19b13460c9941c2e247ad522c"/>
      <w:bookmarkEnd w:id="82"/>
      <w:r>
        <w:rPr>
          <w:rFonts w:ascii="Adelle Sans;sans-serif" w:hAnsi="Adelle Sans;sans-serif"/>
          <w:b w:val="false"/>
          <w:i/>
          <w:color w:val="000000"/>
          <w:sz w:val="20"/>
        </w:rPr>
        <w:t>Research and Development</w:t>
      </w:r>
    </w:p>
    <w:tbl>
      <w:tblPr>
        <w:tblW w:w="10205" w:type="dxa"/>
        <w:jc w:val="left"/>
        <w:tblInd w:w="0" w:type="dxa"/>
        <w:tblLayout w:type="fixed"/>
        <w:tblCellMar>
          <w:top w:w="28" w:type="dxa"/>
          <w:left w:w="28" w:type="dxa"/>
          <w:bottom w:w="28" w:type="dxa"/>
          <w:right w:w="28" w:type="dxa"/>
        </w:tblCellMar>
      </w:tblPr>
      <w:tblGrid>
        <w:gridCol w:w="709"/>
        <w:gridCol w:w="623"/>
        <w:gridCol w:w="624"/>
        <w:gridCol w:w="267"/>
        <w:gridCol w:w="259"/>
        <w:gridCol w:w="329"/>
        <w:gridCol w:w="132"/>
        <w:gridCol w:w="132"/>
        <w:gridCol w:w="132"/>
        <w:gridCol w:w="267"/>
        <w:gridCol w:w="259"/>
        <w:gridCol w:w="329"/>
        <w:gridCol w:w="132"/>
        <w:gridCol w:w="132"/>
        <w:gridCol w:w="132"/>
        <w:gridCol w:w="250"/>
        <w:gridCol w:w="250"/>
        <w:gridCol w:w="626"/>
        <w:gridCol w:w="109"/>
        <w:gridCol w:w="109"/>
        <w:gridCol w:w="109"/>
        <w:gridCol w:w="263"/>
        <w:gridCol w:w="263"/>
        <w:gridCol w:w="326"/>
        <w:gridCol w:w="126"/>
        <w:gridCol w:w="126"/>
        <w:gridCol w:w="126"/>
        <w:gridCol w:w="263"/>
        <w:gridCol w:w="263"/>
        <w:gridCol w:w="326"/>
        <w:gridCol w:w="126"/>
        <w:gridCol w:w="126"/>
        <w:gridCol w:w="126"/>
        <w:gridCol w:w="250"/>
        <w:gridCol w:w="250"/>
        <w:gridCol w:w="626"/>
        <w:gridCol w:w="109"/>
        <w:gridCol w:w="109"/>
        <w:gridCol w:w="109"/>
        <w:gridCol w:w="109"/>
        <w:gridCol w:w="109"/>
        <w:gridCol w:w="163"/>
      </w:tblGrid>
      <w:tr>
        <w:trPr/>
        <w:tc>
          <w:tcPr>
            <w:tcW w:w="709"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9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8"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delle Sans;sans-serif" w:hAnsi="Adelle Sans;sans-serif"/>
                <w:b/>
                <w:color w:val="000000"/>
                <w:sz w:val="18"/>
              </w:rPr>
            </w:pPr>
            <w:r>
              <w:rPr>
                <w:rFonts w:ascii="Adelle Sans;sans-serif" w:hAnsi="Adelle Sans;sans-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6"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delle Sans;sans-serif" w:hAnsi="Adelle Sans;sans-serif"/>
                <w:b/>
                <w:color w:val="000000"/>
                <w:sz w:val="18"/>
              </w:rPr>
            </w:pPr>
            <w:r>
              <w:rPr>
                <w:rFonts w:ascii="Adelle Sans;sans-serif" w:hAnsi="Adelle Sans;sans-serif"/>
                <w:b/>
                <w:color w:val="000000"/>
                <w:sz w:val="18"/>
              </w:rPr>
              <w:t>Six months ended June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0" w:type="dxa"/>
            <w:gridSpan w:val="4"/>
            <w:tcBorders/>
          </w:tcPr>
          <w:p>
            <w:pPr>
              <w:pStyle w:val="TableContents"/>
              <w:bidi w:val="0"/>
              <w:spacing w:before="0" w:after="283"/>
              <w:jc w:val="left"/>
              <w:rPr>
                <w:sz w:val="4"/>
                <w:szCs w:val="4"/>
              </w:rPr>
            </w:pPr>
            <w:r>
              <w:rPr>
                <w:sz w:val="4"/>
                <w:szCs w:val="4"/>
              </w:rPr>
            </w:r>
          </w:p>
        </w:tc>
      </w:tr>
      <w:tr>
        <w:trPr/>
        <w:tc>
          <w:tcPr>
            <w:tcW w:w="19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Adelle Sans;sans-serif" w:hAnsi="Adelle Sans;sans-serif"/>
                <w:b/>
                <w:color w:val="000000"/>
                <w:sz w:val="18"/>
              </w:rPr>
            </w:pPr>
            <w:r>
              <w:rPr>
                <w:rFonts w:ascii="Adelle Sans;sans-serif" w:hAnsi="Adelle Sans;sans-serif"/>
                <w:b/>
                <w:color w:val="000000"/>
                <w:sz w:val="18"/>
              </w:rPr>
              <w:t>2026</w:t>
            </w:r>
          </w:p>
        </w:tc>
        <w:tc>
          <w:tcPr>
            <w:tcW w:w="396"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855"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Adelle Sans;sans-serif" w:hAnsi="Adelle Sans;sans-serif"/>
                <w:b/>
                <w:color w:val="000000"/>
                <w:sz w:val="18"/>
              </w:rPr>
            </w:pPr>
            <w:r>
              <w:rPr>
                <w:rFonts w:ascii="Adelle Sans;sans-serif" w:hAnsi="Adelle Sans;sans-serif"/>
                <w:b/>
                <w:color w:val="000000"/>
                <w:sz w:val="18"/>
              </w:rPr>
              <w:t>2025</w:t>
            </w:r>
          </w:p>
        </w:tc>
        <w:tc>
          <w:tcPr>
            <w:tcW w:w="396"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Adelle Sans;sans-serif" w:hAnsi="Adelle Sans;sans-serif"/>
                <w:b/>
                <w:color w:val="000000"/>
                <w:sz w:val="18"/>
              </w:rPr>
            </w:pPr>
            <w:r>
              <w:rPr>
                <w:rFonts w:ascii="Adelle Sans;sans-serif" w:hAnsi="Adelle Sans;sans-serif"/>
                <w:b/>
                <w:color w:val="000000"/>
                <w:sz w:val="18"/>
              </w:rPr>
              <w:t>% Change</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52"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Adelle Sans;sans-serif" w:hAnsi="Adelle Sans;sans-serif"/>
                <w:b/>
                <w:color w:val="000000"/>
                <w:sz w:val="18"/>
              </w:rPr>
            </w:pPr>
            <w:r>
              <w:rPr>
                <w:rFonts w:ascii="Adelle Sans;sans-serif" w:hAnsi="Adelle Sans;sans-serif"/>
                <w:b/>
                <w:color w:val="000000"/>
                <w:sz w:val="18"/>
              </w:rPr>
              <w:t>2026</w:t>
            </w:r>
          </w:p>
        </w:tc>
        <w:tc>
          <w:tcPr>
            <w:tcW w:w="378"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852"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Adelle Sans;sans-serif" w:hAnsi="Adelle Sans;sans-serif"/>
                <w:b/>
                <w:color w:val="000000"/>
                <w:sz w:val="18"/>
              </w:rPr>
            </w:pPr>
            <w:r>
              <w:rPr>
                <w:rFonts w:ascii="Adelle Sans;sans-serif" w:hAnsi="Adelle Sans;sans-serif"/>
                <w:b/>
                <w:color w:val="000000"/>
                <w:sz w:val="18"/>
              </w:rPr>
              <w:t>2025</w:t>
            </w:r>
          </w:p>
        </w:tc>
        <w:tc>
          <w:tcPr>
            <w:tcW w:w="378"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Adelle Sans;sans-serif" w:hAnsi="Adelle Sans;sans-serif"/>
                <w:b/>
                <w:color w:val="000000"/>
                <w:sz w:val="18"/>
              </w:rPr>
            </w:pPr>
            <w:r>
              <w:rPr>
                <w:rFonts w:ascii="Adelle Sans;sans-serif" w:hAnsi="Adelle Sans;sans-serif"/>
                <w:b/>
                <w:color w:val="000000"/>
                <w:sz w:val="18"/>
              </w:rPr>
              <w:t>% Change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95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1" w:type="dxa"/>
            <w:gridSpan w:val="3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delle Sans;sans-serif" w:hAnsi="Adelle Sans;sans-serif"/>
                <w:b w:val="false"/>
                <w:color w:val="000000"/>
                <w:sz w:val="18"/>
              </w:rPr>
            </w:pPr>
            <w:r>
              <w:rPr>
                <w:rFonts w:ascii="Adelle Sans;sans-serif" w:hAnsi="Adelle Sans;sans-serif"/>
                <w:b w:val="false"/>
                <w:color w:val="000000"/>
                <w:sz w:val="18"/>
              </w:rPr>
              <w:t>(in US $ millions, except percentages)</w:t>
            </w:r>
          </w:p>
        </w:tc>
        <w:tc>
          <w:tcPr>
            <w:tcW w:w="708" w:type="dxa"/>
            <w:gridSpan w:val="6"/>
            <w:tcBorders/>
          </w:tcPr>
          <w:p>
            <w:pPr>
              <w:pStyle w:val="TableContents"/>
              <w:bidi w:val="0"/>
              <w:spacing w:before="0" w:after="283"/>
              <w:jc w:val="left"/>
              <w:rPr>
                <w:sz w:val="4"/>
                <w:szCs w:val="4"/>
              </w:rPr>
            </w:pPr>
            <w:r>
              <w:rPr>
                <w:sz w:val="4"/>
                <w:szCs w:val="4"/>
              </w:rPr>
            </w:r>
          </w:p>
        </w:tc>
      </w:tr>
      <w:tr>
        <w:trPr/>
        <w:tc>
          <w:tcPr>
            <w:tcW w:w="1956" w:type="dxa"/>
            <w:gridSpan w:val="3"/>
            <w:tcBorders/>
            <w:shd w:fill="F7F7F7" w:val="clear"/>
            <w:tcMar>
              <w:top w:w="0" w:type="dxa"/>
              <w:left w:w="0" w:type="dxa"/>
              <w:bottom w:w="0" w:type="dxa"/>
              <w:right w:w="0" w:type="dxa"/>
            </w:tcMar>
            <w:vAlign w:val="center"/>
          </w:tcPr>
          <w:p>
            <w:pPr>
              <w:pStyle w:val="TableContents"/>
              <w:bidi w:val="0"/>
              <w:spacing w:lineRule="auto" w:line="240" w:before="0" w:after="0"/>
              <w:jc w:val="left"/>
              <w:rPr>
                <w:rFonts w:ascii="Adelle Sans;sans-serif" w:hAnsi="Adelle Sans;sans-serif"/>
                <w:b w:val="false"/>
                <w:color w:val="000000"/>
                <w:sz w:val="18"/>
              </w:rPr>
            </w:pPr>
            <w:r>
              <w:rPr>
                <w:rFonts w:ascii="Adelle Sans;sans-serif" w:hAnsi="Adelle Sans;sans-serif"/>
                <w:b w:val="false"/>
                <w:color w:val="000000"/>
                <w:sz w:val="18"/>
              </w:rPr>
              <w:t>Research and development</w:t>
            </w:r>
          </w:p>
        </w:tc>
        <w:tc>
          <w:tcPr>
            <w:tcW w:w="526" w:type="dxa"/>
            <w:gridSpan w:val="2"/>
            <w:tcBorders/>
            <w:shd w:fill="F7F7F7"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445 </w:t>
            </w:r>
          </w:p>
        </w:tc>
        <w:tc>
          <w:tcPr>
            <w:tcW w:w="329" w:type="dxa"/>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7F7F7"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394 </w:t>
            </w:r>
          </w:p>
        </w:tc>
        <w:tc>
          <w:tcPr>
            <w:tcW w:w="329" w:type="dxa"/>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 w:type="dxa"/>
            <w:gridSpan w:val="2"/>
            <w:tcBorders/>
            <w:shd w:fill="F7F7F7"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13 </w:t>
            </w:r>
          </w:p>
        </w:tc>
        <w:tc>
          <w:tcPr>
            <w:tcW w:w="626" w:type="dxa"/>
            <w:tcBorders/>
            <w:shd w:fill="F7F7F7"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w:t>
            </w:r>
          </w:p>
        </w:tc>
        <w:tc>
          <w:tcPr>
            <w:tcW w:w="327"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7F7F7"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882 </w:t>
            </w:r>
          </w:p>
        </w:tc>
        <w:tc>
          <w:tcPr>
            <w:tcW w:w="326" w:type="dxa"/>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7F7F7"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771 </w:t>
            </w:r>
          </w:p>
        </w:tc>
        <w:tc>
          <w:tcPr>
            <w:tcW w:w="326" w:type="dxa"/>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 w:type="dxa"/>
            <w:gridSpan w:val="2"/>
            <w:tcBorders/>
            <w:shd w:fill="F7F7F7"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14 </w:t>
            </w:r>
          </w:p>
        </w:tc>
        <w:tc>
          <w:tcPr>
            <w:tcW w:w="626" w:type="dxa"/>
            <w:tcBorders/>
            <w:shd w:fill="F7F7F7"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95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delle Sans;sans-serif" w:hAnsi="Adelle Sans;sans-serif"/>
                <w:b w:val="false"/>
                <w:color w:val="000000"/>
                <w:sz w:val="18"/>
              </w:rPr>
            </w:pPr>
            <w:r>
              <w:rPr>
                <w:rFonts w:ascii="Adelle Sans;sans-serif" w:hAnsi="Adelle Sans;sans-serif"/>
                <w:b w:val="false"/>
                <w:color w:val="000000"/>
                <w:sz w:val="18"/>
              </w:rPr>
              <w:t>Percentage of total revenues</w:t>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12 </w:t>
            </w:r>
          </w:p>
        </w:tc>
        <w:tc>
          <w:tcPr>
            <w:tcW w:w="32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w:t>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15 </w:t>
            </w:r>
          </w:p>
        </w:tc>
        <w:tc>
          <w:tcPr>
            <w:tcW w:w="32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w:t>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13 </w:t>
            </w:r>
          </w:p>
        </w:tc>
        <w:tc>
          <w:tcPr>
            <w:tcW w:w="3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w:t>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15 </w:t>
            </w:r>
          </w:p>
        </w:tc>
        <w:tc>
          <w:tcPr>
            <w:tcW w:w="3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w:t>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0" w:after="200"/>
        <w:jc w:val="both"/>
        <w:rPr>
          <w:rFonts w:ascii="Adelle Sans Light;sans-serif" w:hAnsi="Adelle Sans Light;sans-serif"/>
          <w:b w:val="false"/>
          <w:color w:val="000000"/>
          <w:sz w:val="20"/>
        </w:rPr>
      </w:pPr>
      <w:r>
        <w:rPr>
          <w:rFonts w:ascii="Adelle Sans Light;sans-serif" w:hAnsi="Adelle Sans Light;sans-serif"/>
          <w:b w:val="false"/>
          <w:color w:val="000000"/>
          <w:sz w:val="20"/>
        </w:rPr>
        <w:t>Research and development expenses increased for the three months ended June 30, 2026 compared to the same period in 2025, due to increases of $34 million in computer hardware and software costs, which includes AI-related usage, and $11 million in employee-related costs.</w:t>
      </w:r>
    </w:p>
    <w:p>
      <w:pPr>
        <w:pStyle w:val="TextBody"/>
        <w:bidi w:val="0"/>
        <w:spacing w:lineRule="auto" w:line="276" w:before="0" w:after="200"/>
        <w:jc w:val="both"/>
        <w:rPr>
          <w:rFonts w:ascii="Adelle Sans Light;sans-serif" w:hAnsi="Adelle Sans Light;sans-serif"/>
          <w:b w:val="false"/>
          <w:color w:val="000000"/>
          <w:sz w:val="20"/>
        </w:rPr>
      </w:pPr>
      <w:r>
        <w:rPr>
          <w:rFonts w:ascii="Adelle Sans Light;sans-serif" w:hAnsi="Adelle Sans Light;sans-serif"/>
          <w:b w:val="false"/>
          <w:color w:val="000000"/>
          <w:sz w:val="20"/>
        </w:rPr>
        <w:t>Research and development expenses increased for the six months ended June 30, 2026 compared to the same period in 2025, due to increases of $59 million in computer hardware and software costs, which includes AI-related usage, and $47 million in employee-related costs.</w:t>
      </w:r>
    </w:p>
    <w:p>
      <w:pPr>
        <w:pStyle w:val="TextBody"/>
        <w:bidi w:val="0"/>
        <w:spacing w:before="0" w:after="200"/>
        <w:jc w:val="both"/>
        <w:rPr/>
      </w:pPr>
      <w:r>
        <w:rPr/>
      </w:r>
    </w:p>
    <w:p>
      <w:pPr>
        <w:pStyle w:val="TextBody"/>
        <w:bidi w:val="0"/>
        <w:spacing w:lineRule="auto" w:line="288" w:before="0" w:after="200"/>
        <w:jc w:val="left"/>
        <w:rPr>
          <w:rFonts w:ascii="Adelle Sans;sans-serif" w:hAnsi="Adelle Sans;sans-serif"/>
          <w:b w:val="false"/>
          <w:i/>
          <w:color w:val="000000"/>
          <w:sz w:val="20"/>
        </w:rPr>
      </w:pPr>
      <w:bookmarkStart w:id="83" w:name="ib3292e5c058f4bb6922457b1312cadb9"/>
      <w:bookmarkEnd w:id="83"/>
      <w:r>
        <w:rPr>
          <w:rFonts w:ascii="Adelle Sans;sans-serif" w:hAnsi="Adelle Sans;sans-serif"/>
          <w:b w:val="false"/>
          <w:i/>
          <w:color w:val="000000"/>
          <w:sz w:val="20"/>
        </w:rPr>
        <w:t>General and Administrative</w:t>
      </w:r>
    </w:p>
    <w:tbl>
      <w:tblPr>
        <w:tblW w:w="10205" w:type="dxa"/>
        <w:jc w:val="left"/>
        <w:tblInd w:w="0" w:type="dxa"/>
        <w:tblLayout w:type="fixed"/>
        <w:tblCellMar>
          <w:top w:w="28" w:type="dxa"/>
          <w:left w:w="28" w:type="dxa"/>
          <w:bottom w:w="28" w:type="dxa"/>
          <w:right w:w="28" w:type="dxa"/>
        </w:tblCellMar>
      </w:tblPr>
      <w:tblGrid>
        <w:gridCol w:w="717"/>
        <w:gridCol w:w="630"/>
        <w:gridCol w:w="633"/>
        <w:gridCol w:w="267"/>
        <w:gridCol w:w="259"/>
        <w:gridCol w:w="326"/>
        <w:gridCol w:w="131"/>
        <w:gridCol w:w="131"/>
        <w:gridCol w:w="131"/>
        <w:gridCol w:w="267"/>
        <w:gridCol w:w="259"/>
        <w:gridCol w:w="326"/>
        <w:gridCol w:w="131"/>
        <w:gridCol w:w="131"/>
        <w:gridCol w:w="131"/>
        <w:gridCol w:w="250"/>
        <w:gridCol w:w="250"/>
        <w:gridCol w:w="626"/>
        <w:gridCol w:w="109"/>
        <w:gridCol w:w="109"/>
        <w:gridCol w:w="109"/>
        <w:gridCol w:w="263"/>
        <w:gridCol w:w="263"/>
        <w:gridCol w:w="324"/>
        <w:gridCol w:w="125"/>
        <w:gridCol w:w="125"/>
        <w:gridCol w:w="125"/>
        <w:gridCol w:w="263"/>
        <w:gridCol w:w="263"/>
        <w:gridCol w:w="324"/>
        <w:gridCol w:w="125"/>
        <w:gridCol w:w="125"/>
        <w:gridCol w:w="125"/>
        <w:gridCol w:w="250"/>
        <w:gridCol w:w="250"/>
        <w:gridCol w:w="626"/>
        <w:gridCol w:w="109"/>
        <w:gridCol w:w="109"/>
        <w:gridCol w:w="109"/>
        <w:gridCol w:w="109"/>
        <w:gridCol w:w="109"/>
        <w:gridCol w:w="161"/>
      </w:tblGrid>
      <w:tr>
        <w:trPr/>
        <w:tc>
          <w:tcPr>
            <w:tcW w:w="717"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633"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9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6"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delle Sans;sans-serif" w:hAnsi="Adelle Sans;sans-serif"/>
                <w:b/>
                <w:color w:val="000000"/>
                <w:sz w:val="18"/>
              </w:rPr>
            </w:pPr>
            <w:r>
              <w:rPr>
                <w:rFonts w:ascii="Adelle Sans;sans-serif" w:hAnsi="Adelle Sans;sans-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6"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delle Sans;sans-serif" w:hAnsi="Adelle Sans;sans-serif"/>
                <w:b/>
                <w:color w:val="000000"/>
                <w:sz w:val="18"/>
              </w:rPr>
            </w:pPr>
            <w:r>
              <w:rPr>
                <w:rFonts w:ascii="Adelle Sans;sans-serif" w:hAnsi="Adelle Sans;sans-serif"/>
                <w:b/>
                <w:color w:val="000000"/>
                <w:sz w:val="18"/>
              </w:rPr>
              <w:t>Six months ended June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8" w:type="dxa"/>
            <w:gridSpan w:val="4"/>
            <w:tcBorders/>
          </w:tcPr>
          <w:p>
            <w:pPr>
              <w:pStyle w:val="TableContents"/>
              <w:bidi w:val="0"/>
              <w:spacing w:before="0" w:after="283"/>
              <w:jc w:val="left"/>
              <w:rPr>
                <w:sz w:val="4"/>
                <w:szCs w:val="4"/>
              </w:rPr>
            </w:pPr>
            <w:r>
              <w:rPr>
                <w:sz w:val="4"/>
                <w:szCs w:val="4"/>
              </w:rPr>
            </w:r>
          </w:p>
        </w:tc>
      </w:tr>
      <w:tr>
        <w:trPr/>
        <w:tc>
          <w:tcPr>
            <w:tcW w:w="19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Adelle Sans;sans-serif" w:hAnsi="Adelle Sans;sans-serif"/>
                <w:b/>
                <w:color w:val="000000"/>
                <w:sz w:val="18"/>
              </w:rPr>
            </w:pPr>
            <w:r>
              <w:rPr>
                <w:rFonts w:ascii="Adelle Sans;sans-serif" w:hAnsi="Adelle Sans;sans-serif"/>
                <w:b/>
                <w:color w:val="000000"/>
                <w:sz w:val="18"/>
              </w:rPr>
              <w:t>2026</w:t>
            </w:r>
          </w:p>
        </w:tc>
        <w:tc>
          <w:tcPr>
            <w:tcW w:w="393"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852"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Adelle Sans;sans-serif" w:hAnsi="Adelle Sans;sans-serif"/>
                <w:b/>
                <w:color w:val="000000"/>
                <w:sz w:val="18"/>
              </w:rPr>
            </w:pPr>
            <w:r>
              <w:rPr>
                <w:rFonts w:ascii="Adelle Sans;sans-serif" w:hAnsi="Adelle Sans;sans-serif"/>
                <w:b/>
                <w:color w:val="000000"/>
                <w:sz w:val="18"/>
              </w:rPr>
              <w:t>2025</w:t>
            </w:r>
          </w:p>
        </w:tc>
        <w:tc>
          <w:tcPr>
            <w:tcW w:w="393"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Adelle Sans;sans-serif" w:hAnsi="Adelle Sans;sans-serif"/>
                <w:b/>
                <w:color w:val="000000"/>
                <w:sz w:val="18"/>
              </w:rPr>
            </w:pPr>
            <w:r>
              <w:rPr>
                <w:rFonts w:ascii="Adelle Sans;sans-serif" w:hAnsi="Adelle Sans;sans-serif"/>
                <w:b/>
                <w:color w:val="000000"/>
                <w:sz w:val="18"/>
              </w:rPr>
              <w:t>% Change</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50"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Adelle Sans;sans-serif" w:hAnsi="Adelle Sans;sans-serif"/>
                <w:b/>
                <w:color w:val="000000"/>
                <w:sz w:val="18"/>
              </w:rPr>
            </w:pPr>
            <w:r>
              <w:rPr>
                <w:rFonts w:ascii="Adelle Sans;sans-serif" w:hAnsi="Adelle Sans;sans-serif"/>
                <w:b/>
                <w:color w:val="000000"/>
                <w:sz w:val="18"/>
              </w:rPr>
              <w:t>2026</w:t>
            </w:r>
          </w:p>
        </w:tc>
        <w:tc>
          <w:tcPr>
            <w:tcW w:w="375"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850"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Adelle Sans;sans-serif" w:hAnsi="Adelle Sans;sans-serif"/>
                <w:b/>
                <w:color w:val="000000"/>
                <w:sz w:val="18"/>
              </w:rPr>
            </w:pPr>
            <w:r>
              <w:rPr>
                <w:rFonts w:ascii="Adelle Sans;sans-serif" w:hAnsi="Adelle Sans;sans-serif"/>
                <w:b/>
                <w:color w:val="000000"/>
                <w:sz w:val="18"/>
              </w:rPr>
              <w:t>2025</w:t>
            </w:r>
          </w:p>
        </w:tc>
        <w:tc>
          <w:tcPr>
            <w:tcW w:w="375"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Adelle Sans;sans-serif" w:hAnsi="Adelle Sans;sans-serif"/>
                <w:b/>
                <w:color w:val="000000"/>
                <w:sz w:val="18"/>
              </w:rPr>
            </w:pPr>
            <w:r>
              <w:rPr>
                <w:rFonts w:ascii="Adelle Sans;sans-serif" w:hAnsi="Adelle Sans;sans-serif"/>
                <w:b/>
                <w:color w:val="000000"/>
                <w:sz w:val="18"/>
              </w:rPr>
              <w:t>% Change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98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9" w:type="dxa"/>
            <w:gridSpan w:val="3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delle Sans;sans-serif" w:hAnsi="Adelle Sans;sans-serif"/>
                <w:b w:val="false"/>
                <w:color w:val="000000"/>
                <w:sz w:val="18"/>
              </w:rPr>
            </w:pPr>
            <w:r>
              <w:rPr>
                <w:rFonts w:ascii="Adelle Sans;sans-serif" w:hAnsi="Adelle Sans;sans-serif"/>
                <w:b w:val="false"/>
                <w:color w:val="000000"/>
                <w:sz w:val="18"/>
              </w:rPr>
              <w:t>(in US $ millions, except percentages)</w:t>
            </w:r>
          </w:p>
        </w:tc>
        <w:tc>
          <w:tcPr>
            <w:tcW w:w="706" w:type="dxa"/>
            <w:gridSpan w:val="6"/>
            <w:tcBorders/>
          </w:tcPr>
          <w:p>
            <w:pPr>
              <w:pStyle w:val="TableContents"/>
              <w:bidi w:val="0"/>
              <w:spacing w:before="0" w:after="283"/>
              <w:jc w:val="left"/>
              <w:rPr>
                <w:sz w:val="4"/>
                <w:szCs w:val="4"/>
              </w:rPr>
            </w:pPr>
            <w:r>
              <w:rPr>
                <w:sz w:val="4"/>
                <w:szCs w:val="4"/>
              </w:rPr>
            </w:r>
          </w:p>
        </w:tc>
      </w:tr>
      <w:tr>
        <w:trPr/>
        <w:tc>
          <w:tcPr>
            <w:tcW w:w="1980" w:type="dxa"/>
            <w:gridSpan w:val="3"/>
            <w:tcBorders/>
            <w:shd w:fill="F7F7F7" w:val="clear"/>
            <w:tcMar>
              <w:top w:w="0" w:type="dxa"/>
              <w:left w:w="0" w:type="dxa"/>
              <w:bottom w:w="0" w:type="dxa"/>
              <w:right w:w="0" w:type="dxa"/>
            </w:tcMar>
            <w:vAlign w:val="center"/>
          </w:tcPr>
          <w:p>
            <w:pPr>
              <w:pStyle w:val="TableContents"/>
              <w:bidi w:val="0"/>
              <w:spacing w:lineRule="auto" w:line="240" w:before="0" w:after="0"/>
              <w:jc w:val="left"/>
              <w:rPr>
                <w:rFonts w:ascii="Adelle Sans;sans-serif" w:hAnsi="Adelle Sans;sans-serif"/>
                <w:b w:val="false"/>
                <w:color w:val="000000"/>
                <w:sz w:val="18"/>
              </w:rPr>
            </w:pPr>
            <w:r>
              <w:rPr>
                <w:rFonts w:ascii="Adelle Sans;sans-serif" w:hAnsi="Adelle Sans;sans-serif"/>
                <w:b w:val="false"/>
                <w:color w:val="000000"/>
                <w:sz w:val="18"/>
              </w:rPr>
              <w:t>General and administrative</w:t>
            </w:r>
          </w:p>
        </w:tc>
        <w:tc>
          <w:tcPr>
            <w:tcW w:w="526" w:type="dxa"/>
            <w:gridSpan w:val="2"/>
            <w:tcBorders/>
            <w:shd w:fill="F7F7F7"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136 </w:t>
            </w:r>
          </w:p>
        </w:tc>
        <w:tc>
          <w:tcPr>
            <w:tcW w:w="326" w:type="dxa"/>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7F7F7"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122 </w:t>
            </w:r>
          </w:p>
        </w:tc>
        <w:tc>
          <w:tcPr>
            <w:tcW w:w="326" w:type="dxa"/>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 w:type="dxa"/>
            <w:gridSpan w:val="2"/>
            <w:tcBorders/>
            <w:shd w:fill="F7F7F7"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11 </w:t>
            </w:r>
          </w:p>
        </w:tc>
        <w:tc>
          <w:tcPr>
            <w:tcW w:w="626" w:type="dxa"/>
            <w:tcBorders/>
            <w:shd w:fill="F7F7F7"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w:t>
            </w:r>
          </w:p>
        </w:tc>
        <w:tc>
          <w:tcPr>
            <w:tcW w:w="327"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7F7F7"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251 </w:t>
            </w:r>
          </w:p>
        </w:tc>
        <w:tc>
          <w:tcPr>
            <w:tcW w:w="324" w:type="dxa"/>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7F7F7"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231 </w:t>
            </w:r>
          </w:p>
        </w:tc>
        <w:tc>
          <w:tcPr>
            <w:tcW w:w="324" w:type="dxa"/>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 w:type="dxa"/>
            <w:gridSpan w:val="2"/>
            <w:tcBorders/>
            <w:shd w:fill="F7F7F7"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9 </w:t>
            </w:r>
          </w:p>
        </w:tc>
        <w:tc>
          <w:tcPr>
            <w:tcW w:w="626" w:type="dxa"/>
            <w:tcBorders/>
            <w:shd w:fill="F7F7F7"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9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delle Sans;sans-serif" w:hAnsi="Adelle Sans;sans-serif"/>
                <w:b w:val="false"/>
                <w:color w:val="000000"/>
                <w:sz w:val="18"/>
              </w:rPr>
            </w:pPr>
            <w:r>
              <w:rPr>
                <w:rFonts w:ascii="Adelle Sans;sans-serif" w:hAnsi="Adelle Sans;sans-serif"/>
                <w:b w:val="false"/>
                <w:color w:val="000000"/>
                <w:sz w:val="18"/>
              </w:rPr>
              <w:t>Percentage of total revenues</w:t>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4 </w:t>
            </w:r>
          </w:p>
        </w:tc>
        <w:tc>
          <w:tcPr>
            <w:tcW w:w="3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w:t>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5 </w:t>
            </w:r>
          </w:p>
        </w:tc>
        <w:tc>
          <w:tcPr>
            <w:tcW w:w="3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w:t>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4 </w:t>
            </w:r>
          </w:p>
        </w:tc>
        <w:tc>
          <w:tcPr>
            <w:tcW w:w="32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w:t>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5 </w:t>
            </w:r>
          </w:p>
        </w:tc>
        <w:tc>
          <w:tcPr>
            <w:tcW w:w="32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w:t>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jc w:val="both"/>
        <w:rPr>
          <w:rFonts w:ascii="Adelle Sans Light;sans-serif" w:hAnsi="Adelle Sans Light;sans-serif"/>
          <w:b w:val="false"/>
          <w:color w:val="000000"/>
          <w:sz w:val="20"/>
        </w:rPr>
      </w:pPr>
      <w:r>
        <w:rPr>
          <w:rFonts w:ascii="Adelle Sans Light;sans-serif" w:hAnsi="Adelle Sans Light;sans-serif"/>
          <w:b w:val="false"/>
          <w:color w:val="000000"/>
          <w:sz w:val="20"/>
        </w:rPr>
        <w:t xml:space="preserve">General and administrative expenses increased for the three months ended June 30, 2026 compared to the same period in 2025, due to increases of $17 million in indirect taxes and $6 million in employee-related costs, offset by a $10 million decrease due to prior year </w:t>
      </w:r>
      <w:bookmarkStart w:id="84" w:name="i45834b6c09064a3792f9aac934c9b30b"/>
      <w:bookmarkEnd w:id="84"/>
      <w:r>
        <w:rPr>
          <w:rFonts w:ascii="Adelle Sans Light;sans-serif" w:hAnsi="Adelle Sans Light;sans-serif"/>
          <w:b w:val="false"/>
          <w:color w:val="000000"/>
          <w:sz w:val="20"/>
        </w:rPr>
        <w:t>impairment related costs associated with right-of-use assets and leasehold improvements.</w:t>
      </w:r>
    </w:p>
    <w:p>
      <w:pPr>
        <w:pStyle w:val="TextBody"/>
        <w:bidi w:val="0"/>
        <w:spacing w:lineRule="auto" w:line="288" w:before="0" w:after="200"/>
        <w:jc w:val="both"/>
        <w:rPr>
          <w:rFonts w:ascii="Adelle Sans Light;sans-serif" w:hAnsi="Adelle Sans Light;sans-serif"/>
          <w:b w:val="false"/>
          <w:color w:val="000000"/>
          <w:sz w:val="20"/>
        </w:rPr>
      </w:pPr>
      <w:r>
        <w:rPr>
          <w:rFonts w:ascii="Adelle Sans Light;sans-serif" w:hAnsi="Adelle Sans Light;sans-serif"/>
          <w:b w:val="false"/>
          <w:color w:val="000000"/>
          <w:sz w:val="20"/>
        </w:rPr>
        <w:t xml:space="preserve">General and administrative expenses increased for the six months ended June 30, 2026 compared to the same period in 2025, due to increases of $23 million in indirect taxes and $10 million in employee-related costs, offset by a $10 million decrease due to prior year impairment </w:t>
      </w:r>
      <w:bookmarkStart w:id="85" w:name="i62e92e85c72f4424ac987039b9e0dbd2"/>
      <w:bookmarkEnd w:id="85"/>
      <w:r>
        <w:rPr>
          <w:rFonts w:ascii="Adelle Sans Light;sans-serif" w:hAnsi="Adelle Sans Light;sans-serif"/>
          <w:b w:val="false"/>
          <w:color w:val="000000"/>
          <w:sz w:val="20"/>
        </w:rPr>
        <w:t>related costs associated with right-of-use assets and leasehold improvements.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7955"/>
                <wp:effectExtent l="0" t="0" r="0" b="0"/>
                <wp:wrapNone/>
                <wp:docPr id="34" name="Frame33"/>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200"/>
                              <w:jc w:val="center"/>
                              <w:rPr>
                                <w:rFonts w:ascii="Adelle Sans Light;sans-serif" w:hAnsi="Adelle Sans Light;sans-serif"/>
                                <w:b w:val="false"/>
                                <w:color w:val="000000"/>
                                <w:sz w:val="20"/>
                              </w:rPr>
                            </w:pPr>
                            <w:r>
                              <w:rPr>
                                <w:rFonts w:ascii="Adelle Sans Light;sans-serif" w:hAnsi="Adelle Sans Light;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Adelle Sans Light;sans-serif" w:hAnsi="Adelle Sans Light;sans-serif"/>
                          <w:b w:val="false"/>
                          <w:color w:val="000000"/>
                          <w:sz w:val="20"/>
                        </w:rPr>
                      </w:pPr>
                      <w:r>
                        <w:rPr>
                          <w:rFonts w:ascii="Adelle Sans Light;sans-serif" w:hAnsi="Adelle Sans Light;sans-serif"/>
                          <w:b w:val="false"/>
                          <w:color w:val="000000"/>
                          <w:sz w:val="20"/>
                        </w:rPr>
                        <w:t>33</w:t>
                      </w:r>
                    </w:p>
                  </w:txbxContent>
                </v:textbox>
                <w10:wrap type="none"/>
              </v:rect>
            </w:pict>
          </mc:Fallback>
        </mc:AlternateContent>
      </w:r>
    </w:p>
    <w:p>
      <w:pPr>
        <w:pStyle w:val="TextBody"/>
        <w:bidi w:val="0"/>
        <w:spacing w:lineRule="auto" w:line="288" w:before="0" w:after="200"/>
        <w:jc w:val="both"/>
        <w:rPr/>
      </w:pPr>
      <w:hyperlink w:anchor="iccccf23fa31e44f0aa82c99ca0859db8_7">
        <w:r>
          <w:rPr>
            <w:rStyle w:val="InternetLink"/>
            <w:rFonts w:ascii="Adelle Sans Light;sans-serif" w:hAnsi="Adelle Sans Light;sans-serif"/>
            <w:b w:val="false"/>
            <w:color w:val="0000FF"/>
            <w:sz w:val="20"/>
            <w:u w:val="single"/>
          </w:rPr>
          <w:t>Table of Contents</w:t>
        </w:r>
      </w:hyperlink>
    </w:p>
    <w:p>
      <w:pPr>
        <w:pStyle w:val="TextBody"/>
        <w:bidi w:val="0"/>
        <w:spacing w:lineRule="auto" w:line="288" w:before="0" w:after="200"/>
        <w:jc w:val="both"/>
        <w:rPr>
          <w:rFonts w:ascii="Adelle Sans;sans-serif" w:hAnsi="Adelle Sans;sans-serif"/>
          <w:b w:val="false"/>
          <w:i/>
          <w:color w:val="000000"/>
          <w:sz w:val="20"/>
        </w:rPr>
      </w:pPr>
      <w:bookmarkStart w:id="86" w:name="i01956993014f4181afdd09ecd5c858cd"/>
      <w:bookmarkEnd w:id="86"/>
      <w:r>
        <w:rPr>
          <w:rFonts w:ascii="Adelle Sans;sans-serif" w:hAnsi="Adelle Sans;sans-serif"/>
          <w:b w:val="false"/>
          <w:i/>
          <w:color w:val="000000"/>
          <w:sz w:val="20"/>
        </w:rPr>
        <w:t>Transaction and Loan Losses</w:t>
      </w:r>
    </w:p>
    <w:tbl>
      <w:tblPr>
        <w:tblW w:w="10205" w:type="dxa"/>
        <w:jc w:val="left"/>
        <w:tblInd w:w="0" w:type="dxa"/>
        <w:tblLayout w:type="fixed"/>
        <w:tblCellMar>
          <w:top w:w="28" w:type="dxa"/>
          <w:left w:w="28" w:type="dxa"/>
          <w:bottom w:w="28" w:type="dxa"/>
          <w:right w:w="28" w:type="dxa"/>
        </w:tblCellMar>
      </w:tblPr>
      <w:tblGrid>
        <w:gridCol w:w="726"/>
        <w:gridCol w:w="638"/>
        <w:gridCol w:w="640"/>
        <w:gridCol w:w="267"/>
        <w:gridCol w:w="259"/>
        <w:gridCol w:w="339"/>
        <w:gridCol w:w="136"/>
        <w:gridCol w:w="136"/>
        <w:gridCol w:w="136"/>
        <w:gridCol w:w="206"/>
        <w:gridCol w:w="200"/>
        <w:gridCol w:w="339"/>
        <w:gridCol w:w="136"/>
        <w:gridCol w:w="136"/>
        <w:gridCol w:w="136"/>
        <w:gridCol w:w="250"/>
        <w:gridCol w:w="250"/>
        <w:gridCol w:w="626"/>
        <w:gridCol w:w="109"/>
        <w:gridCol w:w="109"/>
        <w:gridCol w:w="109"/>
        <w:gridCol w:w="263"/>
        <w:gridCol w:w="263"/>
        <w:gridCol w:w="331"/>
        <w:gridCol w:w="129"/>
        <w:gridCol w:w="129"/>
        <w:gridCol w:w="129"/>
        <w:gridCol w:w="263"/>
        <w:gridCol w:w="263"/>
        <w:gridCol w:w="331"/>
        <w:gridCol w:w="129"/>
        <w:gridCol w:w="129"/>
        <w:gridCol w:w="129"/>
        <w:gridCol w:w="250"/>
        <w:gridCol w:w="250"/>
        <w:gridCol w:w="626"/>
        <w:gridCol w:w="109"/>
        <w:gridCol w:w="109"/>
        <w:gridCol w:w="109"/>
        <w:gridCol w:w="109"/>
        <w:gridCol w:w="109"/>
        <w:gridCol w:w="163"/>
      </w:tblGrid>
      <w:tr>
        <w:trPr/>
        <w:tc>
          <w:tcPr>
            <w:tcW w:w="726"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0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delle Sans;sans-serif" w:hAnsi="Adelle Sans;sans-serif"/>
                <w:b/>
                <w:color w:val="000000"/>
                <w:sz w:val="18"/>
              </w:rPr>
            </w:pPr>
            <w:r>
              <w:rPr>
                <w:rFonts w:ascii="Adelle Sans;sans-serif" w:hAnsi="Adelle Sans;sans-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4"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delle Sans;sans-serif" w:hAnsi="Adelle Sans;sans-serif"/>
                <w:b/>
                <w:color w:val="000000"/>
                <w:sz w:val="18"/>
              </w:rPr>
            </w:pPr>
            <w:r>
              <w:rPr>
                <w:rFonts w:ascii="Adelle Sans;sans-serif" w:hAnsi="Adelle Sans;sans-serif"/>
                <w:b/>
                <w:color w:val="000000"/>
                <w:sz w:val="18"/>
              </w:rPr>
              <w:t>Six months ended June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0" w:type="dxa"/>
            <w:gridSpan w:val="4"/>
            <w:tcBorders/>
          </w:tcPr>
          <w:p>
            <w:pPr>
              <w:pStyle w:val="TableContents"/>
              <w:bidi w:val="0"/>
              <w:spacing w:before="0" w:after="283"/>
              <w:jc w:val="left"/>
              <w:rPr>
                <w:sz w:val="4"/>
                <w:szCs w:val="4"/>
              </w:rPr>
            </w:pPr>
            <w:r>
              <w:rPr>
                <w:sz w:val="4"/>
                <w:szCs w:val="4"/>
              </w:rPr>
            </w:r>
          </w:p>
        </w:tc>
      </w:tr>
      <w:tr>
        <w:trPr/>
        <w:tc>
          <w:tcPr>
            <w:tcW w:w="20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Adelle Sans;sans-serif" w:hAnsi="Adelle Sans;sans-serif"/>
                <w:b/>
                <w:color w:val="000000"/>
                <w:sz w:val="18"/>
              </w:rPr>
            </w:pPr>
            <w:r>
              <w:rPr>
                <w:rFonts w:ascii="Adelle Sans;sans-serif" w:hAnsi="Adelle Sans;sans-serif"/>
                <w:b/>
                <w:color w:val="000000"/>
                <w:sz w:val="18"/>
              </w:rPr>
              <w:t>2026</w:t>
            </w:r>
          </w:p>
        </w:tc>
        <w:tc>
          <w:tcPr>
            <w:tcW w:w="408"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745"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Adelle Sans;sans-serif" w:hAnsi="Adelle Sans;sans-serif"/>
                <w:b/>
                <w:color w:val="000000"/>
                <w:sz w:val="18"/>
              </w:rPr>
            </w:pPr>
            <w:r>
              <w:rPr>
                <w:rFonts w:ascii="Adelle Sans;sans-serif" w:hAnsi="Adelle Sans;sans-serif"/>
                <w:b/>
                <w:color w:val="000000"/>
                <w:sz w:val="18"/>
              </w:rPr>
              <w:t>2025</w:t>
            </w:r>
          </w:p>
        </w:tc>
        <w:tc>
          <w:tcPr>
            <w:tcW w:w="408"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Adelle Sans;sans-serif" w:hAnsi="Adelle Sans;sans-serif"/>
                <w:b/>
                <w:color w:val="000000"/>
                <w:sz w:val="18"/>
              </w:rPr>
            </w:pPr>
            <w:r>
              <w:rPr>
                <w:rFonts w:ascii="Adelle Sans;sans-serif" w:hAnsi="Adelle Sans;sans-serif"/>
                <w:b/>
                <w:color w:val="000000"/>
                <w:sz w:val="18"/>
              </w:rPr>
              <w:t>% Change</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Adelle Sans;sans-serif" w:hAnsi="Adelle Sans;sans-serif"/>
                <w:b/>
                <w:color w:val="000000"/>
                <w:sz w:val="18"/>
              </w:rPr>
            </w:pPr>
            <w:r>
              <w:rPr>
                <w:rFonts w:ascii="Adelle Sans;sans-serif" w:hAnsi="Adelle Sans;sans-serif"/>
                <w:b/>
                <w:color w:val="000000"/>
                <w:sz w:val="18"/>
              </w:rPr>
              <w:t>2026</w:t>
            </w:r>
          </w:p>
        </w:tc>
        <w:tc>
          <w:tcPr>
            <w:tcW w:w="38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Adelle Sans;sans-serif" w:hAnsi="Adelle Sans;sans-serif"/>
                <w:b/>
                <w:color w:val="000000"/>
                <w:sz w:val="18"/>
              </w:rPr>
            </w:pPr>
            <w:r>
              <w:rPr>
                <w:rFonts w:ascii="Adelle Sans;sans-serif" w:hAnsi="Adelle Sans;sans-serif"/>
                <w:b/>
                <w:color w:val="000000"/>
                <w:sz w:val="18"/>
              </w:rPr>
              <w:t>2025</w:t>
            </w:r>
          </w:p>
        </w:tc>
        <w:tc>
          <w:tcPr>
            <w:tcW w:w="38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Adelle Sans;sans-serif" w:hAnsi="Adelle Sans;sans-serif"/>
                <w:b/>
                <w:color w:val="000000"/>
                <w:sz w:val="18"/>
              </w:rPr>
            </w:pPr>
            <w:r>
              <w:rPr>
                <w:rFonts w:ascii="Adelle Sans;sans-serif" w:hAnsi="Adelle Sans;sans-serif"/>
                <w:b/>
                <w:color w:val="000000"/>
                <w:sz w:val="18"/>
              </w:rPr>
              <w:t>% Change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00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3" w:type="dxa"/>
            <w:gridSpan w:val="3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delle Sans;sans-serif" w:hAnsi="Adelle Sans;sans-serif"/>
                <w:b w:val="false"/>
                <w:color w:val="000000"/>
                <w:sz w:val="18"/>
              </w:rPr>
            </w:pPr>
            <w:r>
              <w:rPr>
                <w:rFonts w:ascii="Adelle Sans;sans-serif" w:hAnsi="Adelle Sans;sans-serif"/>
                <w:b w:val="false"/>
                <w:color w:val="000000"/>
                <w:sz w:val="18"/>
              </w:rPr>
              <w:t>(in US $ millions, except percentages)</w:t>
            </w:r>
          </w:p>
        </w:tc>
        <w:tc>
          <w:tcPr>
            <w:tcW w:w="708" w:type="dxa"/>
            <w:gridSpan w:val="6"/>
            <w:tcBorders/>
          </w:tcPr>
          <w:p>
            <w:pPr>
              <w:pStyle w:val="TableContents"/>
              <w:bidi w:val="0"/>
              <w:spacing w:before="0" w:after="283"/>
              <w:jc w:val="left"/>
              <w:rPr>
                <w:sz w:val="4"/>
                <w:szCs w:val="4"/>
              </w:rPr>
            </w:pPr>
            <w:r>
              <w:rPr>
                <w:sz w:val="4"/>
                <w:szCs w:val="4"/>
              </w:rPr>
            </w:r>
          </w:p>
        </w:tc>
      </w:tr>
      <w:tr>
        <w:trPr/>
        <w:tc>
          <w:tcPr>
            <w:tcW w:w="2004" w:type="dxa"/>
            <w:gridSpan w:val="3"/>
            <w:tcBorders/>
            <w:shd w:fill="F7F7F7" w:val="clear"/>
            <w:tcMar>
              <w:top w:w="0" w:type="dxa"/>
              <w:left w:w="0" w:type="dxa"/>
              <w:bottom w:w="0" w:type="dxa"/>
              <w:right w:w="0" w:type="dxa"/>
            </w:tcMar>
            <w:vAlign w:val="center"/>
          </w:tcPr>
          <w:p>
            <w:pPr>
              <w:pStyle w:val="TableContents"/>
              <w:bidi w:val="0"/>
              <w:spacing w:lineRule="auto" w:line="240" w:before="0" w:after="0"/>
              <w:jc w:val="left"/>
              <w:rPr>
                <w:rFonts w:ascii="Adelle Sans;sans-serif" w:hAnsi="Adelle Sans;sans-serif"/>
                <w:b w:val="false"/>
                <w:color w:val="000000"/>
                <w:sz w:val="18"/>
              </w:rPr>
            </w:pPr>
            <w:r>
              <w:rPr>
                <w:rFonts w:ascii="Adelle Sans;sans-serif" w:hAnsi="Adelle Sans;sans-serif"/>
                <w:b w:val="false"/>
                <w:color w:val="000000"/>
                <w:sz w:val="18"/>
              </w:rPr>
              <w:t>Transaction and loan losses</w:t>
            </w:r>
          </w:p>
        </w:tc>
        <w:tc>
          <w:tcPr>
            <w:tcW w:w="526" w:type="dxa"/>
            <w:gridSpan w:val="2"/>
            <w:tcBorders/>
            <w:shd w:fill="F7F7F7"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141 </w:t>
            </w:r>
          </w:p>
        </w:tc>
        <w:tc>
          <w:tcPr>
            <w:tcW w:w="339" w:type="dxa"/>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7F7F7"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80 </w:t>
            </w:r>
          </w:p>
        </w:tc>
        <w:tc>
          <w:tcPr>
            <w:tcW w:w="339" w:type="dxa"/>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 w:type="dxa"/>
            <w:gridSpan w:val="2"/>
            <w:tcBorders/>
            <w:shd w:fill="F7F7F7"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76 </w:t>
            </w:r>
          </w:p>
        </w:tc>
        <w:tc>
          <w:tcPr>
            <w:tcW w:w="626" w:type="dxa"/>
            <w:tcBorders/>
            <w:shd w:fill="F7F7F7"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w:t>
            </w:r>
          </w:p>
        </w:tc>
        <w:tc>
          <w:tcPr>
            <w:tcW w:w="327"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7F7F7"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257 </w:t>
            </w:r>
          </w:p>
        </w:tc>
        <w:tc>
          <w:tcPr>
            <w:tcW w:w="331" w:type="dxa"/>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7F7F7"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155 </w:t>
            </w:r>
          </w:p>
        </w:tc>
        <w:tc>
          <w:tcPr>
            <w:tcW w:w="331" w:type="dxa"/>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 w:type="dxa"/>
            <w:gridSpan w:val="2"/>
            <w:tcBorders/>
            <w:shd w:fill="F7F7F7"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66 </w:t>
            </w:r>
          </w:p>
        </w:tc>
        <w:tc>
          <w:tcPr>
            <w:tcW w:w="626" w:type="dxa"/>
            <w:tcBorders/>
            <w:shd w:fill="F7F7F7"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00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delle Sans;sans-serif" w:hAnsi="Adelle Sans;sans-serif"/>
                <w:b w:val="false"/>
                <w:color w:val="000000"/>
                <w:sz w:val="18"/>
              </w:rPr>
            </w:pPr>
            <w:r>
              <w:rPr>
                <w:rFonts w:ascii="Adelle Sans;sans-serif" w:hAnsi="Adelle Sans;sans-serif"/>
                <w:b w:val="false"/>
                <w:color w:val="000000"/>
                <w:sz w:val="18"/>
              </w:rPr>
              <w:t>Percentage of total revenues</w:t>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4 </w:t>
            </w:r>
          </w:p>
        </w:tc>
        <w:tc>
          <w:tcPr>
            <w:tcW w:w="33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w:t>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3 </w:t>
            </w:r>
          </w:p>
        </w:tc>
        <w:tc>
          <w:tcPr>
            <w:tcW w:w="33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w:t>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4 </w:t>
            </w:r>
          </w:p>
        </w:tc>
        <w:tc>
          <w:tcPr>
            <w:tcW w:w="3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w:t>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3 </w:t>
            </w:r>
          </w:p>
        </w:tc>
        <w:tc>
          <w:tcPr>
            <w:tcW w:w="3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w:t>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jc w:val="both"/>
        <w:rPr>
          <w:rFonts w:ascii="Adelle Sans Light;sans-serif" w:hAnsi="Adelle Sans Light;sans-serif"/>
          <w:b w:val="false"/>
          <w:color w:val="000000"/>
          <w:sz w:val="20"/>
        </w:rPr>
      </w:pPr>
      <w:r>
        <w:rPr>
          <w:rFonts w:ascii="Adelle Sans Light;sans-serif" w:hAnsi="Adelle Sans Light;sans-serif"/>
          <w:b w:val="false"/>
          <w:color w:val="000000"/>
          <w:sz w:val="20"/>
        </w:rPr>
        <w:t>Transaction and loan losses increased for the three months ended June 30, 2026 compared to the same period in 2025, due to increases of $41 million in losses related to lending services driven by an expansion of our offerings and programs relative to the same period in 2025 and $19 million in losses related to Shopify Payments driven by higher GMV processed through Shopify Payments relative to the same period in 2025.</w:t>
      </w:r>
    </w:p>
    <w:p>
      <w:pPr>
        <w:pStyle w:val="TextBody"/>
        <w:bidi w:val="0"/>
        <w:spacing w:lineRule="auto" w:line="288" w:before="0" w:after="200"/>
        <w:jc w:val="both"/>
        <w:rPr>
          <w:rFonts w:ascii="Adelle Sans Light;sans-serif" w:hAnsi="Adelle Sans Light;sans-serif"/>
          <w:b w:val="false"/>
          <w:color w:val="000000"/>
          <w:sz w:val="20"/>
        </w:rPr>
      </w:pPr>
      <w:r>
        <w:rPr>
          <w:rFonts w:ascii="Adelle Sans Light;sans-serif" w:hAnsi="Adelle Sans Light;sans-serif"/>
          <w:b w:val="false"/>
          <w:color w:val="000000"/>
          <w:sz w:val="20"/>
        </w:rPr>
        <w:t>Transaction and loan losses increased for the six months ended June 30, 2026 compared to the same period in 2025, due to increases of $69 million in losses related to lending services driven by an expansion of our offerings and programs relative to the same period in 2025 and $29 million in losses related to Shopify Payments driven by higher GMV processed through Shopify Payments relative to the same period in 2025.</w:t>
      </w:r>
    </w:p>
    <w:p>
      <w:pPr>
        <w:pStyle w:val="TextBody"/>
        <w:bidi w:val="0"/>
        <w:spacing w:lineRule="auto" w:line="288" w:before="0" w:after="200"/>
        <w:jc w:val="left"/>
        <w:rPr>
          <w:rFonts w:ascii="Adelle Sans;sans-serif" w:hAnsi="Adelle Sans;sans-serif"/>
          <w:b/>
          <w:i/>
          <w:color w:val="000000"/>
          <w:sz w:val="20"/>
        </w:rPr>
      </w:pPr>
      <w:bookmarkStart w:id="87" w:name="id06ad544f2d7484293403a40f42074b0"/>
      <w:bookmarkEnd w:id="87"/>
      <w:r>
        <w:rPr>
          <w:rFonts w:ascii="Adelle Sans;sans-serif" w:hAnsi="Adelle Sans;sans-serif"/>
          <w:b/>
          <w:i/>
          <w:color w:val="000000"/>
          <w:sz w:val="20"/>
        </w:rPr>
        <w:t>Net Gain (Loss) on Equity and Equity Method Investments</w:t>
      </w:r>
    </w:p>
    <w:tbl>
      <w:tblPr>
        <w:tblW w:w="10205" w:type="dxa"/>
        <w:jc w:val="left"/>
        <w:tblInd w:w="0" w:type="dxa"/>
        <w:tblLayout w:type="fixed"/>
        <w:tblCellMar>
          <w:top w:w="28" w:type="dxa"/>
          <w:left w:w="28" w:type="dxa"/>
          <w:bottom w:w="28" w:type="dxa"/>
          <w:right w:w="28" w:type="dxa"/>
        </w:tblCellMar>
      </w:tblPr>
      <w:tblGrid>
        <w:gridCol w:w="823"/>
        <w:gridCol w:w="724"/>
        <w:gridCol w:w="725"/>
        <w:gridCol w:w="353"/>
        <w:gridCol w:w="353"/>
        <w:gridCol w:w="179"/>
        <w:gridCol w:w="134"/>
        <w:gridCol w:w="134"/>
        <w:gridCol w:w="134"/>
        <w:gridCol w:w="263"/>
        <w:gridCol w:w="263"/>
        <w:gridCol w:w="179"/>
        <w:gridCol w:w="134"/>
        <w:gridCol w:w="134"/>
        <w:gridCol w:w="134"/>
        <w:gridCol w:w="375"/>
        <w:gridCol w:w="375"/>
        <w:gridCol w:w="376"/>
        <w:gridCol w:w="109"/>
        <w:gridCol w:w="109"/>
        <w:gridCol w:w="109"/>
        <w:gridCol w:w="263"/>
        <w:gridCol w:w="263"/>
        <w:gridCol w:w="196"/>
        <w:gridCol w:w="129"/>
        <w:gridCol w:w="129"/>
        <w:gridCol w:w="129"/>
        <w:gridCol w:w="279"/>
        <w:gridCol w:w="280"/>
        <w:gridCol w:w="196"/>
        <w:gridCol w:w="129"/>
        <w:gridCol w:w="129"/>
        <w:gridCol w:w="129"/>
        <w:gridCol w:w="375"/>
        <w:gridCol w:w="375"/>
        <w:gridCol w:w="376"/>
        <w:gridCol w:w="109"/>
        <w:gridCol w:w="109"/>
        <w:gridCol w:w="109"/>
        <w:gridCol w:w="109"/>
        <w:gridCol w:w="109"/>
        <w:gridCol w:w="164"/>
      </w:tblGrid>
      <w:tr>
        <w:trPr/>
        <w:tc>
          <w:tcPr>
            <w:tcW w:w="823"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22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0"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delle Sans;sans-serif" w:hAnsi="Adelle Sans;sans-serif"/>
                <w:b/>
                <w:color w:val="000000"/>
                <w:sz w:val="18"/>
              </w:rPr>
            </w:pPr>
            <w:r>
              <w:rPr>
                <w:rFonts w:ascii="Adelle Sans;sans-serif" w:hAnsi="Adelle Sans;sans-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delle Sans;sans-serif" w:hAnsi="Adelle Sans;sans-serif"/>
                <w:b/>
                <w:color w:val="000000"/>
                <w:sz w:val="18"/>
              </w:rPr>
            </w:pPr>
            <w:r>
              <w:rPr>
                <w:rFonts w:ascii="Adelle Sans;sans-serif" w:hAnsi="Adelle Sans;sans-serif"/>
                <w:b/>
                <w:color w:val="000000"/>
                <w:sz w:val="18"/>
              </w:rPr>
              <w:t>Six months ended June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1" w:type="dxa"/>
            <w:gridSpan w:val="4"/>
            <w:tcBorders/>
          </w:tcPr>
          <w:p>
            <w:pPr>
              <w:pStyle w:val="TableContents"/>
              <w:bidi w:val="0"/>
              <w:spacing w:before="0" w:after="283"/>
              <w:jc w:val="left"/>
              <w:rPr>
                <w:sz w:val="4"/>
                <w:szCs w:val="4"/>
              </w:rPr>
            </w:pPr>
            <w:r>
              <w:rPr>
                <w:sz w:val="4"/>
                <w:szCs w:val="4"/>
              </w:rPr>
            </w:r>
          </w:p>
        </w:tc>
      </w:tr>
      <w:tr>
        <w:trPr/>
        <w:tc>
          <w:tcPr>
            <w:tcW w:w="22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Adelle Sans;sans-serif" w:hAnsi="Adelle Sans;sans-serif"/>
                <w:b/>
                <w:color w:val="000000"/>
                <w:sz w:val="18"/>
              </w:rPr>
            </w:pPr>
            <w:r>
              <w:rPr>
                <w:rFonts w:ascii="Adelle Sans;sans-serif" w:hAnsi="Adelle Sans;sans-serif"/>
                <w:b/>
                <w:color w:val="000000"/>
                <w:sz w:val="18"/>
              </w:rPr>
              <w:t>2026</w:t>
            </w:r>
          </w:p>
        </w:tc>
        <w:tc>
          <w:tcPr>
            <w:tcW w:w="402"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Adelle Sans;sans-serif" w:hAnsi="Adelle Sans;sans-serif"/>
                <w:b/>
                <w:color w:val="000000"/>
                <w:sz w:val="18"/>
              </w:rPr>
            </w:pPr>
            <w:r>
              <w:rPr>
                <w:rFonts w:ascii="Adelle Sans;sans-serif" w:hAnsi="Adelle Sans;sans-serif"/>
                <w:b/>
                <w:color w:val="000000"/>
                <w:sz w:val="18"/>
              </w:rPr>
              <w:t>2025</w:t>
            </w:r>
          </w:p>
        </w:tc>
        <w:tc>
          <w:tcPr>
            <w:tcW w:w="402"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Adelle Sans;sans-serif" w:hAnsi="Adelle Sans;sans-serif"/>
                <w:b/>
                <w:color w:val="000000"/>
                <w:sz w:val="18"/>
              </w:rPr>
            </w:pPr>
            <w:r>
              <w:rPr>
                <w:rFonts w:ascii="Adelle Sans;sans-serif" w:hAnsi="Adelle Sans;sans-serif"/>
                <w:b/>
                <w:color w:val="000000"/>
                <w:sz w:val="18"/>
              </w:rPr>
              <w:t>% Change</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Adelle Sans;sans-serif" w:hAnsi="Adelle Sans;sans-serif"/>
                <w:b/>
                <w:color w:val="000000"/>
                <w:sz w:val="18"/>
              </w:rPr>
            </w:pPr>
            <w:r>
              <w:rPr>
                <w:rFonts w:ascii="Adelle Sans;sans-serif" w:hAnsi="Adelle Sans;sans-serif"/>
                <w:b/>
                <w:color w:val="000000"/>
                <w:sz w:val="18"/>
              </w:rPr>
              <w:t>2026</w:t>
            </w:r>
          </w:p>
        </w:tc>
        <w:tc>
          <w:tcPr>
            <w:tcW w:w="38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Adelle Sans;sans-serif" w:hAnsi="Adelle Sans;sans-serif"/>
                <w:b/>
                <w:color w:val="000000"/>
                <w:sz w:val="18"/>
              </w:rPr>
            </w:pPr>
            <w:r>
              <w:rPr>
                <w:rFonts w:ascii="Adelle Sans;sans-serif" w:hAnsi="Adelle Sans;sans-serif"/>
                <w:b/>
                <w:color w:val="000000"/>
                <w:sz w:val="18"/>
              </w:rPr>
              <w:t>2025</w:t>
            </w:r>
          </w:p>
        </w:tc>
        <w:tc>
          <w:tcPr>
            <w:tcW w:w="38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Adelle Sans;sans-serif" w:hAnsi="Adelle Sans;sans-serif"/>
                <w:b/>
                <w:color w:val="000000"/>
                <w:sz w:val="18"/>
              </w:rPr>
            </w:pPr>
            <w:r>
              <w:rPr>
                <w:rFonts w:ascii="Adelle Sans;sans-serif" w:hAnsi="Adelle Sans;sans-serif"/>
                <w:b/>
                <w:color w:val="000000"/>
                <w:sz w:val="18"/>
              </w:rPr>
              <w:t>% Change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227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4" w:type="dxa"/>
            <w:gridSpan w:val="3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delle Sans;sans-serif" w:hAnsi="Adelle Sans;sans-serif"/>
                <w:b w:val="false"/>
                <w:color w:val="000000"/>
                <w:sz w:val="18"/>
              </w:rPr>
            </w:pPr>
            <w:r>
              <w:rPr>
                <w:rFonts w:ascii="Adelle Sans;sans-serif" w:hAnsi="Adelle Sans;sans-serif"/>
                <w:b w:val="false"/>
                <w:color w:val="000000"/>
                <w:sz w:val="18"/>
              </w:rPr>
              <w:t>(in US $ millions, except percentages)</w:t>
            </w:r>
          </w:p>
        </w:tc>
        <w:tc>
          <w:tcPr>
            <w:tcW w:w="709" w:type="dxa"/>
            <w:gridSpan w:val="6"/>
            <w:tcBorders/>
          </w:tcPr>
          <w:p>
            <w:pPr>
              <w:pStyle w:val="TableContents"/>
              <w:bidi w:val="0"/>
              <w:spacing w:before="0" w:after="283"/>
              <w:jc w:val="left"/>
              <w:rPr>
                <w:sz w:val="4"/>
                <w:szCs w:val="4"/>
              </w:rPr>
            </w:pPr>
            <w:r>
              <w:rPr>
                <w:sz w:val="4"/>
                <w:szCs w:val="4"/>
              </w:rPr>
            </w:r>
          </w:p>
        </w:tc>
      </w:tr>
      <w:tr>
        <w:trPr/>
        <w:tc>
          <w:tcPr>
            <w:tcW w:w="2272" w:type="dxa"/>
            <w:gridSpan w:val="3"/>
            <w:tcBorders/>
            <w:shd w:fill="F7F7F7" w:val="clear"/>
            <w:tcMar>
              <w:top w:w="0" w:type="dxa"/>
              <w:left w:w="0" w:type="dxa"/>
              <w:bottom w:w="0" w:type="dxa"/>
              <w:right w:w="0" w:type="dxa"/>
            </w:tcMar>
            <w:vAlign w:val="center"/>
          </w:tcPr>
          <w:p>
            <w:pPr>
              <w:pStyle w:val="TableContents"/>
              <w:bidi w:val="0"/>
              <w:spacing w:lineRule="auto" w:line="240" w:before="0" w:after="0"/>
              <w:jc w:val="left"/>
              <w:rPr>
                <w:rFonts w:ascii="Adelle Sans;sans-serif" w:hAnsi="Adelle Sans;sans-serif"/>
                <w:b w:val="false"/>
                <w:color w:val="000000"/>
                <w:sz w:val="18"/>
              </w:rPr>
            </w:pPr>
            <w:r>
              <w:rPr>
                <w:rFonts w:ascii="Adelle Sans;sans-serif" w:hAnsi="Adelle Sans;sans-serif"/>
                <w:b w:val="false"/>
                <w:color w:val="000000"/>
                <w:sz w:val="18"/>
              </w:rPr>
              <w:t>Net gain (loss) on equity and equity method investments</w:t>
            </w:r>
          </w:p>
        </w:tc>
        <w:tc>
          <w:tcPr>
            <w:tcW w:w="706" w:type="dxa"/>
            <w:gridSpan w:val="2"/>
            <w:tcBorders/>
            <w:shd w:fill="F7F7F7"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1,228 </w:t>
            </w:r>
          </w:p>
        </w:tc>
        <w:tc>
          <w:tcPr>
            <w:tcW w:w="179" w:type="dxa"/>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7F7F7"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658 </w:t>
            </w:r>
          </w:p>
        </w:tc>
        <w:tc>
          <w:tcPr>
            <w:tcW w:w="179" w:type="dxa"/>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F7F7F7"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87%</w:t>
            </w:r>
          </w:p>
        </w:tc>
        <w:tc>
          <w:tcPr>
            <w:tcW w:w="327"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7F7F7"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146 </w:t>
            </w:r>
          </w:p>
        </w:tc>
        <w:tc>
          <w:tcPr>
            <w:tcW w:w="196" w:type="dxa"/>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 w:type="dxa"/>
            <w:gridSpan w:val="2"/>
            <w:tcBorders/>
            <w:shd w:fill="F7F7F7"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(386)</w:t>
            </w:r>
          </w:p>
        </w:tc>
        <w:tc>
          <w:tcPr>
            <w:tcW w:w="196" w:type="dxa"/>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F7F7F7"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(138)%</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jc w:val="left"/>
        <w:rPr>
          <w:rFonts w:ascii="Adelle Sans Light;sans-serif" w:hAnsi="Adelle Sans Light;sans-serif"/>
          <w:b w:val="false"/>
          <w:color w:val="000000"/>
          <w:sz w:val="16"/>
        </w:rPr>
      </w:pPr>
      <w:bookmarkStart w:id="88" w:name="ifac3db9807c945e0bc1cd19370f1e64e"/>
      <w:bookmarkEnd w:id="88"/>
      <w:r>
        <w:rPr>
          <w:rFonts w:ascii="Adelle Sans Light;sans-serif" w:hAnsi="Adelle Sans Light;sans-serif"/>
          <w:b w:val="false"/>
          <w:color w:val="000000"/>
          <w:sz w:val="16"/>
        </w:rPr>
        <w:t xml:space="preserve">*Not a meaningful comparison </w:t>
      </w:r>
    </w:p>
    <w:p>
      <w:pPr>
        <w:pStyle w:val="TextBody"/>
        <w:bidi w:val="0"/>
        <w:spacing w:lineRule="auto" w:line="288" w:before="0" w:after="200"/>
        <w:jc w:val="both"/>
        <w:rPr>
          <w:rFonts w:ascii="Adelle Sans Light;sans-serif" w:hAnsi="Adelle Sans Light;sans-serif"/>
          <w:b w:val="false"/>
          <w:color w:val="000000"/>
          <w:sz w:val="20"/>
        </w:rPr>
      </w:pPr>
      <w:r>
        <w:rPr>
          <w:rFonts w:ascii="Adelle Sans Light;sans-serif" w:hAnsi="Adelle Sans Light;sans-serif"/>
          <w:b w:val="false"/>
          <w:color w:val="000000"/>
          <w:sz w:val="20"/>
        </w:rPr>
        <w:t>In the three months ended June 30, 2026, we had a net gain on equity and other investments of $1.2 billion, which included a $731 million unrealized gain in investments with readily determinable fair values which was the result of the change in share prices from March 31, 2026 to June 30, 2026, $522 million in gross unrealized gains driven by an observable price change of a private investment and $11 million unrealized loss in an investment option. Additionally, the Company had a net loss of $22 million on our equity method investment.</w:t>
      </w:r>
    </w:p>
    <w:p>
      <w:pPr>
        <w:pStyle w:val="TextBody"/>
        <w:bidi w:val="0"/>
        <w:spacing w:lineRule="auto" w:line="288" w:before="0" w:after="200"/>
        <w:jc w:val="both"/>
        <w:rPr>
          <w:rFonts w:ascii="Adelle Sans Light;sans-serif" w:hAnsi="Adelle Sans Light;sans-serif"/>
          <w:b w:val="false"/>
          <w:color w:val="000000"/>
          <w:sz w:val="20"/>
        </w:rPr>
      </w:pPr>
      <w:r>
        <w:rPr>
          <w:rFonts w:ascii="Adelle Sans Light;sans-serif" w:hAnsi="Adelle Sans Light;sans-serif"/>
          <w:b w:val="false"/>
          <w:color w:val="000000"/>
          <w:sz w:val="20"/>
        </w:rPr>
        <w:t>In the three months ended June 30, 2025, we had a net gain on equity and other investments of $681 million, which included a $502 million unrealized gain in investments with readily determinable fair values which was the result of the change in share prices from March 31, 2025 to June 30, 2025, $165 million unrealized gain on investments without readily determinable fair values which was the result of an observable price change and a $14 million unrealized gain in an investment option. Additionally, we had a net loss of $24 million on our equity method investment.</w:t>
      </w:r>
    </w:p>
    <w:p>
      <w:pPr>
        <w:pStyle w:val="TextBody"/>
        <w:bidi w:val="0"/>
        <w:spacing w:lineRule="auto" w:line="288" w:before="0" w:after="200"/>
        <w:jc w:val="both"/>
        <w:rPr>
          <w:rFonts w:ascii="Adelle Sans Light;sans-serif" w:hAnsi="Adelle Sans Light;sans-serif"/>
          <w:b w:val="false"/>
          <w:color w:val="000000"/>
          <w:sz w:val="20"/>
        </w:rPr>
      </w:pPr>
      <w:r>
        <w:rPr>
          <w:rFonts w:ascii="Adelle Sans Light;sans-serif" w:hAnsi="Adelle Sans Light;sans-serif"/>
          <w:b w:val="false"/>
          <w:color w:val="000000"/>
          <w:sz w:val="20"/>
        </w:rPr>
        <w:t>In the six months ended June 30, 2026, we had a net gain on equity and other investments of $185 million which included $524 million in gross unrealized gains driven by an observable price change of a private investment, offset by a $278 million unrealized loss in investments with readily determinable fair values which was the result of the net change in share prices from December 31, 2025 to June 30, 2026, and a $65 million unrealized loss in an investment option. Additionally, we had a net loss of $43 million on our equity method investment.</w:t>
      </w:r>
    </w:p>
    <w:p>
      <w:pPr>
        <w:pStyle w:val="TextBody"/>
        <w:bidi w:val="0"/>
        <w:spacing w:lineRule="auto" w:line="288" w:before="0" w:after="200"/>
        <w:jc w:val="both"/>
        <w:rPr>
          <w:rFonts w:ascii="Adelle Sans Light;sans-serif" w:hAnsi="Adelle Sans Light;sans-serif"/>
          <w:b w:val="false"/>
          <w:color w:val="000000"/>
          <w:sz w:val="20"/>
        </w:rPr>
      </w:pPr>
      <w:r>
        <w:rPr>
          <w:rFonts w:ascii="Adelle Sans Light;sans-serif" w:hAnsi="Adelle Sans Light;sans-serif"/>
          <w:b w:val="false"/>
          <w:color w:val="000000"/>
          <w:sz w:val="20"/>
        </w:rPr>
        <w:t>In the six months ended June 30, 2025, we had a net loss on equity and other investments of $340 million, which included a $428 million unrealized loss in investments with readily determinable fair values which was the result of the change in share prices from December 31, 2024 to June 30, 2025 and a $72 million unrealized loss in an investment option, offset by $165 million unrealized gain on investments without readily determinable fair values which was the result of an observable price change. Additionally, we had a net loss of $47 million on our equity method investment.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7955"/>
                <wp:effectExtent l="0" t="0" r="0" b="0"/>
                <wp:wrapNone/>
                <wp:docPr id="35" name="Frame34"/>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200"/>
                              <w:jc w:val="center"/>
                              <w:rPr>
                                <w:rFonts w:ascii="Adelle Sans Light;sans-serif" w:hAnsi="Adelle Sans Light;sans-serif"/>
                                <w:b w:val="false"/>
                                <w:color w:val="000000"/>
                                <w:sz w:val="20"/>
                              </w:rPr>
                            </w:pPr>
                            <w:r>
                              <w:rPr>
                                <w:rFonts w:ascii="Adelle Sans Light;sans-serif" w:hAnsi="Adelle Sans Light;sans-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Adelle Sans Light;sans-serif" w:hAnsi="Adelle Sans Light;sans-serif"/>
                          <w:b w:val="false"/>
                          <w:color w:val="000000"/>
                          <w:sz w:val="20"/>
                        </w:rPr>
                      </w:pPr>
                      <w:r>
                        <w:rPr>
                          <w:rFonts w:ascii="Adelle Sans Light;sans-serif" w:hAnsi="Adelle Sans Light;sans-serif"/>
                          <w:b w:val="false"/>
                          <w:color w:val="000000"/>
                          <w:sz w:val="20"/>
                        </w:rPr>
                        <w:t>34</w:t>
                      </w:r>
                    </w:p>
                  </w:txbxContent>
                </v:textbox>
                <w10:wrap type="none"/>
              </v:rect>
            </w:pict>
          </mc:Fallback>
        </mc:AlternateContent>
      </w:r>
    </w:p>
    <w:p>
      <w:pPr>
        <w:pStyle w:val="TextBody"/>
        <w:bidi w:val="0"/>
        <w:spacing w:lineRule="auto" w:line="288" w:before="0" w:after="200"/>
        <w:jc w:val="both"/>
        <w:rPr/>
      </w:pPr>
      <w:hyperlink w:anchor="iccccf23fa31e44f0aa82c99ca0859db8_7">
        <w:r>
          <w:rPr>
            <w:rStyle w:val="InternetLink"/>
            <w:rFonts w:ascii="Adelle Sans Light;sans-serif" w:hAnsi="Adelle Sans Light;sans-serif"/>
            <w:b w:val="false"/>
            <w:color w:val="0000FF"/>
            <w:sz w:val="20"/>
            <w:u w:val="single"/>
          </w:rPr>
          <w:t>Table of Contents</w:t>
        </w:r>
      </w:hyperlink>
    </w:p>
    <w:p>
      <w:pPr>
        <w:pStyle w:val="TextBody"/>
        <w:bidi w:val="0"/>
        <w:spacing w:lineRule="auto" w:line="288" w:before="0" w:after="200"/>
        <w:jc w:val="left"/>
        <w:rPr>
          <w:rFonts w:ascii="Adelle Sans;sans-serif" w:hAnsi="Adelle Sans;sans-serif"/>
          <w:b/>
          <w:i/>
          <w:color w:val="000000"/>
          <w:sz w:val="20"/>
        </w:rPr>
      </w:pPr>
      <w:bookmarkStart w:id="89" w:name="i30b9a8178e414e09bfcd13e73bc331de"/>
      <w:bookmarkEnd w:id="89"/>
      <w:r>
        <w:rPr>
          <w:rFonts w:ascii="Adelle Sans;sans-serif" w:hAnsi="Adelle Sans;sans-serif"/>
          <w:b/>
          <w:i/>
          <w:color w:val="000000"/>
          <w:sz w:val="20"/>
        </w:rPr>
        <w:t>Other Income, Net</w:t>
      </w:r>
    </w:p>
    <w:tbl>
      <w:tblPr>
        <w:tblW w:w="10205" w:type="dxa"/>
        <w:jc w:val="left"/>
        <w:tblInd w:w="0" w:type="dxa"/>
        <w:tblLayout w:type="fixed"/>
        <w:tblCellMar>
          <w:top w:w="28" w:type="dxa"/>
          <w:left w:w="28" w:type="dxa"/>
          <w:bottom w:w="28" w:type="dxa"/>
          <w:right w:w="28" w:type="dxa"/>
        </w:tblCellMar>
      </w:tblPr>
      <w:tblGrid>
        <w:gridCol w:w="634"/>
        <w:gridCol w:w="559"/>
        <w:gridCol w:w="561"/>
        <w:gridCol w:w="208"/>
        <w:gridCol w:w="208"/>
        <w:gridCol w:w="207"/>
        <w:gridCol w:w="206"/>
        <w:gridCol w:w="206"/>
        <w:gridCol w:w="206"/>
        <w:gridCol w:w="263"/>
        <w:gridCol w:w="263"/>
        <w:gridCol w:w="207"/>
        <w:gridCol w:w="206"/>
        <w:gridCol w:w="206"/>
        <w:gridCol w:w="206"/>
        <w:gridCol w:w="375"/>
        <w:gridCol w:w="375"/>
        <w:gridCol w:w="376"/>
        <w:gridCol w:w="109"/>
        <w:gridCol w:w="109"/>
        <w:gridCol w:w="109"/>
        <w:gridCol w:w="263"/>
        <w:gridCol w:w="263"/>
        <w:gridCol w:w="196"/>
        <w:gridCol w:w="188"/>
        <w:gridCol w:w="188"/>
        <w:gridCol w:w="188"/>
        <w:gridCol w:w="263"/>
        <w:gridCol w:w="263"/>
        <w:gridCol w:w="196"/>
        <w:gridCol w:w="188"/>
        <w:gridCol w:w="188"/>
        <w:gridCol w:w="188"/>
        <w:gridCol w:w="375"/>
        <w:gridCol w:w="375"/>
        <w:gridCol w:w="376"/>
        <w:gridCol w:w="109"/>
        <w:gridCol w:w="109"/>
        <w:gridCol w:w="109"/>
        <w:gridCol w:w="109"/>
        <w:gridCol w:w="109"/>
        <w:gridCol w:w="163"/>
      </w:tblGrid>
      <w:tr>
        <w:trPr/>
        <w:tc>
          <w:tcPr>
            <w:tcW w:w="634"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7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8"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delle Sans;sans-serif" w:hAnsi="Adelle Sans;sans-serif"/>
                <w:b/>
                <w:color w:val="000000"/>
                <w:sz w:val="18"/>
              </w:rPr>
            </w:pPr>
            <w:r>
              <w:rPr>
                <w:rFonts w:ascii="Adelle Sans;sans-serif" w:hAnsi="Adelle Sans;sans-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8"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delle Sans;sans-serif" w:hAnsi="Adelle Sans;sans-serif"/>
                <w:b/>
                <w:color w:val="000000"/>
                <w:sz w:val="18"/>
              </w:rPr>
            </w:pPr>
            <w:r>
              <w:rPr>
                <w:rFonts w:ascii="Adelle Sans;sans-serif" w:hAnsi="Adelle Sans;sans-serif"/>
                <w:b/>
                <w:color w:val="000000"/>
                <w:sz w:val="18"/>
              </w:rPr>
              <w:t>Six months ended June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0" w:type="dxa"/>
            <w:gridSpan w:val="4"/>
            <w:tcBorders/>
          </w:tcPr>
          <w:p>
            <w:pPr>
              <w:pStyle w:val="TableContents"/>
              <w:bidi w:val="0"/>
              <w:spacing w:before="0" w:after="283"/>
              <w:jc w:val="left"/>
              <w:rPr>
                <w:sz w:val="4"/>
                <w:szCs w:val="4"/>
              </w:rPr>
            </w:pPr>
            <w:r>
              <w:rPr>
                <w:sz w:val="4"/>
                <w:szCs w:val="4"/>
              </w:rPr>
            </w:r>
          </w:p>
        </w:tc>
      </w:tr>
      <w:tr>
        <w:trPr/>
        <w:tc>
          <w:tcPr>
            <w:tcW w:w="17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3"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Adelle Sans;sans-serif" w:hAnsi="Adelle Sans;sans-serif"/>
                <w:b/>
                <w:color w:val="000000"/>
                <w:sz w:val="18"/>
              </w:rPr>
            </w:pPr>
            <w:r>
              <w:rPr>
                <w:rFonts w:ascii="Adelle Sans;sans-serif" w:hAnsi="Adelle Sans;sans-serif"/>
                <w:b/>
                <w:color w:val="000000"/>
                <w:sz w:val="18"/>
              </w:rPr>
              <w:t>2026</w:t>
            </w:r>
          </w:p>
        </w:tc>
        <w:tc>
          <w:tcPr>
            <w:tcW w:w="618"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733"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Adelle Sans;sans-serif" w:hAnsi="Adelle Sans;sans-serif"/>
                <w:b/>
                <w:color w:val="000000"/>
                <w:sz w:val="18"/>
              </w:rPr>
            </w:pPr>
            <w:r>
              <w:rPr>
                <w:rFonts w:ascii="Adelle Sans;sans-serif" w:hAnsi="Adelle Sans;sans-serif"/>
                <w:b/>
                <w:color w:val="000000"/>
                <w:sz w:val="18"/>
              </w:rPr>
              <w:t>2025</w:t>
            </w:r>
          </w:p>
        </w:tc>
        <w:tc>
          <w:tcPr>
            <w:tcW w:w="618"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Adelle Sans;sans-serif" w:hAnsi="Adelle Sans;sans-serif"/>
                <w:b/>
                <w:color w:val="000000"/>
                <w:sz w:val="18"/>
              </w:rPr>
            </w:pPr>
            <w:r>
              <w:rPr>
                <w:rFonts w:ascii="Adelle Sans;sans-serif" w:hAnsi="Adelle Sans;sans-serif"/>
                <w:b/>
                <w:color w:val="000000"/>
                <w:sz w:val="18"/>
              </w:rPr>
              <w:t>% Change</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Adelle Sans;sans-serif" w:hAnsi="Adelle Sans;sans-serif"/>
                <w:b/>
                <w:color w:val="000000"/>
                <w:sz w:val="18"/>
              </w:rPr>
            </w:pPr>
            <w:r>
              <w:rPr>
                <w:rFonts w:ascii="Adelle Sans;sans-serif" w:hAnsi="Adelle Sans;sans-serif"/>
                <w:b/>
                <w:color w:val="000000"/>
                <w:sz w:val="18"/>
              </w:rPr>
              <w:t>2026</w:t>
            </w:r>
          </w:p>
        </w:tc>
        <w:tc>
          <w:tcPr>
            <w:tcW w:w="564"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Adelle Sans;sans-serif" w:hAnsi="Adelle Sans;sans-serif"/>
                <w:b/>
                <w:color w:val="000000"/>
                <w:sz w:val="18"/>
              </w:rPr>
            </w:pPr>
            <w:r>
              <w:rPr>
                <w:rFonts w:ascii="Adelle Sans;sans-serif" w:hAnsi="Adelle Sans;sans-serif"/>
                <w:b/>
                <w:color w:val="000000"/>
                <w:sz w:val="18"/>
              </w:rPr>
              <w:t>2025</w:t>
            </w:r>
          </w:p>
        </w:tc>
        <w:tc>
          <w:tcPr>
            <w:tcW w:w="564"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Adelle Sans;sans-serif" w:hAnsi="Adelle Sans;sans-serif"/>
                <w:b/>
                <w:color w:val="000000"/>
                <w:sz w:val="18"/>
              </w:rPr>
            </w:pPr>
            <w:r>
              <w:rPr>
                <w:rFonts w:ascii="Adelle Sans;sans-serif" w:hAnsi="Adelle Sans;sans-serif"/>
                <w:b/>
                <w:color w:val="000000"/>
                <w:sz w:val="18"/>
              </w:rPr>
              <w:t>% Change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75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3" w:type="dxa"/>
            <w:gridSpan w:val="3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delle Sans;sans-serif" w:hAnsi="Adelle Sans;sans-serif"/>
                <w:b w:val="false"/>
                <w:color w:val="000000"/>
                <w:sz w:val="18"/>
              </w:rPr>
            </w:pPr>
            <w:r>
              <w:rPr>
                <w:rFonts w:ascii="Adelle Sans;sans-serif" w:hAnsi="Adelle Sans;sans-serif"/>
                <w:b w:val="false"/>
                <w:color w:val="000000"/>
                <w:sz w:val="18"/>
              </w:rPr>
              <w:t>(in US $ millions, except percentages)</w:t>
            </w:r>
          </w:p>
        </w:tc>
        <w:tc>
          <w:tcPr>
            <w:tcW w:w="708" w:type="dxa"/>
            <w:gridSpan w:val="6"/>
            <w:tcBorders/>
          </w:tcPr>
          <w:p>
            <w:pPr>
              <w:pStyle w:val="TableContents"/>
              <w:bidi w:val="0"/>
              <w:spacing w:before="0" w:after="283"/>
              <w:jc w:val="left"/>
              <w:rPr>
                <w:sz w:val="4"/>
                <w:szCs w:val="4"/>
              </w:rPr>
            </w:pPr>
            <w:r>
              <w:rPr>
                <w:sz w:val="4"/>
                <w:szCs w:val="4"/>
              </w:rPr>
            </w:r>
          </w:p>
        </w:tc>
      </w:tr>
      <w:tr>
        <w:trPr/>
        <w:tc>
          <w:tcPr>
            <w:tcW w:w="1754" w:type="dxa"/>
            <w:gridSpan w:val="3"/>
            <w:tcBorders/>
            <w:shd w:fill="F7F7F7" w:val="clear"/>
            <w:tcMar>
              <w:top w:w="0" w:type="dxa"/>
              <w:left w:w="0" w:type="dxa"/>
              <w:bottom w:w="0" w:type="dxa"/>
              <w:right w:w="0" w:type="dxa"/>
            </w:tcMar>
            <w:vAlign w:val="center"/>
          </w:tcPr>
          <w:p>
            <w:pPr>
              <w:pStyle w:val="TableContents"/>
              <w:bidi w:val="0"/>
              <w:spacing w:lineRule="auto" w:line="240" w:before="0" w:after="283"/>
              <w:jc w:val="left"/>
              <w:rPr>
                <w:rFonts w:ascii="Adelle Sans;sans-serif" w:hAnsi="Adelle Sans;sans-serif"/>
                <w:b w:val="false"/>
                <w:color w:val="000000"/>
                <w:sz w:val="18"/>
              </w:rPr>
            </w:pPr>
            <w:r>
              <w:rPr>
                <w:rFonts w:ascii="Adelle Sans;sans-serif" w:hAnsi="Adelle Sans;sans-serif"/>
                <w:b w:val="false"/>
                <w:color w:val="000000"/>
                <w:sz w:val="18"/>
              </w:rPr>
              <w:t>Other income, net</w:t>
            </w:r>
          </w:p>
        </w:tc>
        <w:tc>
          <w:tcPr>
            <w:tcW w:w="416" w:type="dxa"/>
            <w:gridSpan w:val="2"/>
            <w:tcBorders/>
            <w:shd w:fill="F7F7F7"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59 </w:t>
            </w:r>
          </w:p>
        </w:tc>
        <w:tc>
          <w:tcPr>
            <w:tcW w:w="207" w:type="dxa"/>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7F7F7"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130 </w:t>
            </w:r>
          </w:p>
        </w:tc>
        <w:tc>
          <w:tcPr>
            <w:tcW w:w="207" w:type="dxa"/>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F7F7F7"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(55)%</w:t>
            </w:r>
          </w:p>
        </w:tc>
        <w:tc>
          <w:tcPr>
            <w:tcW w:w="327"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7F7F7"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125 </w:t>
            </w:r>
          </w:p>
        </w:tc>
        <w:tc>
          <w:tcPr>
            <w:tcW w:w="196" w:type="dxa"/>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7F7F7"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201 </w:t>
            </w:r>
          </w:p>
        </w:tc>
        <w:tc>
          <w:tcPr>
            <w:tcW w:w="196" w:type="dxa"/>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F7F7F7"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(38)%</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jc w:val="both"/>
        <w:rPr>
          <w:rFonts w:ascii="Adelle Sans Light;sans-serif" w:hAnsi="Adelle Sans Light;sans-serif"/>
          <w:b w:val="false"/>
          <w:color w:val="000000"/>
          <w:sz w:val="20"/>
        </w:rPr>
      </w:pPr>
      <w:r>
        <w:rPr>
          <w:rFonts w:ascii="Adelle Sans Light;sans-serif" w:hAnsi="Adelle Sans Light;sans-serif"/>
          <w:b w:val="false"/>
          <w:color w:val="000000"/>
          <w:sz w:val="20"/>
        </w:rPr>
        <w:t xml:space="preserve">In the three months ended June 30, 2026, other income, net was driven by interest income of $66 million recognized on marketable securities compared to interest income of $106 million recognized on marketable securities for the same period in 2025 and net loss on foreign exchange of $7 million compared to $24 million net gain on foreign exchange for the same period in 2025. </w:t>
      </w:r>
    </w:p>
    <w:p>
      <w:pPr>
        <w:pStyle w:val="TextBody"/>
        <w:bidi w:val="0"/>
        <w:spacing w:lineRule="auto" w:line="288" w:before="0" w:after="200"/>
        <w:jc w:val="both"/>
        <w:rPr>
          <w:rFonts w:ascii="Adelle Sans Light;sans-serif" w:hAnsi="Adelle Sans Light;sans-serif"/>
          <w:b w:val="false"/>
          <w:color w:val="000000"/>
          <w:sz w:val="20"/>
        </w:rPr>
      </w:pPr>
      <w:r>
        <w:rPr>
          <w:rFonts w:ascii="Adelle Sans Light;sans-serif" w:hAnsi="Adelle Sans Light;sans-serif"/>
          <w:b w:val="false"/>
          <w:color w:val="000000"/>
          <w:sz w:val="20"/>
        </w:rPr>
        <w:t xml:space="preserve">In the six months ended June 30, 2026, other income, net was driven by interest income of $141 million recognized on marketable securities compared to interest income of $171 million recognized on marketable securities for the same period in 2025 and net loss on foreign exchange of $16 million compared to $30 million net gain on foreign exchange for the same period in 2025. </w:t>
      </w:r>
    </w:p>
    <w:p>
      <w:pPr>
        <w:pStyle w:val="TextBody"/>
        <w:bidi w:val="0"/>
        <w:spacing w:lineRule="auto" w:line="288" w:before="0" w:after="200"/>
        <w:jc w:val="left"/>
        <w:rPr>
          <w:rFonts w:ascii="Adelle Sans;sans-serif" w:hAnsi="Adelle Sans;sans-serif"/>
          <w:b/>
          <w:i/>
          <w:color w:val="000000"/>
          <w:sz w:val="20"/>
        </w:rPr>
      </w:pPr>
      <w:bookmarkStart w:id="90" w:name="id8307f2272a448a78d769bc52a874738"/>
      <w:bookmarkEnd w:id="90"/>
      <w:r>
        <w:rPr>
          <w:rFonts w:ascii="Adelle Sans;sans-serif" w:hAnsi="Adelle Sans;sans-serif"/>
          <w:b/>
          <w:i/>
          <w:color w:val="000000"/>
          <w:sz w:val="20"/>
        </w:rPr>
        <w:t>Provision for Income Taxes</w:t>
      </w:r>
    </w:p>
    <w:tbl>
      <w:tblPr>
        <w:tblW w:w="10205" w:type="dxa"/>
        <w:jc w:val="left"/>
        <w:tblInd w:w="0" w:type="dxa"/>
        <w:tblLayout w:type="fixed"/>
        <w:tblCellMar>
          <w:top w:w="28" w:type="dxa"/>
          <w:left w:w="28" w:type="dxa"/>
          <w:bottom w:w="28" w:type="dxa"/>
          <w:right w:w="28" w:type="dxa"/>
        </w:tblCellMar>
      </w:tblPr>
      <w:tblGrid>
        <w:gridCol w:w="700"/>
        <w:gridCol w:w="613"/>
        <w:gridCol w:w="618"/>
        <w:gridCol w:w="293"/>
        <w:gridCol w:w="294"/>
        <w:gridCol w:w="193"/>
        <w:gridCol w:w="171"/>
        <w:gridCol w:w="171"/>
        <w:gridCol w:w="171"/>
        <w:gridCol w:w="293"/>
        <w:gridCol w:w="294"/>
        <w:gridCol w:w="193"/>
        <w:gridCol w:w="171"/>
        <w:gridCol w:w="171"/>
        <w:gridCol w:w="171"/>
        <w:gridCol w:w="375"/>
        <w:gridCol w:w="375"/>
        <w:gridCol w:w="376"/>
        <w:gridCol w:w="109"/>
        <w:gridCol w:w="109"/>
        <w:gridCol w:w="109"/>
        <w:gridCol w:w="293"/>
        <w:gridCol w:w="294"/>
        <w:gridCol w:w="196"/>
        <w:gridCol w:w="159"/>
        <w:gridCol w:w="159"/>
        <w:gridCol w:w="159"/>
        <w:gridCol w:w="233"/>
        <w:gridCol w:w="234"/>
        <w:gridCol w:w="196"/>
        <w:gridCol w:w="159"/>
        <w:gridCol w:w="159"/>
        <w:gridCol w:w="159"/>
        <w:gridCol w:w="375"/>
        <w:gridCol w:w="375"/>
        <w:gridCol w:w="376"/>
        <w:gridCol w:w="109"/>
        <w:gridCol w:w="109"/>
        <w:gridCol w:w="109"/>
        <w:gridCol w:w="109"/>
        <w:gridCol w:w="109"/>
        <w:gridCol w:w="164"/>
      </w:tblGrid>
      <w:tr>
        <w:trPr/>
        <w:tc>
          <w:tcPr>
            <w:tcW w:w="700"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9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delle Sans;sans-serif" w:hAnsi="Adelle Sans;sans-serif"/>
                <w:b/>
                <w:color w:val="000000"/>
                <w:sz w:val="18"/>
              </w:rPr>
            </w:pPr>
            <w:r>
              <w:rPr>
                <w:rFonts w:ascii="Adelle Sans;sans-serif" w:hAnsi="Adelle Sans;sans-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6"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delle Sans;sans-serif" w:hAnsi="Adelle Sans;sans-serif"/>
                <w:b/>
                <w:color w:val="000000"/>
                <w:sz w:val="18"/>
              </w:rPr>
            </w:pPr>
            <w:r>
              <w:rPr>
                <w:rFonts w:ascii="Adelle Sans;sans-serif" w:hAnsi="Adelle Sans;sans-serif"/>
                <w:b/>
                <w:color w:val="000000"/>
                <w:sz w:val="18"/>
              </w:rPr>
              <w:t>Six months ended June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1" w:type="dxa"/>
            <w:gridSpan w:val="4"/>
            <w:tcBorders/>
          </w:tcPr>
          <w:p>
            <w:pPr>
              <w:pStyle w:val="TableContents"/>
              <w:bidi w:val="0"/>
              <w:spacing w:before="0" w:after="283"/>
              <w:jc w:val="left"/>
              <w:rPr>
                <w:sz w:val="4"/>
                <w:szCs w:val="4"/>
              </w:rPr>
            </w:pPr>
            <w:r>
              <w:rPr>
                <w:sz w:val="4"/>
                <w:szCs w:val="4"/>
              </w:rPr>
            </w:r>
          </w:p>
        </w:tc>
      </w:tr>
      <w:tr>
        <w:trPr/>
        <w:tc>
          <w:tcPr>
            <w:tcW w:w="19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Adelle Sans;sans-serif" w:hAnsi="Adelle Sans;sans-serif"/>
                <w:b/>
                <w:color w:val="000000"/>
                <w:sz w:val="18"/>
              </w:rPr>
            </w:pPr>
            <w:r>
              <w:rPr>
                <w:rFonts w:ascii="Adelle Sans;sans-serif" w:hAnsi="Adelle Sans;sans-serif"/>
                <w:b/>
                <w:color w:val="000000"/>
                <w:sz w:val="18"/>
              </w:rPr>
              <w:t>2026</w:t>
            </w:r>
          </w:p>
        </w:tc>
        <w:tc>
          <w:tcPr>
            <w:tcW w:w="513"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780"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Adelle Sans;sans-serif" w:hAnsi="Adelle Sans;sans-serif"/>
                <w:b/>
                <w:color w:val="000000"/>
                <w:sz w:val="18"/>
              </w:rPr>
            </w:pPr>
            <w:r>
              <w:rPr>
                <w:rFonts w:ascii="Adelle Sans;sans-serif" w:hAnsi="Adelle Sans;sans-serif"/>
                <w:b/>
                <w:color w:val="000000"/>
                <w:sz w:val="18"/>
              </w:rPr>
              <w:t>2025</w:t>
            </w:r>
          </w:p>
        </w:tc>
        <w:tc>
          <w:tcPr>
            <w:tcW w:w="513"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Adelle Sans;sans-serif" w:hAnsi="Adelle Sans;sans-serif"/>
                <w:b/>
                <w:color w:val="000000"/>
                <w:sz w:val="18"/>
              </w:rPr>
            </w:pPr>
            <w:r>
              <w:rPr>
                <w:rFonts w:ascii="Adelle Sans;sans-serif" w:hAnsi="Adelle Sans;sans-serif"/>
                <w:b/>
                <w:color w:val="000000"/>
                <w:sz w:val="18"/>
              </w:rPr>
              <w:t>% Change</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83"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Adelle Sans;sans-serif" w:hAnsi="Adelle Sans;sans-serif"/>
                <w:b/>
                <w:color w:val="000000"/>
                <w:sz w:val="18"/>
              </w:rPr>
            </w:pPr>
            <w:r>
              <w:rPr>
                <w:rFonts w:ascii="Adelle Sans;sans-serif" w:hAnsi="Adelle Sans;sans-serif"/>
                <w:b/>
                <w:color w:val="000000"/>
                <w:sz w:val="18"/>
              </w:rPr>
              <w:t>2026</w:t>
            </w:r>
          </w:p>
        </w:tc>
        <w:tc>
          <w:tcPr>
            <w:tcW w:w="47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663"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Adelle Sans;sans-serif" w:hAnsi="Adelle Sans;sans-serif"/>
                <w:b/>
                <w:color w:val="000000"/>
                <w:sz w:val="18"/>
              </w:rPr>
            </w:pPr>
            <w:r>
              <w:rPr>
                <w:rFonts w:ascii="Adelle Sans;sans-serif" w:hAnsi="Adelle Sans;sans-serif"/>
                <w:b/>
                <w:color w:val="000000"/>
                <w:sz w:val="18"/>
              </w:rPr>
              <w:t>2025</w:t>
            </w:r>
          </w:p>
        </w:tc>
        <w:tc>
          <w:tcPr>
            <w:tcW w:w="47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Adelle Sans;sans-serif" w:hAnsi="Adelle Sans;sans-serif"/>
                <w:b/>
                <w:color w:val="000000"/>
                <w:sz w:val="18"/>
              </w:rPr>
            </w:pPr>
            <w:r>
              <w:rPr>
                <w:rFonts w:ascii="Adelle Sans;sans-serif" w:hAnsi="Adelle Sans;sans-serif"/>
                <w:b/>
                <w:color w:val="000000"/>
                <w:sz w:val="18"/>
              </w:rPr>
              <w:t>% Change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93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5" w:type="dxa"/>
            <w:gridSpan w:val="3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delle Sans;sans-serif" w:hAnsi="Adelle Sans;sans-serif"/>
                <w:b w:val="false"/>
                <w:color w:val="000000"/>
                <w:sz w:val="18"/>
              </w:rPr>
            </w:pPr>
            <w:r>
              <w:rPr>
                <w:rFonts w:ascii="Adelle Sans;sans-serif" w:hAnsi="Adelle Sans;sans-serif"/>
                <w:b w:val="false"/>
                <w:color w:val="000000"/>
                <w:sz w:val="18"/>
              </w:rPr>
              <w:t>(in US $ millions, except percentages)</w:t>
            </w:r>
          </w:p>
        </w:tc>
        <w:tc>
          <w:tcPr>
            <w:tcW w:w="709" w:type="dxa"/>
            <w:gridSpan w:val="6"/>
            <w:tcBorders/>
          </w:tcPr>
          <w:p>
            <w:pPr>
              <w:pStyle w:val="TableContents"/>
              <w:bidi w:val="0"/>
              <w:spacing w:before="0" w:after="283"/>
              <w:jc w:val="left"/>
              <w:rPr>
                <w:sz w:val="4"/>
                <w:szCs w:val="4"/>
              </w:rPr>
            </w:pPr>
            <w:r>
              <w:rPr>
                <w:sz w:val="4"/>
                <w:szCs w:val="4"/>
              </w:rPr>
            </w:r>
          </w:p>
        </w:tc>
      </w:tr>
      <w:tr>
        <w:trPr/>
        <w:tc>
          <w:tcPr>
            <w:tcW w:w="1931" w:type="dxa"/>
            <w:gridSpan w:val="3"/>
            <w:tcBorders/>
            <w:shd w:fill="F7F7F7" w:val="clear"/>
            <w:tcMar>
              <w:top w:w="0" w:type="dxa"/>
              <w:left w:w="0" w:type="dxa"/>
              <w:bottom w:w="0" w:type="dxa"/>
              <w:right w:w="0" w:type="dxa"/>
            </w:tcMar>
            <w:vAlign w:val="center"/>
          </w:tcPr>
          <w:p>
            <w:pPr>
              <w:pStyle w:val="TableContents"/>
              <w:bidi w:val="0"/>
              <w:spacing w:lineRule="auto" w:line="240" w:before="0" w:after="0"/>
              <w:jc w:val="left"/>
              <w:rPr>
                <w:rFonts w:ascii="Adelle Sans;sans-serif" w:hAnsi="Adelle Sans;sans-serif"/>
                <w:b w:val="false"/>
                <w:color w:val="000000"/>
                <w:sz w:val="18"/>
              </w:rPr>
            </w:pPr>
            <w:r>
              <w:rPr>
                <w:rFonts w:ascii="Adelle Sans;sans-serif" w:hAnsi="Adelle Sans;sans-serif"/>
                <w:b w:val="false"/>
                <w:color w:val="000000"/>
                <w:sz w:val="18"/>
              </w:rPr>
              <w:t xml:space="preserve">Provision for income taxes </w:t>
            </w:r>
          </w:p>
        </w:tc>
        <w:tc>
          <w:tcPr>
            <w:tcW w:w="587" w:type="dxa"/>
            <w:gridSpan w:val="2"/>
            <w:tcBorders/>
            <w:shd w:fill="F7F7F7"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(273)</w:t>
            </w:r>
          </w:p>
        </w:tc>
        <w:tc>
          <w:tcPr>
            <w:tcW w:w="193" w:type="dxa"/>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7F7F7"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(173)</w:t>
            </w:r>
          </w:p>
        </w:tc>
        <w:tc>
          <w:tcPr>
            <w:tcW w:w="193" w:type="dxa"/>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F7F7F7"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58%</w:t>
            </w:r>
          </w:p>
        </w:tc>
        <w:tc>
          <w:tcPr>
            <w:tcW w:w="327"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7F7F7"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(220)</w:t>
            </w:r>
          </w:p>
        </w:tc>
        <w:tc>
          <w:tcPr>
            <w:tcW w:w="196" w:type="dxa"/>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F7F7F7"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(85)</w:t>
            </w:r>
          </w:p>
        </w:tc>
        <w:tc>
          <w:tcPr>
            <w:tcW w:w="196" w:type="dxa"/>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F7F7F7"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159%</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931" w:type="dxa"/>
            <w:gridSpan w:val="3"/>
            <w:tcBorders/>
            <w:vAlign w:val="center"/>
          </w:tcPr>
          <w:p>
            <w:pPr>
              <w:pStyle w:val="TableContents"/>
              <w:bidi w:val="0"/>
              <w:spacing w:before="0" w:after="283"/>
              <w:jc w:val="left"/>
              <w:rPr>
                <w:sz w:val="4"/>
                <w:szCs w:val="4"/>
              </w:rPr>
            </w:pPr>
            <w:r>
              <w:rPr>
                <w:sz w:val="4"/>
                <w:szCs w:val="4"/>
              </w:rPr>
            </w:r>
          </w:p>
        </w:tc>
        <w:tc>
          <w:tcPr>
            <w:tcW w:w="780" w:type="dxa"/>
            <w:gridSpan w:val="3"/>
            <w:tcBorders/>
            <w:vAlign w:val="center"/>
          </w:tcPr>
          <w:p>
            <w:pPr>
              <w:pStyle w:val="TableContents"/>
              <w:bidi w:val="0"/>
              <w:spacing w:before="0" w:after="283"/>
              <w:jc w:val="left"/>
              <w:rPr>
                <w:sz w:val="4"/>
                <w:szCs w:val="4"/>
              </w:rPr>
            </w:pPr>
            <w:r>
              <w:rPr>
                <w:sz w:val="4"/>
                <w:szCs w:val="4"/>
              </w:rPr>
            </w:r>
          </w:p>
        </w:tc>
        <w:tc>
          <w:tcPr>
            <w:tcW w:w="513" w:type="dxa"/>
            <w:gridSpan w:val="3"/>
            <w:tcBorders/>
            <w:vAlign w:val="center"/>
          </w:tcPr>
          <w:p>
            <w:pPr>
              <w:pStyle w:val="TableContents"/>
              <w:bidi w:val="0"/>
              <w:spacing w:before="0" w:after="283"/>
              <w:jc w:val="left"/>
              <w:rPr>
                <w:sz w:val="4"/>
                <w:szCs w:val="4"/>
              </w:rPr>
            </w:pPr>
            <w:r>
              <w:rPr>
                <w:sz w:val="4"/>
                <w:szCs w:val="4"/>
              </w:rPr>
            </w:r>
          </w:p>
        </w:tc>
        <w:tc>
          <w:tcPr>
            <w:tcW w:w="780" w:type="dxa"/>
            <w:gridSpan w:val="3"/>
            <w:tcBorders/>
            <w:vAlign w:val="center"/>
          </w:tcPr>
          <w:p>
            <w:pPr>
              <w:pStyle w:val="TableContents"/>
              <w:bidi w:val="0"/>
              <w:spacing w:before="0" w:after="283"/>
              <w:jc w:val="left"/>
              <w:rPr>
                <w:sz w:val="4"/>
                <w:szCs w:val="4"/>
              </w:rPr>
            </w:pPr>
            <w:r>
              <w:rPr>
                <w:sz w:val="4"/>
                <w:szCs w:val="4"/>
              </w:rPr>
            </w:r>
          </w:p>
        </w:tc>
        <w:tc>
          <w:tcPr>
            <w:tcW w:w="513"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3" w:type="dxa"/>
            <w:gridSpan w:val="3"/>
            <w:tcBorders/>
            <w:vAlign w:val="center"/>
          </w:tcPr>
          <w:p>
            <w:pPr>
              <w:pStyle w:val="TableContents"/>
              <w:bidi w:val="0"/>
              <w:spacing w:before="0" w:after="283"/>
              <w:jc w:val="left"/>
              <w:rPr>
                <w:sz w:val="4"/>
                <w:szCs w:val="4"/>
              </w:rPr>
            </w:pPr>
            <w:r>
              <w:rPr>
                <w:sz w:val="4"/>
                <w:szCs w:val="4"/>
              </w:rPr>
            </w:r>
          </w:p>
        </w:tc>
        <w:tc>
          <w:tcPr>
            <w:tcW w:w="477" w:type="dxa"/>
            <w:gridSpan w:val="3"/>
            <w:tcBorders/>
            <w:vAlign w:val="center"/>
          </w:tcPr>
          <w:p>
            <w:pPr>
              <w:pStyle w:val="TableContents"/>
              <w:bidi w:val="0"/>
              <w:spacing w:before="0" w:after="283"/>
              <w:jc w:val="left"/>
              <w:rPr>
                <w:sz w:val="4"/>
                <w:szCs w:val="4"/>
              </w:rPr>
            </w:pPr>
            <w:r>
              <w:rPr>
                <w:sz w:val="4"/>
                <w:szCs w:val="4"/>
              </w:rPr>
            </w:r>
          </w:p>
        </w:tc>
        <w:tc>
          <w:tcPr>
            <w:tcW w:w="663" w:type="dxa"/>
            <w:gridSpan w:val="3"/>
            <w:tcBorders/>
            <w:vAlign w:val="center"/>
          </w:tcPr>
          <w:p>
            <w:pPr>
              <w:pStyle w:val="TableContents"/>
              <w:bidi w:val="0"/>
              <w:spacing w:before="0" w:after="283"/>
              <w:jc w:val="left"/>
              <w:rPr>
                <w:sz w:val="4"/>
                <w:szCs w:val="4"/>
              </w:rPr>
            </w:pPr>
            <w:r>
              <w:rPr>
                <w:sz w:val="4"/>
                <w:szCs w:val="4"/>
              </w:rPr>
            </w:r>
          </w:p>
        </w:tc>
        <w:tc>
          <w:tcPr>
            <w:tcW w:w="47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jc w:val="both"/>
        <w:rPr>
          <w:rFonts w:ascii="Adelle Sans Light;sans-serif" w:hAnsi="Adelle Sans Light;sans-serif"/>
          <w:b w:val="false"/>
          <w:color w:val="000000"/>
          <w:sz w:val="20"/>
        </w:rPr>
      </w:pPr>
      <w:r>
        <w:rPr>
          <w:rFonts w:ascii="Adelle Sans Light;sans-serif" w:hAnsi="Adelle Sans Light;sans-serif"/>
          <w:b w:val="false"/>
          <w:color w:val="000000"/>
          <w:sz w:val="20"/>
        </w:rPr>
        <w:t>We had a provision for income taxes of $273 million in the three months ended June 30, 2026, compared to provision for income taxes of $173 million in the same period in 2025, as a result of earnings in various jurisdictions and unrealized gain on equity and other investments.</w:t>
      </w:r>
    </w:p>
    <w:p>
      <w:pPr>
        <w:pStyle w:val="TextBody"/>
        <w:bidi w:val="0"/>
        <w:spacing w:lineRule="auto" w:line="288" w:before="0" w:after="200"/>
        <w:jc w:val="both"/>
        <w:rPr>
          <w:rFonts w:ascii="Adelle Sans Light;sans-serif" w:hAnsi="Adelle Sans Light;sans-serif"/>
          <w:b w:val="false"/>
          <w:color w:val="000000"/>
          <w:sz w:val="20"/>
        </w:rPr>
      </w:pPr>
      <w:r>
        <w:rPr>
          <w:rFonts w:ascii="Adelle Sans Light;sans-serif" w:hAnsi="Adelle Sans Light;sans-serif"/>
          <w:b w:val="false"/>
          <w:color w:val="000000"/>
          <w:sz w:val="20"/>
        </w:rPr>
        <w:t xml:space="preserve">We had a provision for income taxes of $220 million in the six months ended June 30, 2026 as a result of earnings in various jurisdictions and unrealized gain on equity and other investments. </w:t>
      </w:r>
    </w:p>
    <w:p>
      <w:pPr>
        <w:pStyle w:val="TextBody"/>
        <w:bidi w:val="0"/>
        <w:spacing w:lineRule="auto" w:line="288" w:before="0" w:after="200"/>
        <w:jc w:val="both"/>
        <w:rPr>
          <w:rFonts w:ascii="Adelle Sans Light;sans-serif" w:hAnsi="Adelle Sans Light;sans-serif"/>
          <w:b w:val="false"/>
          <w:color w:val="000000"/>
          <w:sz w:val="20"/>
        </w:rPr>
      </w:pPr>
      <w:r>
        <w:rPr>
          <w:rFonts w:ascii="Adelle Sans Light;sans-serif" w:hAnsi="Adelle Sans Light;sans-serif"/>
          <w:b w:val="false"/>
          <w:color w:val="000000"/>
          <w:sz w:val="20"/>
        </w:rPr>
        <w:t>We had a provision for income taxes of $85 million in the six months ended June 30, 2025, as a result of earnings in various jurisdictions, partially offset by unrealized loss on equity and other investments.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7955"/>
                <wp:effectExtent l="0" t="0" r="0" b="0"/>
                <wp:wrapNone/>
                <wp:docPr id="36" name="Frame35"/>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200"/>
                              <w:jc w:val="center"/>
                              <w:rPr>
                                <w:rFonts w:ascii="Adelle Sans Light;sans-serif" w:hAnsi="Adelle Sans Light;sans-serif"/>
                                <w:b w:val="false"/>
                                <w:color w:val="000000"/>
                                <w:sz w:val="20"/>
                              </w:rPr>
                            </w:pPr>
                            <w:r>
                              <w:rPr>
                                <w:rFonts w:ascii="Adelle Sans Light;sans-serif" w:hAnsi="Adelle Sans Light;sans-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Adelle Sans Light;sans-serif" w:hAnsi="Adelle Sans Light;sans-serif"/>
                          <w:b w:val="false"/>
                          <w:color w:val="000000"/>
                          <w:sz w:val="20"/>
                        </w:rPr>
                      </w:pPr>
                      <w:r>
                        <w:rPr>
                          <w:rFonts w:ascii="Adelle Sans Light;sans-serif" w:hAnsi="Adelle Sans Light;sans-serif"/>
                          <w:b w:val="false"/>
                          <w:color w:val="000000"/>
                          <w:sz w:val="20"/>
                        </w:rPr>
                        <w:t>35</w:t>
                      </w:r>
                    </w:p>
                  </w:txbxContent>
                </v:textbox>
                <w10:wrap type="none"/>
              </v:rect>
            </w:pict>
          </mc:Fallback>
        </mc:AlternateContent>
      </w:r>
    </w:p>
    <w:p>
      <w:pPr>
        <w:pStyle w:val="TextBody"/>
        <w:bidi w:val="0"/>
        <w:spacing w:lineRule="auto" w:line="288" w:before="0" w:after="200"/>
        <w:jc w:val="both"/>
        <w:rPr/>
      </w:pPr>
      <w:hyperlink w:anchor="iccccf23fa31e44f0aa82c99ca0859db8_7">
        <w:r>
          <w:rPr>
            <w:rStyle w:val="InternetLink"/>
            <w:rFonts w:ascii="Adelle Sans Light;sans-serif" w:hAnsi="Adelle Sans Light;sans-serif"/>
            <w:b w:val="false"/>
            <w:color w:val="0000FF"/>
            <w:sz w:val="20"/>
            <w:u w:val="single"/>
          </w:rPr>
          <w:t>Table of Contents</w:t>
        </w:r>
      </w:hyperlink>
    </w:p>
    <w:p>
      <w:pPr>
        <w:pStyle w:val="TextBody"/>
        <w:bidi w:val="0"/>
        <w:spacing w:lineRule="auto" w:line="288" w:before="0" w:after="200"/>
        <w:jc w:val="left"/>
        <w:rPr>
          <w:rFonts w:ascii="Adelle Sans;sans-serif" w:hAnsi="Adelle Sans;sans-serif"/>
          <w:b/>
          <w:color w:val="000000"/>
          <w:sz w:val="20"/>
        </w:rPr>
      </w:pPr>
      <w:bookmarkStart w:id="91" w:name="ie86d9bce67bd40de9360a8ff539d0bcd"/>
      <w:bookmarkEnd w:id="91"/>
      <w:r>
        <w:rPr>
          <w:rFonts w:ascii="Adelle Sans;sans-serif" w:hAnsi="Adelle Sans;sans-serif"/>
          <w:b/>
          <w:color w:val="000000"/>
          <w:sz w:val="20"/>
        </w:rPr>
        <w:t>Summary of Quarterly Results</w:t>
      </w:r>
    </w:p>
    <w:p>
      <w:pPr>
        <w:pStyle w:val="TextBody"/>
        <w:bidi w:val="0"/>
        <w:spacing w:lineRule="auto" w:line="288" w:before="0" w:after="200"/>
        <w:jc w:val="both"/>
        <w:rPr>
          <w:rFonts w:ascii="Adelle Sans Light;sans-serif" w:hAnsi="Adelle Sans Light;sans-serif"/>
          <w:b w:val="false"/>
          <w:color w:val="000000"/>
          <w:sz w:val="20"/>
        </w:rPr>
      </w:pPr>
      <w:r>
        <w:rPr>
          <w:rFonts w:ascii="Adelle Sans Light;sans-serif" w:hAnsi="Adelle Sans Light;sans-serif"/>
          <w:b w:val="false"/>
          <w:color w:val="000000"/>
          <w:sz w:val="20"/>
        </w:rPr>
        <w:t>The following table sets forth selected quarterly results of operations data for each of the eight quarters ended June 30, 2026. The information for each of these quarters has been derived from unaudited condensed consolidated financial statements that were prepared on the same basis as the audited annual financial statements and, in the opinion of management, reflects all adjustments, which include only normal recurring adjustments, necessary for the fair statement of the results of operations for these periods in accordance with U.S. GAAP. This data should be read in conjunction with our unaudited condensed consolidated financial statements and audited consolidated financial statements and related notes for the relevant period. These quarterly operating results are not necessarily indicative of our operating results for a full year or any future periods.</w:t>
      </w:r>
    </w:p>
    <w:tbl>
      <w:tblPr>
        <w:tblW w:w="11188" w:type="dxa"/>
        <w:jc w:val="left"/>
        <w:tblInd w:w="0" w:type="dxa"/>
        <w:tblLayout w:type="fixed"/>
        <w:tblCellMar>
          <w:top w:w="28" w:type="dxa"/>
          <w:left w:w="28" w:type="dxa"/>
          <w:bottom w:w="28" w:type="dxa"/>
          <w:right w:w="28" w:type="dxa"/>
        </w:tblCellMar>
      </w:tblPr>
      <w:tblGrid>
        <w:gridCol w:w="651"/>
        <w:gridCol w:w="401"/>
        <w:gridCol w:w="404"/>
        <w:gridCol w:w="226"/>
        <w:gridCol w:w="586"/>
        <w:gridCol w:w="109"/>
        <w:gridCol w:w="109"/>
        <w:gridCol w:w="109"/>
        <w:gridCol w:w="109"/>
        <w:gridCol w:w="226"/>
        <w:gridCol w:w="601"/>
        <w:gridCol w:w="109"/>
        <w:gridCol w:w="109"/>
        <w:gridCol w:w="109"/>
        <w:gridCol w:w="109"/>
        <w:gridCol w:w="226"/>
        <w:gridCol w:w="586"/>
        <w:gridCol w:w="109"/>
        <w:gridCol w:w="109"/>
        <w:gridCol w:w="109"/>
        <w:gridCol w:w="109"/>
        <w:gridCol w:w="226"/>
        <w:gridCol w:w="586"/>
        <w:gridCol w:w="109"/>
        <w:gridCol w:w="109"/>
        <w:gridCol w:w="109"/>
        <w:gridCol w:w="109"/>
        <w:gridCol w:w="226"/>
        <w:gridCol w:w="586"/>
        <w:gridCol w:w="109"/>
        <w:gridCol w:w="109"/>
        <w:gridCol w:w="109"/>
        <w:gridCol w:w="109"/>
        <w:gridCol w:w="226"/>
        <w:gridCol w:w="601"/>
        <w:gridCol w:w="109"/>
        <w:gridCol w:w="109"/>
        <w:gridCol w:w="109"/>
        <w:gridCol w:w="109"/>
        <w:gridCol w:w="226"/>
        <w:gridCol w:w="586"/>
        <w:gridCol w:w="109"/>
        <w:gridCol w:w="109"/>
        <w:gridCol w:w="109"/>
        <w:gridCol w:w="109"/>
        <w:gridCol w:w="226"/>
        <w:gridCol w:w="586"/>
        <w:gridCol w:w="154"/>
      </w:tblGrid>
      <w:tr>
        <w:trPr/>
        <w:tc>
          <w:tcPr>
            <w:tcW w:w="651"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2" w:type="dxa"/>
            <w:gridSpan w:val="45"/>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delle Sans;sans-serif" w:hAnsi="Adelle Sans;sans-serif"/>
                <w:b/>
                <w:color w:val="000000"/>
                <w:sz w:val="18"/>
              </w:rPr>
            </w:pPr>
            <w:r>
              <w:rPr>
                <w:rFonts w:ascii="Adelle Sans;sans-serif" w:hAnsi="Adelle Sans;sans-serif"/>
                <w:b/>
                <w:color w:val="000000"/>
                <w:sz w:val="18"/>
              </w:rPr>
              <w:t>Three months ended</w:t>
            </w:r>
          </w:p>
        </w:tc>
      </w:tr>
      <w:tr>
        <w:trPr/>
        <w:tc>
          <w:tcPr>
            <w:tcW w:w="14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Adelle Sans;sans-serif" w:hAnsi="Adelle Sans;sans-serif"/>
                <w:b/>
                <w:color w:val="000000"/>
                <w:sz w:val="18"/>
              </w:rPr>
            </w:pPr>
            <w:r>
              <w:rPr>
                <w:rFonts w:ascii="Adelle Sans;sans-serif" w:hAnsi="Adelle Sans;sans-serif"/>
                <w:b/>
                <w:color w:val="000000"/>
                <w:sz w:val="18"/>
              </w:rPr>
              <w:t>Jun 30, 2026</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Adelle Sans;sans-serif" w:hAnsi="Adelle Sans;sans-serif"/>
                <w:b/>
                <w:color w:val="000000"/>
                <w:sz w:val="18"/>
              </w:rPr>
            </w:pPr>
            <w:r>
              <w:rPr>
                <w:rFonts w:ascii="Adelle Sans;sans-serif" w:hAnsi="Adelle Sans;sans-serif"/>
                <w:b/>
                <w:color w:val="000000"/>
                <w:sz w:val="18"/>
              </w:rPr>
              <w:t>Mar 31, 2026</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Adelle Sans;sans-serif" w:hAnsi="Adelle Sans;sans-serif"/>
                <w:b/>
                <w:color w:val="000000"/>
                <w:sz w:val="18"/>
              </w:rPr>
            </w:pPr>
            <w:r>
              <w:rPr>
                <w:rFonts w:ascii="Adelle Sans;sans-serif" w:hAnsi="Adelle Sans;sans-serif"/>
                <w:b/>
                <w:color w:val="000000"/>
                <w:sz w:val="18"/>
              </w:rPr>
              <w:t>Dec 31, 2025</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Adelle Sans;sans-serif" w:hAnsi="Adelle Sans;sans-serif"/>
                <w:b/>
                <w:color w:val="000000"/>
                <w:sz w:val="18"/>
              </w:rPr>
            </w:pPr>
            <w:r>
              <w:rPr>
                <w:rFonts w:ascii="Adelle Sans;sans-serif" w:hAnsi="Adelle Sans;sans-serif"/>
                <w:b/>
                <w:color w:val="000000"/>
                <w:sz w:val="18"/>
              </w:rPr>
              <w:t>Sep 30, 2025</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Adelle Sans;sans-serif" w:hAnsi="Adelle Sans;sans-serif"/>
                <w:b/>
                <w:color w:val="000000"/>
                <w:sz w:val="18"/>
              </w:rPr>
            </w:pPr>
            <w:r>
              <w:rPr>
                <w:rFonts w:ascii="Adelle Sans;sans-serif" w:hAnsi="Adelle Sans;sans-serif"/>
                <w:b/>
                <w:color w:val="000000"/>
                <w:sz w:val="18"/>
              </w:rPr>
              <w:t>Jun 30, 2025</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Adelle Sans;sans-serif" w:hAnsi="Adelle Sans;sans-serif"/>
                <w:b/>
                <w:color w:val="000000"/>
                <w:sz w:val="18"/>
              </w:rPr>
            </w:pPr>
            <w:r>
              <w:rPr>
                <w:rFonts w:ascii="Adelle Sans;sans-serif" w:hAnsi="Adelle Sans;sans-serif"/>
                <w:b/>
                <w:color w:val="000000"/>
                <w:sz w:val="18"/>
              </w:rPr>
              <w:t>Mar 31, 2025</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Adelle Sans;sans-serif" w:hAnsi="Adelle Sans;sans-serif"/>
                <w:b/>
                <w:color w:val="000000"/>
                <w:sz w:val="18"/>
              </w:rPr>
            </w:pPr>
            <w:r>
              <w:rPr>
                <w:rFonts w:ascii="Adelle Sans;sans-serif" w:hAnsi="Adelle Sans;sans-serif"/>
                <w:b/>
                <w:color w:val="000000"/>
                <w:sz w:val="18"/>
              </w:rPr>
              <w:t>Dec 31, 2024</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Adelle Sans;sans-serif" w:hAnsi="Adelle Sans;sans-serif"/>
                <w:b/>
                <w:color w:val="000000"/>
                <w:sz w:val="18"/>
              </w:rPr>
            </w:pPr>
            <w:r>
              <w:rPr>
                <w:rFonts w:ascii="Adelle Sans;sans-serif" w:hAnsi="Adelle Sans;sans-serif"/>
                <w:b/>
                <w:color w:val="000000"/>
                <w:sz w:val="18"/>
              </w:rPr>
              <w:t>Sep 30, 2024</w:t>
            </w:r>
          </w:p>
        </w:tc>
      </w:tr>
      <w:tr>
        <w:trPr/>
        <w:tc>
          <w:tcPr>
            <w:tcW w:w="14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2" w:type="dxa"/>
            <w:gridSpan w:val="45"/>
            <w:tcBorders/>
            <w:tcMar>
              <w:top w:w="0" w:type="dxa"/>
              <w:left w:w="0" w:type="dxa"/>
              <w:bottom w:w="0" w:type="dxa"/>
              <w:right w:w="0" w:type="dxa"/>
            </w:tcMar>
            <w:vAlign w:val="center"/>
          </w:tcPr>
          <w:p>
            <w:pPr>
              <w:pStyle w:val="TableContents"/>
              <w:bidi w:val="0"/>
              <w:spacing w:lineRule="auto" w:line="240" w:before="0" w:after="283"/>
              <w:jc w:val="center"/>
              <w:rPr>
                <w:rFonts w:ascii="Adelle Sans;sans-serif" w:hAnsi="Adelle Sans;sans-serif"/>
                <w:b w:val="false"/>
                <w:color w:val="000000"/>
                <w:sz w:val="18"/>
              </w:rPr>
            </w:pPr>
            <w:r>
              <w:rPr>
                <w:rFonts w:ascii="Adelle Sans;sans-serif" w:hAnsi="Adelle Sans;sans-serif"/>
                <w:b w:val="false"/>
                <w:color w:val="000000"/>
                <w:sz w:val="18"/>
              </w:rPr>
              <w:t>(in US $ millions, except per share amounts)</w:t>
            </w:r>
          </w:p>
        </w:tc>
      </w:tr>
      <w:tr>
        <w:trPr/>
        <w:tc>
          <w:tcPr>
            <w:tcW w:w="14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delle Sans;sans-serif" w:hAnsi="Adelle Sans;sans-serif"/>
                <w:b/>
                <w:color w:val="000000"/>
                <w:sz w:val="18"/>
              </w:rPr>
            </w:pPr>
            <w:r>
              <w:rPr>
                <w:rFonts w:ascii="Adelle Sans;sans-serif" w:hAnsi="Adelle Sans;sans-serif"/>
                <w:b/>
                <w:color w:val="000000"/>
                <w:sz w:val="18"/>
              </w:rPr>
              <w:t>Revenues</w:t>
            </w:r>
          </w:p>
        </w:tc>
        <w:tc>
          <w:tcPr>
            <w:tcW w:w="9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6" w:type="dxa"/>
            <w:gridSpan w:val="3"/>
            <w:tcBorders/>
            <w:shd w:fill="F7F7F7" w:val="clear"/>
            <w:tcMar>
              <w:top w:w="0" w:type="dxa"/>
              <w:left w:w="0" w:type="dxa"/>
              <w:bottom w:w="0" w:type="dxa"/>
              <w:right w:w="0" w:type="dxa"/>
            </w:tcMar>
            <w:vAlign w:val="center"/>
          </w:tcPr>
          <w:p>
            <w:pPr>
              <w:pStyle w:val="TableContents"/>
              <w:bidi w:val="0"/>
              <w:spacing w:lineRule="auto" w:line="240" w:before="0" w:after="283"/>
              <w:jc w:val="left"/>
              <w:rPr>
                <w:rFonts w:ascii="Adelle Sans;sans-serif" w:hAnsi="Adelle Sans;sans-serif"/>
                <w:b w:val="false"/>
                <w:color w:val="000000"/>
                <w:sz w:val="18"/>
              </w:rPr>
            </w:pPr>
            <w:r>
              <w:rPr>
                <w:rFonts w:ascii="Adelle Sans;sans-serif" w:hAnsi="Adelle Sans;sans-serif"/>
                <w:b w:val="false"/>
                <w:color w:val="000000"/>
                <w:sz w:val="18"/>
              </w:rPr>
              <w:t>Subscription solutions</w:t>
            </w:r>
          </w:p>
        </w:tc>
        <w:tc>
          <w:tcPr>
            <w:tcW w:w="812" w:type="dxa"/>
            <w:gridSpan w:val="2"/>
            <w:tcBorders/>
            <w:shd w:fill="F7F7F7"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802 </w:t>
            </w:r>
          </w:p>
        </w:tc>
        <w:tc>
          <w:tcPr>
            <w:tcW w:w="109" w:type="dxa"/>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7F7F7"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750 </w:t>
            </w:r>
          </w:p>
        </w:tc>
        <w:tc>
          <w:tcPr>
            <w:tcW w:w="109" w:type="dxa"/>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7F7F7"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777 </w:t>
            </w:r>
          </w:p>
        </w:tc>
        <w:tc>
          <w:tcPr>
            <w:tcW w:w="109" w:type="dxa"/>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7F7F7"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699 </w:t>
            </w:r>
          </w:p>
        </w:tc>
        <w:tc>
          <w:tcPr>
            <w:tcW w:w="109" w:type="dxa"/>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7F7F7"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656 </w:t>
            </w:r>
          </w:p>
        </w:tc>
        <w:tc>
          <w:tcPr>
            <w:tcW w:w="109" w:type="dxa"/>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7F7F7"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620 </w:t>
            </w:r>
          </w:p>
        </w:tc>
        <w:tc>
          <w:tcPr>
            <w:tcW w:w="109" w:type="dxa"/>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7F7F7"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666 </w:t>
            </w:r>
          </w:p>
        </w:tc>
        <w:tc>
          <w:tcPr>
            <w:tcW w:w="109" w:type="dxa"/>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7F7F7"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610 </w:t>
            </w:r>
          </w:p>
        </w:tc>
        <w:tc>
          <w:tcPr>
            <w:tcW w:w="154" w:type="dxa"/>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delle Sans;sans-serif" w:hAnsi="Adelle Sans;sans-serif"/>
                <w:b w:val="false"/>
                <w:color w:val="000000"/>
                <w:sz w:val="18"/>
              </w:rPr>
            </w:pPr>
            <w:r>
              <w:rPr>
                <w:rFonts w:ascii="Adelle Sans;sans-serif" w:hAnsi="Adelle Sans;sans-serif"/>
                <w:b w:val="false"/>
                <w:color w:val="000000"/>
                <w:sz w:val="18"/>
              </w:rPr>
              <w:t>Merchant solutions</w:t>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2,781 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2,420 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2,895 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2,145 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2,024 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1,740 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2,146 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1,552 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6"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top w:val="single" w:sz="8" w:space="0" w:color="000000"/>
            </w:tcBorders>
            <w:shd w:fill="F7F7F7" w:val="clear"/>
            <w:tcMar>
              <w:top w:w="52" w:type="dxa"/>
              <w:left w:w="0" w:type="dxa"/>
              <w:bottom w:w="0" w:type="dxa"/>
              <w:right w:w="0" w:type="dxa"/>
            </w:tcMar>
            <w:vAlign w:val="center"/>
          </w:tcPr>
          <w:p>
            <w:pPr>
              <w:pStyle w:val="TableContents"/>
              <w:bidi w:val="0"/>
              <w:spacing w:lineRule="auto" w:line="240" w:before="0" w:after="283"/>
              <w:jc w:val="right"/>
              <w:rPr/>
            </w:pPr>
            <w:r>
              <w:rPr>
                <w:rFonts w:ascii="Adelle Sans;sans-serif" w:hAnsi="Adelle Sans;sans-serif"/>
                <w:b/>
                <w:color w:val="000000"/>
                <w:sz w:val="18"/>
              </w:rPr>
              <w:t>3,583</w:t>
            </w:r>
            <w:r>
              <w:rPr>
                <w:color w:val="000000"/>
              </w:rPr>
              <w:t> </w:t>
            </w:r>
          </w:p>
        </w:tc>
        <w:tc>
          <w:tcPr>
            <w:tcW w:w="109" w:type="dxa"/>
            <w:tcBorders>
              <w:top w:val="single" w:sz="8" w:space="0" w:color="000000"/>
            </w:tcBorders>
            <w:shd w:fill="F7F7F7"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7F7F7"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7F7F7" w:val="clear"/>
            <w:tcMar>
              <w:top w:w="52" w:type="dxa"/>
              <w:left w:w="0" w:type="dxa"/>
              <w:bottom w:w="0" w:type="dxa"/>
              <w:right w:w="0" w:type="dxa"/>
            </w:tcMar>
            <w:vAlign w:val="center"/>
          </w:tcPr>
          <w:p>
            <w:pPr>
              <w:pStyle w:val="TableContents"/>
              <w:bidi w:val="0"/>
              <w:spacing w:lineRule="auto" w:line="240" w:before="0" w:after="283"/>
              <w:jc w:val="right"/>
              <w:rPr/>
            </w:pPr>
            <w:r>
              <w:rPr>
                <w:rFonts w:ascii="Adelle Sans;sans-serif" w:hAnsi="Adelle Sans;sans-serif"/>
                <w:b/>
                <w:color w:val="000000"/>
                <w:sz w:val="18"/>
              </w:rPr>
              <w:t>3,170</w:t>
            </w:r>
            <w:r>
              <w:rPr>
                <w:color w:val="000000"/>
              </w:rPr>
              <w:t> </w:t>
            </w:r>
          </w:p>
        </w:tc>
        <w:tc>
          <w:tcPr>
            <w:tcW w:w="109" w:type="dxa"/>
            <w:tcBorders>
              <w:top w:val="single" w:sz="8" w:space="0" w:color="000000"/>
            </w:tcBorders>
            <w:shd w:fill="F7F7F7"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7F7F7"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top w:val="single" w:sz="8" w:space="0" w:color="000000"/>
            </w:tcBorders>
            <w:shd w:fill="F7F7F7" w:val="clear"/>
            <w:tcMar>
              <w:top w:w="52" w:type="dxa"/>
              <w:left w:w="0" w:type="dxa"/>
              <w:bottom w:w="0" w:type="dxa"/>
              <w:right w:w="0" w:type="dxa"/>
            </w:tcMar>
            <w:vAlign w:val="center"/>
          </w:tcPr>
          <w:p>
            <w:pPr>
              <w:pStyle w:val="TableContents"/>
              <w:bidi w:val="0"/>
              <w:spacing w:lineRule="auto" w:line="240" w:before="0" w:after="283"/>
              <w:jc w:val="right"/>
              <w:rPr/>
            </w:pPr>
            <w:r>
              <w:rPr>
                <w:rFonts w:ascii="Adelle Sans;sans-serif" w:hAnsi="Adelle Sans;sans-serif"/>
                <w:b/>
                <w:color w:val="000000"/>
                <w:sz w:val="18"/>
              </w:rPr>
              <w:t>3,672</w:t>
            </w:r>
            <w:r>
              <w:rPr>
                <w:color w:val="000000"/>
              </w:rPr>
              <w:t> </w:t>
            </w:r>
          </w:p>
        </w:tc>
        <w:tc>
          <w:tcPr>
            <w:tcW w:w="109" w:type="dxa"/>
            <w:tcBorders>
              <w:top w:val="single" w:sz="8" w:space="0" w:color="000000"/>
            </w:tcBorders>
            <w:shd w:fill="F7F7F7"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7F7F7"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top w:val="single" w:sz="8" w:space="0" w:color="000000"/>
            </w:tcBorders>
            <w:shd w:fill="F7F7F7" w:val="clear"/>
            <w:tcMar>
              <w:top w:w="52" w:type="dxa"/>
              <w:left w:w="0" w:type="dxa"/>
              <w:bottom w:w="0" w:type="dxa"/>
              <w:right w:w="0" w:type="dxa"/>
            </w:tcMar>
            <w:vAlign w:val="center"/>
          </w:tcPr>
          <w:p>
            <w:pPr>
              <w:pStyle w:val="TableContents"/>
              <w:bidi w:val="0"/>
              <w:spacing w:lineRule="auto" w:line="240" w:before="0" w:after="283"/>
              <w:jc w:val="right"/>
              <w:rPr/>
            </w:pPr>
            <w:r>
              <w:rPr>
                <w:rFonts w:ascii="Adelle Sans;sans-serif" w:hAnsi="Adelle Sans;sans-serif"/>
                <w:b/>
                <w:color w:val="000000"/>
                <w:sz w:val="18"/>
              </w:rPr>
              <w:t>2,844</w:t>
            </w:r>
            <w:r>
              <w:rPr>
                <w:color w:val="000000"/>
              </w:rPr>
              <w:t> </w:t>
            </w:r>
          </w:p>
        </w:tc>
        <w:tc>
          <w:tcPr>
            <w:tcW w:w="109" w:type="dxa"/>
            <w:tcBorders>
              <w:top w:val="single" w:sz="8" w:space="0" w:color="000000"/>
            </w:tcBorders>
            <w:shd w:fill="F7F7F7"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7F7F7"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top w:val="single" w:sz="8" w:space="0" w:color="000000"/>
            </w:tcBorders>
            <w:shd w:fill="F7F7F7" w:val="clear"/>
            <w:tcMar>
              <w:top w:w="52" w:type="dxa"/>
              <w:left w:w="0" w:type="dxa"/>
              <w:bottom w:w="0" w:type="dxa"/>
              <w:right w:w="0" w:type="dxa"/>
            </w:tcMar>
            <w:vAlign w:val="center"/>
          </w:tcPr>
          <w:p>
            <w:pPr>
              <w:pStyle w:val="TableContents"/>
              <w:bidi w:val="0"/>
              <w:spacing w:lineRule="auto" w:line="240" w:before="0" w:after="283"/>
              <w:jc w:val="right"/>
              <w:rPr/>
            </w:pPr>
            <w:r>
              <w:rPr>
                <w:rFonts w:ascii="Adelle Sans;sans-serif" w:hAnsi="Adelle Sans;sans-serif"/>
                <w:b/>
                <w:color w:val="000000"/>
                <w:sz w:val="18"/>
              </w:rPr>
              <w:t>2,680</w:t>
            </w:r>
            <w:r>
              <w:rPr>
                <w:color w:val="000000"/>
              </w:rPr>
              <w:t> </w:t>
            </w:r>
          </w:p>
        </w:tc>
        <w:tc>
          <w:tcPr>
            <w:tcW w:w="109" w:type="dxa"/>
            <w:tcBorders>
              <w:top w:val="single" w:sz="8" w:space="0" w:color="000000"/>
            </w:tcBorders>
            <w:shd w:fill="F7F7F7"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7F7F7"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7F7F7" w:val="clear"/>
            <w:tcMar>
              <w:top w:w="52" w:type="dxa"/>
              <w:left w:w="0" w:type="dxa"/>
              <w:bottom w:w="0" w:type="dxa"/>
              <w:right w:w="0" w:type="dxa"/>
            </w:tcMar>
            <w:vAlign w:val="center"/>
          </w:tcPr>
          <w:p>
            <w:pPr>
              <w:pStyle w:val="TableContents"/>
              <w:bidi w:val="0"/>
              <w:spacing w:lineRule="auto" w:line="240" w:before="0" w:after="283"/>
              <w:jc w:val="right"/>
              <w:rPr/>
            </w:pPr>
            <w:r>
              <w:rPr>
                <w:rFonts w:ascii="Adelle Sans;sans-serif" w:hAnsi="Adelle Sans;sans-serif"/>
                <w:b/>
                <w:color w:val="000000"/>
                <w:sz w:val="18"/>
              </w:rPr>
              <w:t>2,360</w:t>
            </w:r>
            <w:r>
              <w:rPr>
                <w:color w:val="000000"/>
              </w:rPr>
              <w:t> </w:t>
            </w:r>
          </w:p>
        </w:tc>
        <w:tc>
          <w:tcPr>
            <w:tcW w:w="109" w:type="dxa"/>
            <w:tcBorders>
              <w:top w:val="single" w:sz="8" w:space="0" w:color="000000"/>
            </w:tcBorders>
            <w:shd w:fill="F7F7F7"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7F7F7"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top w:val="single" w:sz="8" w:space="0" w:color="000000"/>
            </w:tcBorders>
            <w:shd w:fill="F7F7F7" w:val="clear"/>
            <w:tcMar>
              <w:top w:w="52" w:type="dxa"/>
              <w:left w:w="0" w:type="dxa"/>
              <w:bottom w:w="0" w:type="dxa"/>
              <w:right w:w="0" w:type="dxa"/>
            </w:tcMar>
            <w:vAlign w:val="center"/>
          </w:tcPr>
          <w:p>
            <w:pPr>
              <w:pStyle w:val="TableContents"/>
              <w:bidi w:val="0"/>
              <w:spacing w:lineRule="auto" w:line="240" w:before="0" w:after="283"/>
              <w:jc w:val="right"/>
              <w:rPr/>
            </w:pPr>
            <w:r>
              <w:rPr>
                <w:rFonts w:ascii="Adelle Sans;sans-serif" w:hAnsi="Adelle Sans;sans-serif"/>
                <w:b/>
                <w:color w:val="000000"/>
                <w:sz w:val="18"/>
              </w:rPr>
              <w:t>2,812</w:t>
            </w:r>
            <w:r>
              <w:rPr>
                <w:color w:val="000000"/>
              </w:rPr>
              <w:t> </w:t>
            </w:r>
          </w:p>
        </w:tc>
        <w:tc>
          <w:tcPr>
            <w:tcW w:w="109" w:type="dxa"/>
            <w:tcBorders>
              <w:top w:val="single" w:sz="8" w:space="0" w:color="000000"/>
            </w:tcBorders>
            <w:shd w:fill="F7F7F7"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7F7F7"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top w:val="single" w:sz="8" w:space="0" w:color="000000"/>
            </w:tcBorders>
            <w:shd w:fill="F7F7F7" w:val="clear"/>
            <w:tcMar>
              <w:top w:w="52" w:type="dxa"/>
              <w:left w:w="0" w:type="dxa"/>
              <w:bottom w:w="0" w:type="dxa"/>
              <w:right w:w="0" w:type="dxa"/>
            </w:tcMar>
            <w:vAlign w:val="center"/>
          </w:tcPr>
          <w:p>
            <w:pPr>
              <w:pStyle w:val="TableContents"/>
              <w:bidi w:val="0"/>
              <w:spacing w:lineRule="auto" w:line="240" w:before="0" w:after="283"/>
              <w:jc w:val="right"/>
              <w:rPr/>
            </w:pPr>
            <w:r>
              <w:rPr>
                <w:rFonts w:ascii="Adelle Sans;sans-serif" w:hAnsi="Adelle Sans;sans-serif"/>
                <w:b/>
                <w:color w:val="000000"/>
                <w:sz w:val="18"/>
              </w:rPr>
              <w:t>2,162</w:t>
            </w:r>
            <w:r>
              <w:rPr>
                <w:color w:val="000000"/>
              </w:rPr>
              <w:t> </w:t>
            </w:r>
          </w:p>
        </w:tc>
        <w:tc>
          <w:tcPr>
            <w:tcW w:w="154" w:type="dxa"/>
            <w:tcBorders>
              <w:top w:val="single" w:sz="8" w:space="0" w:color="000000"/>
            </w:tcBorders>
            <w:shd w:fill="F7F7F7"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0"/>
              <w:jc w:val="left"/>
              <w:rPr/>
            </w:pPr>
            <w:r>
              <w:rPr>
                <w:rFonts w:ascii="Adelle Sans;sans-serif" w:hAnsi="Adelle Sans;sans-serif"/>
                <w:b/>
                <w:color w:val="000000"/>
                <w:sz w:val="18"/>
              </w:rPr>
              <w:t>Cost of revenues</w:t>
            </w:r>
            <w:r>
              <w:rPr>
                <w:rFonts w:ascii="Adelle Sans;sans-serif" w:hAnsi="Adelle Sans;sans-serif"/>
                <w:b/>
                <w:color w:val="000000"/>
                <w:sz w:val="12"/>
              </w:rPr>
              <w:t>(1)(2)</w:t>
            </w:r>
          </w:p>
        </w:tc>
        <w:tc>
          <w:tcPr>
            <w:tcW w:w="92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6" w:type="dxa"/>
            <w:gridSpan w:val="3"/>
            <w:tcBorders/>
            <w:shd w:fill="F7F7F7" w:val="clear"/>
            <w:tcMar>
              <w:top w:w="0" w:type="dxa"/>
              <w:left w:w="0" w:type="dxa"/>
              <w:bottom w:w="0" w:type="dxa"/>
              <w:right w:w="0" w:type="dxa"/>
            </w:tcMar>
            <w:vAlign w:val="center"/>
          </w:tcPr>
          <w:p>
            <w:pPr>
              <w:pStyle w:val="TableContents"/>
              <w:bidi w:val="0"/>
              <w:spacing w:lineRule="auto" w:line="240" w:before="0" w:after="283"/>
              <w:jc w:val="left"/>
              <w:rPr>
                <w:rFonts w:ascii="Adelle Sans;sans-serif" w:hAnsi="Adelle Sans;sans-serif"/>
                <w:b w:val="false"/>
                <w:color w:val="000000"/>
                <w:sz w:val="18"/>
              </w:rPr>
            </w:pPr>
            <w:r>
              <w:rPr>
                <w:rFonts w:ascii="Adelle Sans;sans-serif" w:hAnsi="Adelle Sans;sans-serif"/>
                <w:b w:val="false"/>
                <w:color w:val="000000"/>
                <w:sz w:val="18"/>
              </w:rPr>
              <w:t>Subscription solutions</w:t>
            </w:r>
          </w:p>
        </w:tc>
        <w:tc>
          <w:tcPr>
            <w:tcW w:w="812" w:type="dxa"/>
            <w:gridSpan w:val="2"/>
            <w:tcBorders/>
            <w:shd w:fill="F7F7F7"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163 </w:t>
            </w:r>
          </w:p>
        </w:tc>
        <w:tc>
          <w:tcPr>
            <w:tcW w:w="109" w:type="dxa"/>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7F7F7"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148 </w:t>
            </w:r>
          </w:p>
        </w:tc>
        <w:tc>
          <w:tcPr>
            <w:tcW w:w="109" w:type="dxa"/>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7F7F7"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148 </w:t>
            </w:r>
          </w:p>
        </w:tc>
        <w:tc>
          <w:tcPr>
            <w:tcW w:w="109" w:type="dxa"/>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7F7F7"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128 </w:t>
            </w:r>
          </w:p>
        </w:tc>
        <w:tc>
          <w:tcPr>
            <w:tcW w:w="109" w:type="dxa"/>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7F7F7"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121 </w:t>
            </w:r>
          </w:p>
        </w:tc>
        <w:tc>
          <w:tcPr>
            <w:tcW w:w="109" w:type="dxa"/>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7F7F7"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123 </w:t>
            </w:r>
          </w:p>
        </w:tc>
        <w:tc>
          <w:tcPr>
            <w:tcW w:w="109" w:type="dxa"/>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7F7F7"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134 </w:t>
            </w:r>
          </w:p>
        </w:tc>
        <w:tc>
          <w:tcPr>
            <w:tcW w:w="109" w:type="dxa"/>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7F7F7"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108 </w:t>
            </w:r>
          </w:p>
        </w:tc>
        <w:tc>
          <w:tcPr>
            <w:tcW w:w="154" w:type="dxa"/>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delle Sans;sans-serif" w:hAnsi="Adelle Sans;sans-serif"/>
                <w:b w:val="false"/>
                <w:color w:val="000000"/>
                <w:sz w:val="18"/>
              </w:rPr>
            </w:pPr>
            <w:r>
              <w:rPr>
                <w:rFonts w:ascii="Adelle Sans;sans-serif" w:hAnsi="Adelle Sans;sans-serif"/>
                <w:b w:val="false"/>
                <w:color w:val="000000"/>
                <w:sz w:val="18"/>
              </w:rPr>
              <w:t>Merchant solutions</w:t>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1,712 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1,476 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1,831 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1,325 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1,257 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1,068 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1,326 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936 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6"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top w:val="single" w:sz="4" w:space="0" w:color="000000"/>
            </w:tcBorders>
            <w:shd w:fill="F7F7F7" w:val="clear"/>
            <w:tcMar>
              <w:top w:w="52"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1,875 </w:t>
            </w:r>
          </w:p>
        </w:tc>
        <w:tc>
          <w:tcPr>
            <w:tcW w:w="109" w:type="dxa"/>
            <w:tcBorders>
              <w:top w:val="single" w:sz="4" w:space="0" w:color="000000"/>
            </w:tcBorders>
            <w:shd w:fill="F7F7F7"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7F7F7"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4" w:space="0" w:color="000000"/>
            </w:tcBorders>
            <w:shd w:fill="F7F7F7" w:val="clear"/>
            <w:tcMar>
              <w:top w:w="52"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1,624 </w:t>
            </w:r>
          </w:p>
        </w:tc>
        <w:tc>
          <w:tcPr>
            <w:tcW w:w="109" w:type="dxa"/>
            <w:tcBorders>
              <w:top w:val="single" w:sz="4" w:space="0" w:color="000000"/>
            </w:tcBorders>
            <w:shd w:fill="F7F7F7"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7F7F7"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top w:val="single" w:sz="4" w:space="0" w:color="000000"/>
            </w:tcBorders>
            <w:shd w:fill="F7F7F7" w:val="clear"/>
            <w:tcMar>
              <w:top w:w="52"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1,979 </w:t>
            </w:r>
          </w:p>
        </w:tc>
        <w:tc>
          <w:tcPr>
            <w:tcW w:w="109" w:type="dxa"/>
            <w:tcBorders>
              <w:top w:val="single" w:sz="4" w:space="0" w:color="000000"/>
            </w:tcBorders>
            <w:shd w:fill="F7F7F7"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7F7F7"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top w:val="single" w:sz="4" w:space="0" w:color="000000"/>
            </w:tcBorders>
            <w:shd w:fill="F7F7F7" w:val="clear"/>
            <w:tcMar>
              <w:top w:w="52"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1,453 </w:t>
            </w:r>
          </w:p>
        </w:tc>
        <w:tc>
          <w:tcPr>
            <w:tcW w:w="109" w:type="dxa"/>
            <w:tcBorders>
              <w:top w:val="single" w:sz="4" w:space="0" w:color="000000"/>
            </w:tcBorders>
            <w:shd w:fill="F7F7F7"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7F7F7"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top w:val="single" w:sz="4" w:space="0" w:color="000000"/>
            </w:tcBorders>
            <w:shd w:fill="F7F7F7" w:val="clear"/>
            <w:tcMar>
              <w:top w:w="52"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1,378 </w:t>
            </w:r>
          </w:p>
        </w:tc>
        <w:tc>
          <w:tcPr>
            <w:tcW w:w="109" w:type="dxa"/>
            <w:tcBorders>
              <w:top w:val="single" w:sz="4" w:space="0" w:color="000000"/>
            </w:tcBorders>
            <w:shd w:fill="F7F7F7"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7F7F7"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4" w:space="0" w:color="000000"/>
            </w:tcBorders>
            <w:shd w:fill="F7F7F7" w:val="clear"/>
            <w:tcMar>
              <w:top w:w="52"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1,191 </w:t>
            </w:r>
          </w:p>
        </w:tc>
        <w:tc>
          <w:tcPr>
            <w:tcW w:w="109" w:type="dxa"/>
            <w:tcBorders>
              <w:top w:val="single" w:sz="4" w:space="0" w:color="000000"/>
            </w:tcBorders>
            <w:shd w:fill="F7F7F7"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7F7F7"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top w:val="single" w:sz="4" w:space="0" w:color="000000"/>
            </w:tcBorders>
            <w:shd w:fill="F7F7F7" w:val="clear"/>
            <w:tcMar>
              <w:top w:w="52"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1,460 </w:t>
            </w:r>
          </w:p>
        </w:tc>
        <w:tc>
          <w:tcPr>
            <w:tcW w:w="109" w:type="dxa"/>
            <w:tcBorders>
              <w:top w:val="single" w:sz="4" w:space="0" w:color="000000"/>
            </w:tcBorders>
            <w:shd w:fill="F7F7F7"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7F7F7"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top w:val="single" w:sz="4" w:space="0" w:color="000000"/>
            </w:tcBorders>
            <w:shd w:fill="F7F7F7" w:val="clear"/>
            <w:tcMar>
              <w:top w:w="52"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1,044 </w:t>
            </w:r>
          </w:p>
        </w:tc>
        <w:tc>
          <w:tcPr>
            <w:tcW w:w="154" w:type="dxa"/>
            <w:tcBorders>
              <w:top w:val="single" w:sz="4" w:space="0" w:color="000000"/>
            </w:tcBorders>
            <w:shd w:fill="F7F7F7"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delle Sans;sans-serif" w:hAnsi="Adelle Sans;sans-serif"/>
                <w:b/>
                <w:color w:val="000000"/>
                <w:sz w:val="18"/>
              </w:rPr>
            </w:pPr>
            <w:r>
              <w:rPr>
                <w:rFonts w:ascii="Adelle Sans;sans-serif" w:hAnsi="Adelle Sans;sans-serif"/>
                <w:b/>
                <w:color w:val="000000"/>
                <w:sz w:val="18"/>
              </w:rPr>
              <w:t>Gross profit</w:t>
            </w:r>
          </w:p>
        </w:tc>
        <w:tc>
          <w:tcPr>
            <w:tcW w:w="81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delle Sans;sans-serif" w:hAnsi="Adelle Sans;sans-serif"/>
                <w:b/>
                <w:color w:val="000000"/>
                <w:sz w:val="18"/>
              </w:rPr>
              <w:t>1,708</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delle Sans;sans-serif" w:hAnsi="Adelle Sans;sans-serif"/>
                <w:b/>
                <w:color w:val="000000"/>
                <w:sz w:val="18"/>
              </w:rPr>
              <w:t>1,546</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delle Sans;sans-serif" w:hAnsi="Adelle Sans;sans-serif"/>
                <w:b/>
                <w:color w:val="000000"/>
                <w:sz w:val="18"/>
              </w:rPr>
              <w:t>1,693</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delle Sans;sans-serif" w:hAnsi="Adelle Sans;sans-serif"/>
                <w:b/>
                <w:color w:val="000000"/>
                <w:sz w:val="18"/>
              </w:rPr>
              <w:t>1,391</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delle Sans;sans-serif" w:hAnsi="Adelle Sans;sans-serif"/>
                <w:b/>
                <w:color w:val="000000"/>
                <w:sz w:val="18"/>
              </w:rPr>
              <w:t>1,302</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delle Sans;sans-serif" w:hAnsi="Adelle Sans;sans-serif"/>
                <w:b/>
                <w:color w:val="000000"/>
                <w:sz w:val="18"/>
              </w:rPr>
              <w:t>1,169</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delle Sans;sans-serif" w:hAnsi="Adelle Sans;sans-serif"/>
                <w:b/>
                <w:color w:val="000000"/>
                <w:sz w:val="18"/>
              </w:rPr>
              <w:t>1,352</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delle Sans;sans-serif" w:hAnsi="Adelle Sans;sans-serif"/>
                <w:b/>
                <w:color w:val="000000"/>
                <w:sz w:val="18"/>
              </w:rPr>
              <w:t>1,118</w:t>
            </w:r>
            <w:r>
              <w:rPr>
                <w:color w:val="000000"/>
              </w:rPr>
              <w:t>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6" w:type="dxa"/>
            <w:gridSpan w:val="3"/>
            <w:tcBorders>
              <w:top w:val="single" w:sz="8" w:space="0" w:color="000000"/>
            </w:tcBorders>
            <w:shd w:fill="F7F7F7" w:val="clear"/>
            <w:tcMar>
              <w:top w:w="52" w:type="dxa"/>
              <w:left w:w="0" w:type="dxa"/>
              <w:bottom w:w="0" w:type="dxa"/>
              <w:right w:w="0" w:type="dxa"/>
            </w:tcMar>
            <w:vAlign w:val="center"/>
          </w:tcPr>
          <w:p>
            <w:pPr>
              <w:pStyle w:val="TableContents"/>
              <w:bidi w:val="0"/>
              <w:spacing w:lineRule="auto" w:line="240" w:before="0" w:after="283"/>
              <w:jc w:val="left"/>
              <w:rPr>
                <w:rFonts w:ascii="Adelle Sans;sans-serif" w:hAnsi="Adelle Sans;sans-serif"/>
                <w:b/>
                <w:color w:val="000000"/>
                <w:sz w:val="18"/>
              </w:rPr>
            </w:pPr>
            <w:r>
              <w:rPr>
                <w:rFonts w:ascii="Adelle Sans;sans-serif" w:hAnsi="Adelle Sans;sans-serif"/>
                <w:b/>
                <w:color w:val="000000"/>
                <w:sz w:val="18"/>
              </w:rPr>
              <w:t>Operating expenses</w:t>
            </w:r>
          </w:p>
        </w:tc>
        <w:tc>
          <w:tcPr>
            <w:tcW w:w="921" w:type="dxa"/>
            <w:gridSpan w:val="3"/>
            <w:tcBorders>
              <w:top w:val="single" w:sz="8" w:space="0" w:color="000000"/>
            </w:tcBorders>
            <w:shd w:fill="F7F7F7"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7F7F7"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7F7F7"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7F7F7"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op w:val="single" w:sz="8" w:space="0" w:color="000000"/>
            </w:tcBorders>
            <w:shd w:fill="F7F7F7"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7F7F7"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op w:val="single" w:sz="8" w:space="0" w:color="000000"/>
            </w:tcBorders>
            <w:shd w:fill="F7F7F7"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7F7F7"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op w:val="single" w:sz="8" w:space="0" w:color="000000"/>
            </w:tcBorders>
            <w:shd w:fill="F7F7F7"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7F7F7"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7F7F7"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7F7F7"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op w:val="single" w:sz="8" w:space="0" w:color="000000"/>
            </w:tcBorders>
            <w:shd w:fill="F7F7F7"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7F7F7"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shd w:fill="F7F7F7"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delle Sans;sans-serif" w:hAnsi="Adelle Sans;sans-serif"/>
                <w:b w:val="false"/>
                <w:color w:val="000000"/>
                <w:sz w:val="18"/>
              </w:rPr>
              <w:t>Sales and marketing</w:t>
            </w:r>
            <w:r>
              <w:rPr>
                <w:rFonts w:ascii="Adelle Sans;sans-serif" w:hAnsi="Adelle Sans;sans-serif"/>
                <w:b w:val="false"/>
                <w:color w:val="000000"/>
                <w:sz w:val="12"/>
              </w:rPr>
              <w:t>(1)(2)</w:t>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498 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496 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433 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410 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415 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405 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348 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331 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6" w:type="dxa"/>
            <w:gridSpan w:val="3"/>
            <w:tcBorders/>
            <w:shd w:fill="F7F7F7" w:val="clear"/>
            <w:tcMar>
              <w:top w:w="0" w:type="dxa"/>
              <w:left w:w="0" w:type="dxa"/>
              <w:bottom w:w="0" w:type="dxa"/>
              <w:right w:w="0" w:type="dxa"/>
            </w:tcMar>
            <w:vAlign w:val="center"/>
          </w:tcPr>
          <w:p>
            <w:pPr>
              <w:pStyle w:val="TableContents"/>
              <w:bidi w:val="0"/>
              <w:spacing w:lineRule="auto" w:line="240" w:before="0" w:after="0"/>
              <w:jc w:val="left"/>
              <w:rPr/>
            </w:pPr>
            <w:r>
              <w:rPr>
                <w:rFonts w:ascii="Adelle Sans;sans-serif" w:hAnsi="Adelle Sans;sans-serif"/>
                <w:b w:val="false"/>
                <w:color w:val="000000"/>
                <w:sz w:val="18"/>
              </w:rPr>
              <w:t>Research and development</w:t>
            </w:r>
            <w:r>
              <w:rPr>
                <w:rFonts w:ascii="Adelle Sans;sans-serif" w:hAnsi="Adelle Sans;sans-serif"/>
                <w:b w:val="false"/>
                <w:color w:val="000000"/>
                <w:sz w:val="12"/>
              </w:rPr>
              <w:t>(1)(2)</w:t>
            </w:r>
          </w:p>
        </w:tc>
        <w:tc>
          <w:tcPr>
            <w:tcW w:w="812" w:type="dxa"/>
            <w:gridSpan w:val="2"/>
            <w:tcBorders/>
            <w:shd w:fill="F7F7F7"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445 </w:t>
            </w:r>
          </w:p>
        </w:tc>
        <w:tc>
          <w:tcPr>
            <w:tcW w:w="109" w:type="dxa"/>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7F7F7"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437 </w:t>
            </w:r>
          </w:p>
        </w:tc>
        <w:tc>
          <w:tcPr>
            <w:tcW w:w="109" w:type="dxa"/>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7F7F7"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390 </w:t>
            </w:r>
          </w:p>
        </w:tc>
        <w:tc>
          <w:tcPr>
            <w:tcW w:w="109" w:type="dxa"/>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7F7F7"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375 </w:t>
            </w:r>
          </w:p>
        </w:tc>
        <w:tc>
          <w:tcPr>
            <w:tcW w:w="109" w:type="dxa"/>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7F7F7"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394 </w:t>
            </w:r>
          </w:p>
        </w:tc>
        <w:tc>
          <w:tcPr>
            <w:tcW w:w="109" w:type="dxa"/>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7F7F7"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377 </w:t>
            </w:r>
          </w:p>
        </w:tc>
        <w:tc>
          <w:tcPr>
            <w:tcW w:w="109" w:type="dxa"/>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7F7F7"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351 </w:t>
            </w:r>
          </w:p>
        </w:tc>
        <w:tc>
          <w:tcPr>
            <w:tcW w:w="109" w:type="dxa"/>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7F7F7"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332 </w:t>
            </w:r>
          </w:p>
        </w:tc>
        <w:tc>
          <w:tcPr>
            <w:tcW w:w="154" w:type="dxa"/>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delle Sans;sans-serif" w:hAnsi="Adelle Sans;sans-serif"/>
                <w:b w:val="false"/>
                <w:color w:val="000000"/>
                <w:sz w:val="18"/>
              </w:rPr>
              <w:t>General and administrative</w:t>
            </w:r>
            <w:r>
              <w:rPr>
                <w:rFonts w:ascii="Adelle Sans;sans-serif" w:hAnsi="Adelle Sans;sans-serif"/>
                <w:b w:val="false"/>
                <w:color w:val="000000"/>
                <w:sz w:val="12"/>
              </w:rPr>
              <w:t>(1)(3)</w:t>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136 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115 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125 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115 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122 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109 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112 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114 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6" w:type="dxa"/>
            <w:gridSpan w:val="3"/>
            <w:tcBorders/>
            <w:shd w:fill="F7F7F7" w:val="clear"/>
            <w:tcMar>
              <w:top w:w="0" w:type="dxa"/>
              <w:left w:w="0" w:type="dxa"/>
              <w:bottom w:w="0" w:type="dxa"/>
              <w:right w:w="0" w:type="dxa"/>
            </w:tcMar>
            <w:vAlign w:val="center"/>
          </w:tcPr>
          <w:p>
            <w:pPr>
              <w:pStyle w:val="TableContents"/>
              <w:bidi w:val="0"/>
              <w:spacing w:lineRule="auto" w:line="240" w:before="0" w:after="283"/>
              <w:jc w:val="left"/>
              <w:rPr>
                <w:rFonts w:ascii="Adelle Sans;sans-serif" w:hAnsi="Adelle Sans;sans-serif"/>
                <w:b w:val="false"/>
                <w:color w:val="000000"/>
                <w:sz w:val="18"/>
              </w:rPr>
            </w:pPr>
            <w:r>
              <w:rPr>
                <w:rFonts w:ascii="Adelle Sans;sans-serif" w:hAnsi="Adelle Sans;sans-serif"/>
                <w:b w:val="false"/>
                <w:color w:val="000000"/>
                <w:sz w:val="18"/>
              </w:rPr>
              <w:t>Transaction and loan losses</w:t>
            </w:r>
          </w:p>
        </w:tc>
        <w:tc>
          <w:tcPr>
            <w:tcW w:w="812" w:type="dxa"/>
            <w:gridSpan w:val="2"/>
            <w:tcBorders/>
            <w:shd w:fill="F7F7F7"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141 </w:t>
            </w:r>
          </w:p>
        </w:tc>
        <w:tc>
          <w:tcPr>
            <w:tcW w:w="109" w:type="dxa"/>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7F7F7"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116 </w:t>
            </w:r>
          </w:p>
        </w:tc>
        <w:tc>
          <w:tcPr>
            <w:tcW w:w="109" w:type="dxa"/>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7F7F7"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114 </w:t>
            </w:r>
          </w:p>
        </w:tc>
        <w:tc>
          <w:tcPr>
            <w:tcW w:w="109" w:type="dxa"/>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7F7F7"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148 </w:t>
            </w:r>
          </w:p>
        </w:tc>
        <w:tc>
          <w:tcPr>
            <w:tcW w:w="109" w:type="dxa"/>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7F7F7"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80 </w:t>
            </w:r>
          </w:p>
        </w:tc>
        <w:tc>
          <w:tcPr>
            <w:tcW w:w="109" w:type="dxa"/>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7F7F7"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75 </w:t>
            </w:r>
          </w:p>
        </w:tc>
        <w:tc>
          <w:tcPr>
            <w:tcW w:w="109" w:type="dxa"/>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7F7F7"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76 </w:t>
            </w:r>
          </w:p>
        </w:tc>
        <w:tc>
          <w:tcPr>
            <w:tcW w:w="109" w:type="dxa"/>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7F7F7"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58 </w:t>
            </w:r>
          </w:p>
        </w:tc>
        <w:tc>
          <w:tcPr>
            <w:tcW w:w="154" w:type="dxa"/>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6"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r>
      <w:tr>
        <w:trPr/>
        <w:tc>
          <w:tcPr>
            <w:tcW w:w="14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delle Sans;sans-serif" w:hAnsi="Adelle Sans;sans-serif"/>
                <w:b w:val="false"/>
                <w:color w:val="000000"/>
                <w:sz w:val="18"/>
              </w:rPr>
            </w:pPr>
            <w:r>
              <w:rPr>
                <w:rFonts w:ascii="Adelle Sans;sans-serif" w:hAnsi="Adelle Sans;sans-serif"/>
                <w:b w:val="false"/>
                <w:color w:val="000000"/>
                <w:sz w:val="18"/>
              </w:rPr>
              <w:t>Total operating expenses</w:t>
            </w:r>
          </w:p>
        </w:tc>
        <w:tc>
          <w:tcPr>
            <w:tcW w:w="812"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1,220 </w:t>
            </w:r>
          </w:p>
        </w:tc>
        <w:tc>
          <w:tcPr>
            <w:tcW w:w="109"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1,164 </w:t>
            </w:r>
          </w:p>
        </w:tc>
        <w:tc>
          <w:tcPr>
            <w:tcW w:w="109"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1,062 </w:t>
            </w:r>
          </w:p>
        </w:tc>
        <w:tc>
          <w:tcPr>
            <w:tcW w:w="109"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1,048 </w:t>
            </w:r>
          </w:p>
        </w:tc>
        <w:tc>
          <w:tcPr>
            <w:tcW w:w="109"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1,011 </w:t>
            </w:r>
          </w:p>
        </w:tc>
        <w:tc>
          <w:tcPr>
            <w:tcW w:w="109"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966 </w:t>
            </w:r>
          </w:p>
        </w:tc>
        <w:tc>
          <w:tcPr>
            <w:tcW w:w="109"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887 </w:t>
            </w:r>
          </w:p>
        </w:tc>
        <w:tc>
          <w:tcPr>
            <w:tcW w:w="109"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835 </w:t>
            </w:r>
          </w:p>
        </w:tc>
        <w:tc>
          <w:tcPr>
            <w:tcW w:w="154"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6" w:type="dxa"/>
            <w:gridSpan w:val="3"/>
            <w:tcBorders/>
            <w:shd w:fill="F7F7F7" w:val="clear"/>
            <w:tcMar>
              <w:top w:w="0" w:type="dxa"/>
              <w:left w:w="0" w:type="dxa"/>
              <w:bottom w:w="0" w:type="dxa"/>
              <w:right w:w="0" w:type="dxa"/>
            </w:tcMar>
            <w:vAlign w:val="center"/>
          </w:tcPr>
          <w:p>
            <w:pPr>
              <w:pStyle w:val="TableContents"/>
              <w:bidi w:val="0"/>
              <w:spacing w:lineRule="auto" w:line="240" w:before="0" w:after="283"/>
              <w:jc w:val="left"/>
              <w:rPr>
                <w:rFonts w:ascii="Adelle Sans;sans-serif" w:hAnsi="Adelle Sans;sans-serif"/>
                <w:b/>
                <w:color w:val="000000"/>
                <w:sz w:val="18"/>
              </w:rPr>
            </w:pPr>
            <w:r>
              <w:rPr>
                <w:rFonts w:ascii="Adelle Sans;sans-serif" w:hAnsi="Adelle Sans;sans-serif"/>
                <w:b/>
                <w:color w:val="000000"/>
                <w:sz w:val="18"/>
              </w:rPr>
              <w:t>Income from operations</w:t>
            </w:r>
          </w:p>
        </w:tc>
        <w:tc>
          <w:tcPr>
            <w:tcW w:w="812" w:type="dxa"/>
            <w:gridSpan w:val="2"/>
            <w:tcBorders>
              <w:top w:val="single" w:sz="8" w:space="0" w:color="000000"/>
            </w:tcBorders>
            <w:shd w:fill="F7F7F7" w:val="clear"/>
            <w:tcMar>
              <w:top w:w="52" w:type="dxa"/>
              <w:left w:w="0" w:type="dxa"/>
              <w:bottom w:w="0" w:type="dxa"/>
              <w:right w:w="0" w:type="dxa"/>
            </w:tcMar>
            <w:vAlign w:val="center"/>
          </w:tcPr>
          <w:p>
            <w:pPr>
              <w:pStyle w:val="TableContents"/>
              <w:bidi w:val="0"/>
              <w:spacing w:lineRule="auto" w:line="240" w:before="0" w:after="283"/>
              <w:jc w:val="right"/>
              <w:rPr/>
            </w:pPr>
            <w:r>
              <w:rPr>
                <w:rFonts w:ascii="Adelle Sans;sans-serif" w:hAnsi="Adelle Sans;sans-serif"/>
                <w:b/>
                <w:color w:val="000000"/>
                <w:sz w:val="18"/>
              </w:rPr>
              <w:t>488</w:t>
            </w:r>
            <w:r>
              <w:rPr>
                <w:color w:val="000000"/>
              </w:rPr>
              <w:t> </w:t>
            </w:r>
          </w:p>
        </w:tc>
        <w:tc>
          <w:tcPr>
            <w:tcW w:w="109" w:type="dxa"/>
            <w:tcBorders>
              <w:top w:val="single" w:sz="8" w:space="0" w:color="000000"/>
            </w:tcBorders>
            <w:shd w:fill="F7F7F7"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7F7F7"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7F7F7" w:val="clear"/>
            <w:tcMar>
              <w:top w:w="52" w:type="dxa"/>
              <w:left w:w="0" w:type="dxa"/>
              <w:bottom w:w="0" w:type="dxa"/>
              <w:right w:w="0" w:type="dxa"/>
            </w:tcMar>
            <w:vAlign w:val="center"/>
          </w:tcPr>
          <w:p>
            <w:pPr>
              <w:pStyle w:val="TableContents"/>
              <w:bidi w:val="0"/>
              <w:spacing w:lineRule="auto" w:line="240" w:before="0" w:after="283"/>
              <w:jc w:val="right"/>
              <w:rPr/>
            </w:pPr>
            <w:r>
              <w:rPr>
                <w:rFonts w:ascii="Adelle Sans;sans-serif" w:hAnsi="Adelle Sans;sans-serif"/>
                <w:b/>
                <w:color w:val="000000"/>
                <w:sz w:val="18"/>
              </w:rPr>
              <w:t>382</w:t>
            </w:r>
            <w:r>
              <w:rPr>
                <w:color w:val="000000"/>
              </w:rPr>
              <w:t> </w:t>
            </w:r>
          </w:p>
        </w:tc>
        <w:tc>
          <w:tcPr>
            <w:tcW w:w="109" w:type="dxa"/>
            <w:tcBorders>
              <w:top w:val="single" w:sz="8" w:space="0" w:color="000000"/>
            </w:tcBorders>
            <w:shd w:fill="F7F7F7"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7F7F7"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top w:val="single" w:sz="8" w:space="0" w:color="000000"/>
            </w:tcBorders>
            <w:shd w:fill="F7F7F7" w:val="clear"/>
            <w:tcMar>
              <w:top w:w="52" w:type="dxa"/>
              <w:left w:w="0" w:type="dxa"/>
              <w:bottom w:w="0" w:type="dxa"/>
              <w:right w:w="0" w:type="dxa"/>
            </w:tcMar>
            <w:vAlign w:val="center"/>
          </w:tcPr>
          <w:p>
            <w:pPr>
              <w:pStyle w:val="TableContents"/>
              <w:bidi w:val="0"/>
              <w:spacing w:lineRule="auto" w:line="240" w:before="0" w:after="283"/>
              <w:jc w:val="right"/>
              <w:rPr/>
            </w:pPr>
            <w:r>
              <w:rPr>
                <w:rFonts w:ascii="Adelle Sans;sans-serif" w:hAnsi="Adelle Sans;sans-serif"/>
                <w:b/>
                <w:color w:val="000000"/>
                <w:sz w:val="18"/>
              </w:rPr>
              <w:t>631</w:t>
            </w:r>
            <w:r>
              <w:rPr>
                <w:color w:val="000000"/>
              </w:rPr>
              <w:t> </w:t>
            </w:r>
          </w:p>
        </w:tc>
        <w:tc>
          <w:tcPr>
            <w:tcW w:w="109" w:type="dxa"/>
            <w:tcBorders>
              <w:top w:val="single" w:sz="8" w:space="0" w:color="000000"/>
            </w:tcBorders>
            <w:shd w:fill="F7F7F7"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7F7F7"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top w:val="single" w:sz="8" w:space="0" w:color="000000"/>
            </w:tcBorders>
            <w:shd w:fill="F7F7F7" w:val="clear"/>
            <w:tcMar>
              <w:top w:w="52" w:type="dxa"/>
              <w:left w:w="0" w:type="dxa"/>
              <w:bottom w:w="0" w:type="dxa"/>
              <w:right w:w="0" w:type="dxa"/>
            </w:tcMar>
            <w:vAlign w:val="center"/>
          </w:tcPr>
          <w:p>
            <w:pPr>
              <w:pStyle w:val="TableContents"/>
              <w:bidi w:val="0"/>
              <w:spacing w:lineRule="auto" w:line="240" w:before="0" w:after="283"/>
              <w:jc w:val="right"/>
              <w:rPr/>
            </w:pPr>
            <w:r>
              <w:rPr>
                <w:rFonts w:ascii="Adelle Sans;sans-serif" w:hAnsi="Adelle Sans;sans-serif"/>
                <w:b/>
                <w:color w:val="000000"/>
                <w:sz w:val="18"/>
              </w:rPr>
              <w:t>343</w:t>
            </w:r>
            <w:r>
              <w:rPr>
                <w:color w:val="000000"/>
              </w:rPr>
              <w:t> </w:t>
            </w:r>
          </w:p>
        </w:tc>
        <w:tc>
          <w:tcPr>
            <w:tcW w:w="109" w:type="dxa"/>
            <w:tcBorders>
              <w:top w:val="single" w:sz="8" w:space="0" w:color="000000"/>
            </w:tcBorders>
            <w:shd w:fill="F7F7F7"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7F7F7"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top w:val="single" w:sz="8" w:space="0" w:color="000000"/>
            </w:tcBorders>
            <w:shd w:fill="F7F7F7" w:val="clear"/>
            <w:tcMar>
              <w:top w:w="52" w:type="dxa"/>
              <w:left w:w="0" w:type="dxa"/>
              <w:bottom w:w="0" w:type="dxa"/>
              <w:right w:w="0" w:type="dxa"/>
            </w:tcMar>
            <w:vAlign w:val="center"/>
          </w:tcPr>
          <w:p>
            <w:pPr>
              <w:pStyle w:val="TableContents"/>
              <w:bidi w:val="0"/>
              <w:spacing w:lineRule="auto" w:line="240" w:before="0" w:after="283"/>
              <w:jc w:val="right"/>
              <w:rPr/>
            </w:pPr>
            <w:r>
              <w:rPr>
                <w:rFonts w:ascii="Adelle Sans;sans-serif" w:hAnsi="Adelle Sans;sans-serif"/>
                <w:b/>
                <w:color w:val="000000"/>
                <w:sz w:val="18"/>
              </w:rPr>
              <w:t>291</w:t>
            </w:r>
            <w:r>
              <w:rPr>
                <w:color w:val="000000"/>
              </w:rPr>
              <w:t> </w:t>
            </w:r>
          </w:p>
        </w:tc>
        <w:tc>
          <w:tcPr>
            <w:tcW w:w="109" w:type="dxa"/>
            <w:tcBorders>
              <w:top w:val="single" w:sz="8" w:space="0" w:color="000000"/>
            </w:tcBorders>
            <w:shd w:fill="F7F7F7"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7F7F7"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7F7F7" w:val="clear"/>
            <w:tcMar>
              <w:top w:w="52" w:type="dxa"/>
              <w:left w:w="0" w:type="dxa"/>
              <w:bottom w:w="0" w:type="dxa"/>
              <w:right w:w="0" w:type="dxa"/>
            </w:tcMar>
            <w:vAlign w:val="center"/>
          </w:tcPr>
          <w:p>
            <w:pPr>
              <w:pStyle w:val="TableContents"/>
              <w:bidi w:val="0"/>
              <w:spacing w:lineRule="auto" w:line="240" w:before="0" w:after="283"/>
              <w:jc w:val="right"/>
              <w:rPr/>
            </w:pPr>
            <w:r>
              <w:rPr>
                <w:rFonts w:ascii="Adelle Sans;sans-serif" w:hAnsi="Adelle Sans;sans-serif"/>
                <w:b/>
                <w:color w:val="000000"/>
                <w:sz w:val="18"/>
              </w:rPr>
              <w:t>203</w:t>
            </w:r>
            <w:r>
              <w:rPr>
                <w:color w:val="000000"/>
              </w:rPr>
              <w:t> </w:t>
            </w:r>
          </w:p>
        </w:tc>
        <w:tc>
          <w:tcPr>
            <w:tcW w:w="109" w:type="dxa"/>
            <w:tcBorders>
              <w:top w:val="single" w:sz="8" w:space="0" w:color="000000"/>
            </w:tcBorders>
            <w:shd w:fill="F7F7F7"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7F7F7"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top w:val="single" w:sz="8" w:space="0" w:color="000000"/>
            </w:tcBorders>
            <w:shd w:fill="F7F7F7" w:val="clear"/>
            <w:tcMar>
              <w:top w:w="52" w:type="dxa"/>
              <w:left w:w="0" w:type="dxa"/>
              <w:bottom w:w="0" w:type="dxa"/>
              <w:right w:w="0" w:type="dxa"/>
            </w:tcMar>
            <w:vAlign w:val="center"/>
          </w:tcPr>
          <w:p>
            <w:pPr>
              <w:pStyle w:val="TableContents"/>
              <w:bidi w:val="0"/>
              <w:spacing w:lineRule="auto" w:line="240" w:before="0" w:after="283"/>
              <w:jc w:val="right"/>
              <w:rPr/>
            </w:pPr>
            <w:r>
              <w:rPr>
                <w:rFonts w:ascii="Adelle Sans;sans-serif" w:hAnsi="Adelle Sans;sans-serif"/>
                <w:b/>
                <w:color w:val="000000"/>
                <w:sz w:val="18"/>
              </w:rPr>
              <w:t>465</w:t>
            </w:r>
            <w:r>
              <w:rPr>
                <w:color w:val="000000"/>
              </w:rPr>
              <w:t> </w:t>
            </w:r>
          </w:p>
        </w:tc>
        <w:tc>
          <w:tcPr>
            <w:tcW w:w="109" w:type="dxa"/>
            <w:tcBorders>
              <w:top w:val="single" w:sz="8" w:space="0" w:color="000000"/>
            </w:tcBorders>
            <w:shd w:fill="F7F7F7"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7F7F7"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top w:val="single" w:sz="8" w:space="0" w:color="000000"/>
            </w:tcBorders>
            <w:shd w:fill="F7F7F7" w:val="clear"/>
            <w:tcMar>
              <w:top w:w="52" w:type="dxa"/>
              <w:left w:w="0" w:type="dxa"/>
              <w:bottom w:w="0" w:type="dxa"/>
              <w:right w:w="0" w:type="dxa"/>
            </w:tcMar>
            <w:vAlign w:val="center"/>
          </w:tcPr>
          <w:p>
            <w:pPr>
              <w:pStyle w:val="TableContents"/>
              <w:bidi w:val="0"/>
              <w:spacing w:lineRule="auto" w:line="240" w:before="0" w:after="283"/>
              <w:jc w:val="right"/>
              <w:rPr/>
            </w:pPr>
            <w:r>
              <w:rPr>
                <w:rFonts w:ascii="Adelle Sans;sans-serif" w:hAnsi="Adelle Sans;sans-serif"/>
                <w:b/>
                <w:color w:val="000000"/>
                <w:sz w:val="18"/>
              </w:rPr>
              <w:t>283</w:t>
            </w:r>
            <w:r>
              <w:rPr>
                <w:color w:val="000000"/>
              </w:rPr>
              <w:t> </w:t>
            </w:r>
          </w:p>
        </w:tc>
        <w:tc>
          <w:tcPr>
            <w:tcW w:w="154" w:type="dxa"/>
            <w:tcBorders>
              <w:top w:val="single" w:sz="8" w:space="0" w:color="000000"/>
            </w:tcBorders>
            <w:shd w:fill="F7F7F7"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6"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r>
      <w:tr>
        <w:trPr/>
        <w:tc>
          <w:tcPr>
            <w:tcW w:w="1456"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r>
      <w:tr>
        <w:trPr/>
        <w:tc>
          <w:tcPr>
            <w:tcW w:w="1456"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r>
      <w:tr>
        <w:trPr/>
        <w:tc>
          <w:tcPr>
            <w:tcW w:w="1456"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r>
      <w:tr>
        <w:trPr/>
        <w:tc>
          <w:tcPr>
            <w:tcW w:w="145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0"/>
              <w:jc w:val="left"/>
              <w:rPr/>
            </w:pPr>
            <w:r>
              <w:rPr>
                <w:rFonts w:ascii="Adelle Sans;sans-serif" w:hAnsi="Adelle Sans;sans-serif"/>
                <w:b w:val="false"/>
                <w:color w:val="000000"/>
                <w:sz w:val="18"/>
              </w:rPr>
              <w:t>Net gain (loss) on equity and equity method investments</w:t>
            </w:r>
            <w:r>
              <w:rPr>
                <w:rFonts w:ascii="Adelle Sans;sans-serif" w:hAnsi="Adelle Sans;sans-serif"/>
                <w:b w:val="false"/>
                <w:color w:val="000000"/>
                <w:sz w:val="12"/>
              </w:rPr>
              <w:t>(4)</w:t>
            </w:r>
          </w:p>
        </w:tc>
        <w:tc>
          <w:tcPr>
            <w:tcW w:w="81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1,228 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(1,082)</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182 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(112)</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658 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(1,044)</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906 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484 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6" w:type="dxa"/>
            <w:gridSpan w:val="3"/>
            <w:tcBorders/>
            <w:shd w:fill="F7F7F7" w:val="clear"/>
            <w:tcMar>
              <w:top w:w="0" w:type="dxa"/>
              <w:left w:w="0" w:type="dxa"/>
              <w:bottom w:w="0" w:type="dxa"/>
              <w:right w:w="0" w:type="dxa"/>
            </w:tcMar>
            <w:vAlign w:val="center"/>
          </w:tcPr>
          <w:p>
            <w:pPr>
              <w:pStyle w:val="TableContents"/>
              <w:bidi w:val="0"/>
              <w:spacing w:lineRule="auto" w:line="240" w:before="0" w:after="283"/>
              <w:jc w:val="left"/>
              <w:rPr>
                <w:rFonts w:ascii="Adelle Sans;sans-serif" w:hAnsi="Adelle Sans;sans-serif"/>
                <w:b w:val="false"/>
                <w:color w:val="000000"/>
                <w:sz w:val="18"/>
              </w:rPr>
            </w:pPr>
            <w:r>
              <w:rPr>
                <w:rFonts w:ascii="Adelle Sans;sans-serif" w:hAnsi="Adelle Sans;sans-serif"/>
                <w:b w:val="false"/>
                <w:color w:val="000000"/>
                <w:sz w:val="18"/>
              </w:rPr>
              <w:t>Other income, net</w:t>
            </w:r>
          </w:p>
        </w:tc>
        <w:tc>
          <w:tcPr>
            <w:tcW w:w="812" w:type="dxa"/>
            <w:gridSpan w:val="2"/>
            <w:tcBorders/>
            <w:shd w:fill="F7F7F7"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59 </w:t>
            </w:r>
          </w:p>
        </w:tc>
        <w:tc>
          <w:tcPr>
            <w:tcW w:w="109" w:type="dxa"/>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7F7F7"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66 </w:t>
            </w:r>
          </w:p>
        </w:tc>
        <w:tc>
          <w:tcPr>
            <w:tcW w:w="109" w:type="dxa"/>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7F7F7"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79 </w:t>
            </w:r>
          </w:p>
        </w:tc>
        <w:tc>
          <w:tcPr>
            <w:tcW w:w="109" w:type="dxa"/>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7F7F7"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77 </w:t>
            </w:r>
          </w:p>
        </w:tc>
        <w:tc>
          <w:tcPr>
            <w:tcW w:w="109" w:type="dxa"/>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7F7F7"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130 </w:t>
            </w:r>
          </w:p>
        </w:tc>
        <w:tc>
          <w:tcPr>
            <w:tcW w:w="109" w:type="dxa"/>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7F7F7"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71 </w:t>
            </w:r>
          </w:p>
        </w:tc>
        <w:tc>
          <w:tcPr>
            <w:tcW w:w="109" w:type="dxa"/>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7F7F7"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50 </w:t>
            </w:r>
          </w:p>
        </w:tc>
        <w:tc>
          <w:tcPr>
            <w:tcW w:w="109" w:type="dxa"/>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7F7F7"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93 </w:t>
            </w:r>
          </w:p>
        </w:tc>
        <w:tc>
          <w:tcPr>
            <w:tcW w:w="154" w:type="dxa"/>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delle Sans;sans-serif" w:hAnsi="Adelle Sans;sans-serif"/>
                <w:b w:val="false"/>
                <w:color w:val="000000"/>
                <w:sz w:val="18"/>
              </w:rPr>
            </w:pPr>
            <w:r>
              <w:rPr>
                <w:rFonts w:ascii="Adelle Sans;sans-serif" w:hAnsi="Adelle Sans;sans-serif"/>
                <w:b w:val="false"/>
                <w:color w:val="000000"/>
                <w:sz w:val="18"/>
              </w:rPr>
              <w:t>Income (loss) before income taxes</w:t>
            </w:r>
          </w:p>
        </w:tc>
        <w:tc>
          <w:tcPr>
            <w:tcW w:w="812"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1,775 </w:t>
            </w:r>
          </w:p>
        </w:tc>
        <w:tc>
          <w:tcPr>
            <w:tcW w:w="109"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(634)</w:t>
            </w:r>
          </w:p>
        </w:tc>
        <w:tc>
          <w:tcPr>
            <w:tcW w:w="109"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892 </w:t>
            </w:r>
          </w:p>
        </w:tc>
        <w:tc>
          <w:tcPr>
            <w:tcW w:w="109"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308 </w:t>
            </w:r>
          </w:p>
        </w:tc>
        <w:tc>
          <w:tcPr>
            <w:tcW w:w="109"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1,079 </w:t>
            </w:r>
          </w:p>
        </w:tc>
        <w:tc>
          <w:tcPr>
            <w:tcW w:w="109"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(770)</w:t>
            </w:r>
          </w:p>
        </w:tc>
        <w:tc>
          <w:tcPr>
            <w:tcW w:w="109"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1,421 </w:t>
            </w:r>
          </w:p>
        </w:tc>
        <w:tc>
          <w:tcPr>
            <w:tcW w:w="109"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860 </w:t>
            </w:r>
          </w:p>
        </w:tc>
        <w:tc>
          <w:tcPr>
            <w:tcW w:w="154"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6" w:type="dxa"/>
            <w:gridSpan w:val="3"/>
            <w:tcBorders/>
            <w:shd w:fill="F7F7F7" w:val="clear"/>
            <w:tcMar>
              <w:top w:w="0" w:type="dxa"/>
              <w:left w:w="0" w:type="dxa"/>
              <w:bottom w:w="0" w:type="dxa"/>
              <w:right w:w="0" w:type="dxa"/>
            </w:tcMar>
            <w:vAlign w:val="center"/>
          </w:tcPr>
          <w:p>
            <w:pPr>
              <w:pStyle w:val="TableContents"/>
              <w:bidi w:val="0"/>
              <w:spacing w:lineRule="auto" w:line="240" w:before="0" w:after="283"/>
              <w:jc w:val="left"/>
              <w:rPr>
                <w:rFonts w:ascii="Adelle Sans;sans-serif" w:hAnsi="Adelle Sans;sans-serif"/>
                <w:b w:val="false"/>
                <w:color w:val="000000"/>
                <w:sz w:val="18"/>
              </w:rPr>
            </w:pPr>
            <w:r>
              <w:rPr>
                <w:rFonts w:ascii="Adelle Sans;sans-serif" w:hAnsi="Adelle Sans;sans-serif"/>
                <w:b w:val="false"/>
                <w:color w:val="000000"/>
                <w:sz w:val="18"/>
              </w:rPr>
              <w:t>(Provision for) recovery of income taxes</w:t>
            </w:r>
          </w:p>
        </w:tc>
        <w:tc>
          <w:tcPr>
            <w:tcW w:w="812" w:type="dxa"/>
            <w:gridSpan w:val="2"/>
            <w:tcBorders>
              <w:top w:val="single" w:sz="4" w:space="0" w:color="000000"/>
            </w:tcBorders>
            <w:shd w:fill="F7F7F7" w:val="clear"/>
            <w:tcMar>
              <w:top w:w="52"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(273)</w:t>
            </w:r>
          </w:p>
        </w:tc>
        <w:tc>
          <w:tcPr>
            <w:tcW w:w="109" w:type="dxa"/>
            <w:tcBorders>
              <w:top w:val="single" w:sz="4" w:space="0" w:color="000000"/>
            </w:tcBorders>
            <w:shd w:fill="F7F7F7"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7F7F7"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4" w:space="0" w:color="000000"/>
            </w:tcBorders>
            <w:shd w:fill="F7F7F7" w:val="clear"/>
            <w:tcMar>
              <w:top w:w="52"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53 </w:t>
            </w:r>
          </w:p>
        </w:tc>
        <w:tc>
          <w:tcPr>
            <w:tcW w:w="109" w:type="dxa"/>
            <w:tcBorders>
              <w:top w:val="single" w:sz="4" w:space="0" w:color="000000"/>
            </w:tcBorders>
            <w:shd w:fill="F7F7F7"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7F7F7"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top w:val="single" w:sz="4" w:space="0" w:color="000000"/>
            </w:tcBorders>
            <w:shd w:fill="F7F7F7" w:val="clear"/>
            <w:tcMar>
              <w:top w:w="52"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(149)</w:t>
            </w:r>
          </w:p>
        </w:tc>
        <w:tc>
          <w:tcPr>
            <w:tcW w:w="109" w:type="dxa"/>
            <w:tcBorders>
              <w:top w:val="single" w:sz="4" w:space="0" w:color="000000"/>
            </w:tcBorders>
            <w:shd w:fill="F7F7F7"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7F7F7"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top w:val="single" w:sz="4" w:space="0" w:color="000000"/>
            </w:tcBorders>
            <w:shd w:fill="F7F7F7" w:val="clear"/>
            <w:tcMar>
              <w:top w:w="52"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(44)</w:t>
            </w:r>
          </w:p>
        </w:tc>
        <w:tc>
          <w:tcPr>
            <w:tcW w:w="109" w:type="dxa"/>
            <w:tcBorders>
              <w:top w:val="single" w:sz="4" w:space="0" w:color="000000"/>
            </w:tcBorders>
            <w:shd w:fill="F7F7F7"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7F7F7"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top w:val="single" w:sz="4" w:space="0" w:color="000000"/>
            </w:tcBorders>
            <w:shd w:fill="F7F7F7" w:val="clear"/>
            <w:tcMar>
              <w:top w:w="52"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(173)</w:t>
            </w:r>
          </w:p>
        </w:tc>
        <w:tc>
          <w:tcPr>
            <w:tcW w:w="109" w:type="dxa"/>
            <w:tcBorders>
              <w:top w:val="single" w:sz="4" w:space="0" w:color="000000"/>
            </w:tcBorders>
            <w:shd w:fill="F7F7F7"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7F7F7"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4" w:space="0" w:color="000000"/>
            </w:tcBorders>
            <w:shd w:fill="F7F7F7" w:val="clear"/>
            <w:tcMar>
              <w:top w:w="52"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88 </w:t>
            </w:r>
          </w:p>
        </w:tc>
        <w:tc>
          <w:tcPr>
            <w:tcW w:w="109" w:type="dxa"/>
            <w:tcBorders>
              <w:top w:val="single" w:sz="4" w:space="0" w:color="000000"/>
            </w:tcBorders>
            <w:shd w:fill="F7F7F7"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7F7F7"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top w:val="single" w:sz="4" w:space="0" w:color="000000"/>
            </w:tcBorders>
            <w:shd w:fill="F7F7F7" w:val="clear"/>
            <w:tcMar>
              <w:top w:w="52"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(128)</w:t>
            </w:r>
          </w:p>
        </w:tc>
        <w:tc>
          <w:tcPr>
            <w:tcW w:w="109" w:type="dxa"/>
            <w:tcBorders>
              <w:top w:val="single" w:sz="4" w:space="0" w:color="000000"/>
            </w:tcBorders>
            <w:shd w:fill="F7F7F7"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7F7F7"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top w:val="single" w:sz="4" w:space="0" w:color="000000"/>
            </w:tcBorders>
            <w:shd w:fill="F7F7F7" w:val="clear"/>
            <w:tcMar>
              <w:top w:w="52"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(32)</w:t>
            </w:r>
          </w:p>
        </w:tc>
        <w:tc>
          <w:tcPr>
            <w:tcW w:w="154" w:type="dxa"/>
            <w:tcBorders>
              <w:top w:val="single" w:sz="4" w:space="0" w:color="000000"/>
            </w:tcBorders>
            <w:shd w:fill="F7F7F7"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delle Sans;sans-serif" w:hAnsi="Adelle Sans;sans-serif"/>
                <w:b/>
                <w:color w:val="000000"/>
                <w:sz w:val="18"/>
              </w:rPr>
            </w:pPr>
            <w:r>
              <w:rPr>
                <w:rFonts w:ascii="Adelle Sans;sans-serif" w:hAnsi="Adelle Sans;sans-serif"/>
                <w:b/>
                <w:color w:val="000000"/>
                <w:sz w:val="18"/>
              </w:rPr>
              <w:t>Net income (loss)</w:t>
            </w:r>
          </w:p>
        </w:tc>
        <w:tc>
          <w:tcPr>
            <w:tcW w:w="81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delle Sans;sans-serif" w:hAnsi="Adelle Sans;sans-serif"/>
                <w:b/>
                <w:color w:val="000000"/>
                <w:sz w:val="18"/>
              </w:rPr>
              <w:t>1,502</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color w:val="000000"/>
                <w:sz w:val="18"/>
              </w:rPr>
            </w:pPr>
            <w:r>
              <w:rPr>
                <w:rFonts w:ascii="Adelle Sans;sans-serif" w:hAnsi="Adelle Sans;sans-serif"/>
                <w:b/>
                <w:color w:val="000000"/>
                <w:sz w:val="18"/>
              </w:rPr>
              <w:t>(581)</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delle Sans;sans-serif" w:hAnsi="Adelle Sans;sans-serif"/>
                <w:b/>
                <w:color w:val="000000"/>
                <w:sz w:val="18"/>
              </w:rPr>
              <w:t>743</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delle Sans;sans-serif" w:hAnsi="Adelle Sans;sans-serif"/>
                <w:b/>
                <w:color w:val="000000"/>
                <w:sz w:val="18"/>
              </w:rPr>
              <w:t>264</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delle Sans;sans-serif" w:hAnsi="Adelle Sans;sans-serif"/>
                <w:b/>
                <w:color w:val="000000"/>
                <w:sz w:val="18"/>
              </w:rPr>
              <w:t>906</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color w:val="000000"/>
                <w:sz w:val="18"/>
              </w:rPr>
            </w:pPr>
            <w:r>
              <w:rPr>
                <w:rFonts w:ascii="Adelle Sans;sans-serif" w:hAnsi="Adelle Sans;sans-serif"/>
                <w:b/>
                <w:color w:val="000000"/>
                <w:sz w:val="18"/>
              </w:rPr>
              <w:t>(682)</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delle Sans;sans-serif" w:hAnsi="Adelle Sans;sans-serif"/>
                <w:b/>
                <w:color w:val="000000"/>
                <w:sz w:val="18"/>
              </w:rPr>
              <w:t>1,293</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delle Sans;sans-serif" w:hAnsi="Adelle Sans;sans-serif"/>
                <w:b/>
                <w:color w:val="000000"/>
                <w:sz w:val="18"/>
              </w:rPr>
              <w:t>828</w:t>
            </w:r>
            <w:r>
              <w:rPr>
                <w:color w:val="000000"/>
              </w:rPr>
              <w:t>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6"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r>
      <w:tr>
        <w:trPr/>
        <w:tc>
          <w:tcPr>
            <w:tcW w:w="1456"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r>
      <w:tr>
        <w:trPr/>
        <w:tc>
          <w:tcPr>
            <w:tcW w:w="1456" w:type="dxa"/>
            <w:gridSpan w:val="3"/>
            <w:tcBorders>
              <w:top w:val="single" w:sz="8" w:space="0" w:color="000000"/>
            </w:tcBorders>
            <w:shd w:fill="F7F7F7" w:val="clear"/>
            <w:tcMar>
              <w:top w:w="52" w:type="dxa"/>
              <w:left w:w="0" w:type="dxa"/>
              <w:bottom w:w="0" w:type="dxa"/>
              <w:right w:w="0" w:type="dxa"/>
            </w:tcMar>
            <w:vAlign w:val="center"/>
          </w:tcPr>
          <w:p>
            <w:pPr>
              <w:pStyle w:val="TableContents"/>
              <w:bidi w:val="0"/>
              <w:spacing w:lineRule="auto" w:line="240" w:before="0" w:after="283"/>
              <w:jc w:val="left"/>
              <w:rPr>
                <w:rFonts w:ascii="Adelle Sans;sans-serif" w:hAnsi="Adelle Sans;sans-serif"/>
                <w:b/>
                <w:color w:val="000000"/>
                <w:sz w:val="18"/>
              </w:rPr>
            </w:pPr>
            <w:r>
              <w:rPr>
                <w:rFonts w:ascii="Adelle Sans;sans-serif" w:hAnsi="Adelle Sans;sans-serif"/>
                <w:b/>
                <w:color w:val="000000"/>
                <w:sz w:val="18"/>
              </w:rPr>
              <w:t>Net income (loss) per share attributable to shareholders:</w:t>
            </w:r>
          </w:p>
        </w:tc>
        <w:tc>
          <w:tcPr>
            <w:tcW w:w="921" w:type="dxa"/>
            <w:gridSpan w:val="3"/>
            <w:tcBorders>
              <w:top w:val="single" w:sz="8" w:space="0" w:color="000000"/>
            </w:tcBorders>
            <w:shd w:fill="F7F7F7"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7F7F7"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7F7F7"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7F7F7"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op w:val="single" w:sz="8" w:space="0" w:color="000000"/>
            </w:tcBorders>
            <w:shd w:fill="F7F7F7"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7F7F7"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op w:val="single" w:sz="8" w:space="0" w:color="000000"/>
            </w:tcBorders>
            <w:shd w:fill="F7F7F7"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7F7F7"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op w:val="single" w:sz="8" w:space="0" w:color="000000"/>
            </w:tcBorders>
            <w:shd w:fill="F7F7F7"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7F7F7"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7F7F7"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7F7F7"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op w:val="single" w:sz="8" w:space="0" w:color="000000"/>
            </w:tcBorders>
            <w:shd w:fill="F7F7F7"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7F7F7"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shd w:fill="F7F7F7"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delle Sans;sans-serif" w:hAnsi="Adelle Sans;sans-serif"/>
                <w:b w:val="false"/>
                <w:color w:val="000000"/>
                <w:sz w:val="18"/>
              </w:rPr>
            </w:pPr>
            <w:r>
              <w:rPr>
                <w:rFonts w:ascii="Adelle Sans;sans-serif" w:hAnsi="Adelle Sans;sans-serif"/>
                <w:b w:val="false"/>
                <w:color w:val="000000"/>
                <w:sz w:val="18"/>
              </w:rPr>
              <w:t>Basic</w:t>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delle Sans;sans-serif" w:hAnsi="Adelle Sans;sans-serif"/>
                <w:b w:val="false"/>
                <w:color w:val="000000"/>
                <w:sz w:val="18"/>
              </w:rPr>
            </w:pPr>
            <w:r>
              <w:rPr>
                <w:rFonts w:ascii="Adelle Sans;sans-serif" w:hAnsi="Adelle Sans;sans-serif"/>
                <w:b w:val="false"/>
                <w:color w:val="000000"/>
                <w:sz w:val="18"/>
              </w:rPr>
              <w:t>$</w:t>
            </w:r>
          </w:p>
        </w:tc>
        <w:tc>
          <w:tcPr>
            <w:tcW w:w="5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1.16 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delle Sans;sans-serif" w:hAnsi="Adelle Sans;sans-serif"/>
                <w:b w:val="false"/>
                <w:color w:val="000000"/>
                <w:sz w:val="18"/>
              </w:rPr>
            </w:pPr>
            <w:r>
              <w:rPr>
                <w:rFonts w:ascii="Adelle Sans;sans-serif" w:hAnsi="Adelle Sans;sans-serif"/>
                <w:b w:val="false"/>
                <w:color w:val="000000"/>
                <w:sz w:val="18"/>
              </w:rPr>
              <w:t>$</w:t>
            </w:r>
          </w:p>
        </w:tc>
        <w:tc>
          <w:tcPr>
            <w:tcW w:w="6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(0.45)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delle Sans;sans-serif" w:hAnsi="Adelle Sans;sans-serif"/>
                <w:b w:val="false"/>
                <w:color w:val="000000"/>
                <w:sz w:val="18"/>
              </w:rPr>
            </w:pPr>
            <w:r>
              <w:rPr>
                <w:rFonts w:ascii="Adelle Sans;sans-serif" w:hAnsi="Adelle Sans;sans-serif"/>
                <w:b w:val="false"/>
                <w:color w:val="000000"/>
                <w:sz w:val="18"/>
              </w:rPr>
              <w:t>$</w:t>
            </w:r>
          </w:p>
        </w:tc>
        <w:tc>
          <w:tcPr>
            <w:tcW w:w="5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0.57 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delle Sans;sans-serif" w:hAnsi="Adelle Sans;sans-serif"/>
                <w:b w:val="false"/>
                <w:color w:val="000000"/>
                <w:sz w:val="18"/>
              </w:rPr>
            </w:pPr>
            <w:r>
              <w:rPr>
                <w:rFonts w:ascii="Adelle Sans;sans-serif" w:hAnsi="Adelle Sans;sans-serif"/>
                <w:b w:val="false"/>
                <w:color w:val="000000"/>
                <w:sz w:val="18"/>
              </w:rPr>
              <w:t>$</w:t>
            </w:r>
          </w:p>
        </w:tc>
        <w:tc>
          <w:tcPr>
            <w:tcW w:w="5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0.20 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delle Sans;sans-serif" w:hAnsi="Adelle Sans;sans-serif"/>
                <w:b w:val="false"/>
                <w:color w:val="000000"/>
                <w:sz w:val="18"/>
              </w:rPr>
            </w:pPr>
            <w:r>
              <w:rPr>
                <w:rFonts w:ascii="Adelle Sans;sans-serif" w:hAnsi="Adelle Sans;sans-serif"/>
                <w:b w:val="false"/>
                <w:color w:val="000000"/>
                <w:sz w:val="18"/>
              </w:rPr>
              <w:t>$</w:t>
            </w:r>
          </w:p>
        </w:tc>
        <w:tc>
          <w:tcPr>
            <w:tcW w:w="5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0.70 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delle Sans;sans-serif" w:hAnsi="Adelle Sans;sans-serif"/>
                <w:b w:val="false"/>
                <w:color w:val="000000"/>
                <w:sz w:val="18"/>
              </w:rPr>
            </w:pPr>
            <w:r>
              <w:rPr>
                <w:rFonts w:ascii="Adelle Sans;sans-serif" w:hAnsi="Adelle Sans;sans-serif"/>
                <w:b w:val="false"/>
                <w:color w:val="000000"/>
                <w:sz w:val="18"/>
              </w:rPr>
              <w:t>$</w:t>
            </w:r>
          </w:p>
        </w:tc>
        <w:tc>
          <w:tcPr>
            <w:tcW w:w="6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(0.53)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delle Sans;sans-serif" w:hAnsi="Adelle Sans;sans-serif"/>
                <w:b w:val="false"/>
                <w:color w:val="000000"/>
                <w:sz w:val="18"/>
              </w:rPr>
            </w:pPr>
            <w:r>
              <w:rPr>
                <w:rFonts w:ascii="Adelle Sans;sans-serif" w:hAnsi="Adelle Sans;sans-serif"/>
                <w:b w:val="false"/>
                <w:color w:val="000000"/>
                <w:sz w:val="18"/>
              </w:rPr>
              <w:t>$</w:t>
            </w:r>
          </w:p>
        </w:tc>
        <w:tc>
          <w:tcPr>
            <w:tcW w:w="5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1.00 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delle Sans;sans-serif" w:hAnsi="Adelle Sans;sans-serif"/>
                <w:b w:val="false"/>
                <w:color w:val="000000"/>
                <w:sz w:val="18"/>
              </w:rPr>
            </w:pPr>
            <w:r>
              <w:rPr>
                <w:rFonts w:ascii="Adelle Sans;sans-serif" w:hAnsi="Adelle Sans;sans-serif"/>
                <w:b w:val="false"/>
                <w:color w:val="000000"/>
                <w:sz w:val="18"/>
              </w:rPr>
              <w:t>$</w:t>
            </w:r>
          </w:p>
        </w:tc>
        <w:tc>
          <w:tcPr>
            <w:tcW w:w="5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0.64 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6" w:type="dxa"/>
            <w:gridSpan w:val="3"/>
            <w:tcBorders/>
            <w:shd w:fill="F7F7F7" w:val="clear"/>
            <w:tcMar>
              <w:top w:w="0" w:type="dxa"/>
              <w:left w:w="0" w:type="dxa"/>
              <w:bottom w:w="0" w:type="dxa"/>
              <w:right w:w="0" w:type="dxa"/>
            </w:tcMar>
            <w:vAlign w:val="center"/>
          </w:tcPr>
          <w:p>
            <w:pPr>
              <w:pStyle w:val="TableContents"/>
              <w:bidi w:val="0"/>
              <w:spacing w:lineRule="auto" w:line="240" w:before="0" w:after="283"/>
              <w:jc w:val="left"/>
              <w:rPr>
                <w:rFonts w:ascii="Adelle Sans;sans-serif" w:hAnsi="Adelle Sans;sans-serif"/>
                <w:b w:val="false"/>
                <w:color w:val="000000"/>
                <w:sz w:val="18"/>
              </w:rPr>
            </w:pPr>
            <w:r>
              <w:rPr>
                <w:rFonts w:ascii="Adelle Sans;sans-serif" w:hAnsi="Adelle Sans;sans-serif"/>
                <w:b w:val="false"/>
                <w:color w:val="000000"/>
                <w:sz w:val="18"/>
              </w:rPr>
              <w:t>Diluted</w:t>
            </w:r>
          </w:p>
        </w:tc>
        <w:tc>
          <w:tcPr>
            <w:tcW w:w="226" w:type="dxa"/>
            <w:tcBorders/>
            <w:shd w:fill="F7F7F7" w:val="clear"/>
            <w:tcMar>
              <w:top w:w="0" w:type="dxa"/>
              <w:left w:w="0" w:type="dxa"/>
              <w:bottom w:w="0" w:type="dxa"/>
              <w:right w:w="0" w:type="dxa"/>
            </w:tcMar>
            <w:vAlign w:val="center"/>
          </w:tcPr>
          <w:p>
            <w:pPr>
              <w:pStyle w:val="TableContents"/>
              <w:bidi w:val="0"/>
              <w:spacing w:lineRule="auto" w:line="240" w:before="0" w:after="283"/>
              <w:jc w:val="left"/>
              <w:rPr>
                <w:rFonts w:ascii="Adelle Sans;sans-serif" w:hAnsi="Adelle Sans;sans-serif"/>
                <w:b w:val="false"/>
                <w:color w:val="000000"/>
                <w:sz w:val="18"/>
              </w:rPr>
            </w:pPr>
            <w:r>
              <w:rPr>
                <w:rFonts w:ascii="Adelle Sans;sans-serif" w:hAnsi="Adelle Sans;sans-serif"/>
                <w:b w:val="false"/>
                <w:color w:val="000000"/>
                <w:sz w:val="18"/>
              </w:rPr>
              <w:t>$</w:t>
            </w:r>
          </w:p>
        </w:tc>
        <w:tc>
          <w:tcPr>
            <w:tcW w:w="586" w:type="dxa"/>
            <w:tcBorders/>
            <w:shd w:fill="F7F7F7"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1.16 </w:t>
            </w:r>
          </w:p>
        </w:tc>
        <w:tc>
          <w:tcPr>
            <w:tcW w:w="109" w:type="dxa"/>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7F7F7" w:val="clear"/>
            <w:tcMar>
              <w:top w:w="0" w:type="dxa"/>
              <w:left w:w="0" w:type="dxa"/>
              <w:bottom w:w="0" w:type="dxa"/>
              <w:right w:w="0" w:type="dxa"/>
            </w:tcMar>
            <w:vAlign w:val="center"/>
          </w:tcPr>
          <w:p>
            <w:pPr>
              <w:pStyle w:val="TableContents"/>
              <w:bidi w:val="0"/>
              <w:spacing w:lineRule="auto" w:line="240" w:before="0" w:after="283"/>
              <w:jc w:val="left"/>
              <w:rPr>
                <w:rFonts w:ascii="Adelle Sans;sans-serif" w:hAnsi="Adelle Sans;sans-serif"/>
                <w:b w:val="false"/>
                <w:color w:val="000000"/>
                <w:sz w:val="18"/>
              </w:rPr>
            </w:pPr>
            <w:r>
              <w:rPr>
                <w:rFonts w:ascii="Adelle Sans;sans-serif" w:hAnsi="Adelle Sans;sans-serif"/>
                <w:b w:val="false"/>
                <w:color w:val="000000"/>
                <w:sz w:val="18"/>
              </w:rPr>
              <w:t>$</w:t>
            </w:r>
          </w:p>
        </w:tc>
        <w:tc>
          <w:tcPr>
            <w:tcW w:w="601" w:type="dxa"/>
            <w:tcBorders/>
            <w:shd w:fill="F7F7F7"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(0.45)</w:t>
            </w:r>
          </w:p>
        </w:tc>
        <w:tc>
          <w:tcPr>
            <w:tcW w:w="109" w:type="dxa"/>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7F7F7" w:val="clear"/>
            <w:tcMar>
              <w:top w:w="0" w:type="dxa"/>
              <w:left w:w="0" w:type="dxa"/>
              <w:bottom w:w="0" w:type="dxa"/>
              <w:right w:w="0" w:type="dxa"/>
            </w:tcMar>
            <w:vAlign w:val="center"/>
          </w:tcPr>
          <w:p>
            <w:pPr>
              <w:pStyle w:val="TableContents"/>
              <w:bidi w:val="0"/>
              <w:spacing w:lineRule="auto" w:line="240" w:before="0" w:after="283"/>
              <w:jc w:val="left"/>
              <w:rPr>
                <w:rFonts w:ascii="Adelle Sans;sans-serif" w:hAnsi="Adelle Sans;sans-serif"/>
                <w:b w:val="false"/>
                <w:color w:val="000000"/>
                <w:sz w:val="18"/>
              </w:rPr>
            </w:pPr>
            <w:r>
              <w:rPr>
                <w:rFonts w:ascii="Adelle Sans;sans-serif" w:hAnsi="Adelle Sans;sans-serif"/>
                <w:b w:val="false"/>
                <w:color w:val="000000"/>
                <w:sz w:val="18"/>
              </w:rPr>
              <w:t>$</w:t>
            </w:r>
          </w:p>
        </w:tc>
        <w:tc>
          <w:tcPr>
            <w:tcW w:w="586" w:type="dxa"/>
            <w:tcBorders/>
            <w:shd w:fill="F7F7F7"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0.57 </w:t>
            </w:r>
          </w:p>
        </w:tc>
        <w:tc>
          <w:tcPr>
            <w:tcW w:w="109" w:type="dxa"/>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7F7F7" w:val="clear"/>
            <w:tcMar>
              <w:top w:w="0" w:type="dxa"/>
              <w:left w:w="0" w:type="dxa"/>
              <w:bottom w:w="0" w:type="dxa"/>
              <w:right w:w="0" w:type="dxa"/>
            </w:tcMar>
            <w:vAlign w:val="center"/>
          </w:tcPr>
          <w:p>
            <w:pPr>
              <w:pStyle w:val="TableContents"/>
              <w:bidi w:val="0"/>
              <w:spacing w:lineRule="auto" w:line="240" w:before="0" w:after="283"/>
              <w:jc w:val="left"/>
              <w:rPr>
                <w:rFonts w:ascii="Adelle Sans;sans-serif" w:hAnsi="Adelle Sans;sans-serif"/>
                <w:b w:val="false"/>
                <w:color w:val="000000"/>
                <w:sz w:val="18"/>
              </w:rPr>
            </w:pPr>
            <w:r>
              <w:rPr>
                <w:rFonts w:ascii="Adelle Sans;sans-serif" w:hAnsi="Adelle Sans;sans-serif"/>
                <w:b w:val="false"/>
                <w:color w:val="000000"/>
                <w:sz w:val="18"/>
              </w:rPr>
              <w:t>$</w:t>
            </w:r>
          </w:p>
        </w:tc>
        <w:tc>
          <w:tcPr>
            <w:tcW w:w="586" w:type="dxa"/>
            <w:tcBorders/>
            <w:shd w:fill="F7F7F7"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0.20 </w:t>
            </w:r>
          </w:p>
        </w:tc>
        <w:tc>
          <w:tcPr>
            <w:tcW w:w="109" w:type="dxa"/>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7F7F7" w:val="clear"/>
            <w:tcMar>
              <w:top w:w="0" w:type="dxa"/>
              <w:left w:w="0" w:type="dxa"/>
              <w:bottom w:w="0" w:type="dxa"/>
              <w:right w:w="0" w:type="dxa"/>
            </w:tcMar>
            <w:vAlign w:val="center"/>
          </w:tcPr>
          <w:p>
            <w:pPr>
              <w:pStyle w:val="TableContents"/>
              <w:bidi w:val="0"/>
              <w:spacing w:lineRule="auto" w:line="240" w:before="0" w:after="283"/>
              <w:jc w:val="left"/>
              <w:rPr>
                <w:rFonts w:ascii="Adelle Sans;sans-serif" w:hAnsi="Adelle Sans;sans-serif"/>
                <w:b w:val="false"/>
                <w:color w:val="000000"/>
                <w:sz w:val="18"/>
              </w:rPr>
            </w:pPr>
            <w:r>
              <w:rPr>
                <w:rFonts w:ascii="Adelle Sans;sans-serif" w:hAnsi="Adelle Sans;sans-serif"/>
                <w:b w:val="false"/>
                <w:color w:val="000000"/>
                <w:sz w:val="18"/>
              </w:rPr>
              <w:t>$</w:t>
            </w:r>
          </w:p>
        </w:tc>
        <w:tc>
          <w:tcPr>
            <w:tcW w:w="586" w:type="dxa"/>
            <w:tcBorders/>
            <w:shd w:fill="F7F7F7"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0.69 </w:t>
            </w:r>
          </w:p>
        </w:tc>
        <w:tc>
          <w:tcPr>
            <w:tcW w:w="109" w:type="dxa"/>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7F7F7" w:val="clear"/>
            <w:tcMar>
              <w:top w:w="0" w:type="dxa"/>
              <w:left w:w="0" w:type="dxa"/>
              <w:bottom w:w="0" w:type="dxa"/>
              <w:right w:w="0" w:type="dxa"/>
            </w:tcMar>
            <w:vAlign w:val="center"/>
          </w:tcPr>
          <w:p>
            <w:pPr>
              <w:pStyle w:val="TableContents"/>
              <w:bidi w:val="0"/>
              <w:spacing w:lineRule="auto" w:line="240" w:before="0" w:after="283"/>
              <w:jc w:val="left"/>
              <w:rPr>
                <w:rFonts w:ascii="Adelle Sans;sans-serif" w:hAnsi="Adelle Sans;sans-serif"/>
                <w:b w:val="false"/>
                <w:color w:val="000000"/>
                <w:sz w:val="18"/>
              </w:rPr>
            </w:pPr>
            <w:r>
              <w:rPr>
                <w:rFonts w:ascii="Adelle Sans;sans-serif" w:hAnsi="Adelle Sans;sans-serif"/>
                <w:b w:val="false"/>
                <w:color w:val="000000"/>
                <w:sz w:val="18"/>
              </w:rPr>
              <w:t>$</w:t>
            </w:r>
          </w:p>
        </w:tc>
        <w:tc>
          <w:tcPr>
            <w:tcW w:w="601" w:type="dxa"/>
            <w:tcBorders/>
            <w:shd w:fill="F7F7F7"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(0.53)</w:t>
            </w:r>
          </w:p>
        </w:tc>
        <w:tc>
          <w:tcPr>
            <w:tcW w:w="109" w:type="dxa"/>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7F7F7" w:val="clear"/>
            <w:tcMar>
              <w:top w:w="0" w:type="dxa"/>
              <w:left w:w="0" w:type="dxa"/>
              <w:bottom w:w="0" w:type="dxa"/>
              <w:right w:w="0" w:type="dxa"/>
            </w:tcMar>
            <w:vAlign w:val="center"/>
          </w:tcPr>
          <w:p>
            <w:pPr>
              <w:pStyle w:val="TableContents"/>
              <w:bidi w:val="0"/>
              <w:spacing w:lineRule="auto" w:line="240" w:before="0" w:after="283"/>
              <w:jc w:val="left"/>
              <w:rPr>
                <w:rFonts w:ascii="Adelle Sans;sans-serif" w:hAnsi="Adelle Sans;sans-serif"/>
                <w:b w:val="false"/>
                <w:color w:val="000000"/>
                <w:sz w:val="18"/>
              </w:rPr>
            </w:pPr>
            <w:r>
              <w:rPr>
                <w:rFonts w:ascii="Adelle Sans;sans-serif" w:hAnsi="Adelle Sans;sans-serif"/>
                <w:b w:val="false"/>
                <w:color w:val="000000"/>
                <w:sz w:val="18"/>
              </w:rPr>
              <w:t>$</w:t>
            </w:r>
          </w:p>
        </w:tc>
        <w:tc>
          <w:tcPr>
            <w:tcW w:w="586" w:type="dxa"/>
            <w:tcBorders/>
            <w:shd w:fill="F7F7F7"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0.99 </w:t>
            </w:r>
          </w:p>
        </w:tc>
        <w:tc>
          <w:tcPr>
            <w:tcW w:w="109" w:type="dxa"/>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7F7F7" w:val="clear"/>
            <w:tcMar>
              <w:top w:w="0" w:type="dxa"/>
              <w:left w:w="0" w:type="dxa"/>
              <w:bottom w:w="0" w:type="dxa"/>
              <w:right w:w="0" w:type="dxa"/>
            </w:tcMar>
            <w:vAlign w:val="center"/>
          </w:tcPr>
          <w:p>
            <w:pPr>
              <w:pStyle w:val="TableContents"/>
              <w:bidi w:val="0"/>
              <w:spacing w:lineRule="auto" w:line="240" w:before="0" w:after="283"/>
              <w:jc w:val="left"/>
              <w:rPr>
                <w:rFonts w:ascii="Adelle Sans;sans-serif" w:hAnsi="Adelle Sans;sans-serif"/>
                <w:b w:val="false"/>
                <w:color w:val="000000"/>
                <w:sz w:val="18"/>
              </w:rPr>
            </w:pPr>
            <w:r>
              <w:rPr>
                <w:rFonts w:ascii="Adelle Sans;sans-serif" w:hAnsi="Adelle Sans;sans-serif"/>
                <w:b w:val="false"/>
                <w:color w:val="000000"/>
                <w:sz w:val="18"/>
              </w:rPr>
              <w:t>$</w:t>
            </w:r>
          </w:p>
        </w:tc>
        <w:tc>
          <w:tcPr>
            <w:tcW w:w="586" w:type="dxa"/>
            <w:tcBorders/>
            <w:shd w:fill="F7F7F7"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0.64 </w:t>
            </w:r>
          </w:p>
        </w:tc>
        <w:tc>
          <w:tcPr>
            <w:tcW w:w="154" w:type="dxa"/>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00"/>
        <w:jc w:val="both"/>
        <w:rPr/>
      </w:pPr>
      <w:r>
        <w:rPr/>
      </w:r>
    </w:p>
    <w:p>
      <w:pPr>
        <w:pStyle w:val="TextBody"/>
        <w:bidi w:val="0"/>
        <w:spacing w:before="0" w:after="200"/>
        <w:jc w:val="both"/>
        <w:rPr/>
      </w:pPr>
      <w:r>
        <w:rPr/>
      </w:r>
    </w:p>
    <w:p>
      <w:pPr>
        <w:pStyle w:val="TextBody"/>
        <w:bidi w:val="0"/>
        <w:spacing w:before="0" w:after="200"/>
        <w:jc w:val="both"/>
        <w:rPr/>
      </w:pPr>
      <w:r>
        <w:rPr/>
      </w:r>
    </w:p>
    <w:p>
      <w:pPr>
        <w:pStyle w:val="TextBody"/>
        <w:bidi w:val="0"/>
        <w:spacing w:before="0" w:after="200"/>
        <w:jc w:val="both"/>
        <w:rPr/>
      </w:pPr>
      <w:r>
        <w:rPr/>
      </w:r>
    </w:p>
    <w:p>
      <w:pPr>
        <w:pStyle w:val="TextBody"/>
        <w:bidi w:val="0"/>
        <w:spacing w:before="0" w:after="200"/>
        <w:jc w:val="both"/>
        <w:rPr/>
      </w:pPr>
      <w:r>
        <w:rPr/>
      </w:r>
    </w:p>
    <w:p>
      <w:pPr>
        <w:pStyle w:val="TextBody"/>
        <w:bidi w:val="0"/>
        <w:spacing w:before="0" w:after="20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7955"/>
                <wp:effectExtent l="0" t="0" r="0" b="0"/>
                <wp:wrapNone/>
                <wp:docPr id="37" name="Frame36"/>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200"/>
                              <w:jc w:val="center"/>
                              <w:rPr>
                                <w:rFonts w:ascii="Adelle Sans Light;sans-serif" w:hAnsi="Adelle Sans Light;sans-serif"/>
                                <w:b w:val="false"/>
                                <w:color w:val="000000"/>
                                <w:sz w:val="20"/>
                              </w:rPr>
                            </w:pPr>
                            <w:r>
                              <w:rPr>
                                <w:rFonts w:ascii="Adelle Sans Light;sans-serif" w:hAnsi="Adelle Sans Light;sans-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Adelle Sans Light;sans-serif" w:hAnsi="Adelle Sans Light;sans-serif"/>
                          <w:b w:val="false"/>
                          <w:color w:val="000000"/>
                          <w:sz w:val="20"/>
                        </w:rPr>
                      </w:pPr>
                      <w:r>
                        <w:rPr>
                          <w:rFonts w:ascii="Adelle Sans Light;sans-serif" w:hAnsi="Adelle Sans Light;sans-serif"/>
                          <w:b w:val="false"/>
                          <w:color w:val="000000"/>
                          <w:sz w:val="20"/>
                        </w:rPr>
                        <w:t>36</w:t>
                      </w:r>
                    </w:p>
                  </w:txbxContent>
                </v:textbox>
                <w10:wrap type="none"/>
              </v:rect>
            </w:pict>
          </mc:Fallback>
        </mc:AlternateContent>
      </w:r>
    </w:p>
    <w:p>
      <w:pPr>
        <w:pStyle w:val="TextBody"/>
        <w:bidi w:val="0"/>
        <w:spacing w:lineRule="auto" w:line="288" w:before="0" w:after="200"/>
        <w:jc w:val="both"/>
        <w:rPr/>
      </w:pPr>
      <w:hyperlink w:anchor="iccccf23fa31e44f0aa82c99ca0859db8_7">
        <w:r>
          <w:rPr>
            <w:rStyle w:val="InternetLink"/>
            <w:rFonts w:ascii="Adelle Sans Light;sans-serif" w:hAnsi="Adelle Sans Light;sans-serif"/>
            <w:b w:val="false"/>
            <w:color w:val="0000FF"/>
            <w:sz w:val="20"/>
            <w:u w:val="single"/>
          </w:rPr>
          <w:t>Table of Contents</w:t>
        </w:r>
      </w:hyperlink>
    </w:p>
    <w:p>
      <w:pPr>
        <w:pStyle w:val="TextBody"/>
        <w:bidi w:val="0"/>
        <w:spacing w:lineRule="auto" w:line="288" w:before="0" w:after="200"/>
        <w:jc w:val="both"/>
        <w:rPr>
          <w:rFonts w:ascii="Adelle Sans Light;sans-serif" w:hAnsi="Adelle Sans Light;sans-serif"/>
          <w:b w:val="false"/>
          <w:color w:val="000000"/>
          <w:sz w:val="20"/>
        </w:rPr>
      </w:pPr>
      <w:r>
        <w:rPr>
          <w:rFonts w:ascii="Adelle Sans Light;sans-serif" w:hAnsi="Adelle Sans Light;sans-serif"/>
          <w:b w:val="false"/>
          <w:color w:val="000000"/>
          <w:sz w:val="20"/>
        </w:rPr>
        <w:t xml:space="preserve">In addition to disclosing financial results in accordance with GAAP, the table below provides supplementary non-GAAP financial measures for Non-GAAP net income and diluted net income per share to consider in evaluating operating performance. These non-GAAP measures should not be viewed as a substitute for reported results determined in accordance with GAAP, nor are they necessarily comparable to non-GAAP measures that may be presented by other companies. </w:t>
      </w:r>
    </w:p>
    <w:tbl>
      <w:tblPr>
        <w:tblW w:w="11842" w:type="dxa"/>
        <w:jc w:val="left"/>
        <w:tblInd w:w="0" w:type="dxa"/>
        <w:tblLayout w:type="fixed"/>
        <w:tblCellMar>
          <w:top w:w="28" w:type="dxa"/>
          <w:left w:w="28" w:type="dxa"/>
          <w:bottom w:w="28" w:type="dxa"/>
          <w:right w:w="28" w:type="dxa"/>
        </w:tblCellMar>
      </w:tblPr>
      <w:tblGrid>
        <w:gridCol w:w="910"/>
        <w:gridCol w:w="272"/>
        <w:gridCol w:w="274"/>
        <w:gridCol w:w="226"/>
        <w:gridCol w:w="586"/>
        <w:gridCol w:w="109"/>
        <w:gridCol w:w="109"/>
        <w:gridCol w:w="109"/>
        <w:gridCol w:w="109"/>
        <w:gridCol w:w="226"/>
        <w:gridCol w:w="601"/>
        <w:gridCol w:w="109"/>
        <w:gridCol w:w="109"/>
        <w:gridCol w:w="109"/>
        <w:gridCol w:w="109"/>
        <w:gridCol w:w="226"/>
        <w:gridCol w:w="586"/>
        <w:gridCol w:w="109"/>
        <w:gridCol w:w="109"/>
        <w:gridCol w:w="109"/>
        <w:gridCol w:w="109"/>
        <w:gridCol w:w="226"/>
        <w:gridCol w:w="586"/>
        <w:gridCol w:w="109"/>
        <w:gridCol w:w="109"/>
        <w:gridCol w:w="109"/>
        <w:gridCol w:w="109"/>
        <w:gridCol w:w="226"/>
        <w:gridCol w:w="586"/>
        <w:gridCol w:w="109"/>
        <w:gridCol w:w="109"/>
        <w:gridCol w:w="109"/>
        <w:gridCol w:w="109"/>
        <w:gridCol w:w="226"/>
        <w:gridCol w:w="601"/>
        <w:gridCol w:w="109"/>
        <w:gridCol w:w="109"/>
        <w:gridCol w:w="109"/>
        <w:gridCol w:w="109"/>
        <w:gridCol w:w="226"/>
        <w:gridCol w:w="586"/>
        <w:gridCol w:w="109"/>
        <w:gridCol w:w="109"/>
        <w:gridCol w:w="109"/>
        <w:gridCol w:w="109"/>
        <w:gridCol w:w="226"/>
        <w:gridCol w:w="586"/>
        <w:gridCol w:w="109"/>
        <w:gridCol w:w="109"/>
        <w:gridCol w:w="109"/>
        <w:gridCol w:w="109"/>
        <w:gridCol w:w="109"/>
        <w:gridCol w:w="109"/>
        <w:gridCol w:w="154"/>
      </w:tblGrid>
      <w:tr>
        <w:trPr/>
        <w:tc>
          <w:tcPr>
            <w:tcW w:w="910"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7" w:type="dxa"/>
            <w:gridSpan w:val="45"/>
            <w:tcBorders/>
            <w:tcMar>
              <w:top w:w="0" w:type="dxa"/>
              <w:left w:w="0" w:type="dxa"/>
              <w:bottom w:w="0" w:type="dxa"/>
              <w:right w:w="0" w:type="dxa"/>
            </w:tcMar>
            <w:vAlign w:val="center"/>
          </w:tcPr>
          <w:p>
            <w:pPr>
              <w:pStyle w:val="TableContents"/>
              <w:bidi w:val="0"/>
              <w:spacing w:lineRule="auto" w:line="240" w:before="0" w:after="283"/>
              <w:jc w:val="center"/>
              <w:rPr>
                <w:rFonts w:ascii="Adelle Sans;sans-serif" w:hAnsi="Adelle Sans;sans-serif"/>
                <w:b/>
                <w:color w:val="000000"/>
                <w:sz w:val="18"/>
              </w:rPr>
            </w:pPr>
            <w:r>
              <w:rPr>
                <w:rFonts w:ascii="Adelle Sans;sans-serif" w:hAnsi="Adelle Sans;sans-serif"/>
                <w:b/>
                <w:color w:val="000000"/>
                <w:sz w:val="18"/>
              </w:rPr>
              <w:t>Three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gridSpan w:val="4"/>
            <w:tcBorders/>
          </w:tcPr>
          <w:p>
            <w:pPr>
              <w:pStyle w:val="TableContents"/>
              <w:bidi w:val="0"/>
              <w:spacing w:before="0" w:after="283"/>
              <w:jc w:val="left"/>
              <w:rPr>
                <w:sz w:val="4"/>
                <w:szCs w:val="4"/>
              </w:rPr>
            </w:pPr>
            <w:r>
              <w:rPr>
                <w:sz w:val="4"/>
                <w:szCs w:val="4"/>
              </w:rPr>
            </w:r>
          </w:p>
        </w:tc>
      </w:tr>
      <w:tr>
        <w:trPr/>
        <w:tc>
          <w:tcPr>
            <w:tcW w:w="14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delle Sans;sans-serif" w:hAnsi="Adelle Sans;sans-serif"/>
                <w:b/>
                <w:color w:val="000000"/>
                <w:sz w:val="18"/>
              </w:rPr>
            </w:pPr>
            <w:r>
              <w:rPr>
                <w:rFonts w:ascii="Adelle Sans;sans-serif" w:hAnsi="Adelle Sans;sans-serif"/>
                <w:b/>
                <w:color w:val="000000"/>
                <w:sz w:val="18"/>
              </w:rPr>
              <w:t>Jun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delle Sans;sans-serif" w:hAnsi="Adelle Sans;sans-serif"/>
                <w:b/>
                <w:color w:val="000000"/>
                <w:sz w:val="18"/>
              </w:rPr>
            </w:pPr>
            <w:r>
              <w:rPr>
                <w:rFonts w:ascii="Adelle Sans;sans-serif" w:hAnsi="Adelle Sans;sans-serif"/>
                <w:b/>
                <w:color w:val="000000"/>
                <w:sz w:val="18"/>
              </w:rPr>
              <w:t>Mar 31,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delle Sans;sans-serif" w:hAnsi="Adelle Sans;sans-serif"/>
                <w:b/>
                <w:color w:val="000000"/>
                <w:sz w:val="18"/>
              </w:rPr>
            </w:pPr>
            <w:r>
              <w:rPr>
                <w:rFonts w:ascii="Adelle Sans;sans-serif" w:hAnsi="Adelle Sans;sans-serif"/>
                <w:b/>
                <w:color w:val="000000"/>
                <w:sz w:val="18"/>
              </w:rPr>
              <w:t>Dec 31,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delle Sans;sans-serif" w:hAnsi="Adelle Sans;sans-serif"/>
                <w:b/>
                <w:color w:val="000000"/>
                <w:sz w:val="18"/>
              </w:rPr>
            </w:pPr>
            <w:r>
              <w:rPr>
                <w:rFonts w:ascii="Adelle Sans;sans-serif" w:hAnsi="Adelle Sans;sans-serif"/>
                <w:b/>
                <w:color w:val="000000"/>
                <w:sz w:val="18"/>
              </w:rPr>
              <w:t>Sep 30,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delle Sans;sans-serif" w:hAnsi="Adelle Sans;sans-serif"/>
                <w:b/>
                <w:color w:val="000000"/>
                <w:sz w:val="18"/>
              </w:rPr>
            </w:pPr>
            <w:r>
              <w:rPr>
                <w:rFonts w:ascii="Adelle Sans;sans-serif" w:hAnsi="Adelle Sans;sans-serif"/>
                <w:b/>
                <w:color w:val="000000"/>
                <w:sz w:val="18"/>
              </w:rPr>
              <w:t>Jun 30,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delle Sans;sans-serif" w:hAnsi="Adelle Sans;sans-serif"/>
                <w:b/>
                <w:color w:val="000000"/>
                <w:sz w:val="18"/>
              </w:rPr>
            </w:pPr>
            <w:r>
              <w:rPr>
                <w:rFonts w:ascii="Adelle Sans;sans-serif" w:hAnsi="Adelle Sans;sans-serif"/>
                <w:b/>
                <w:color w:val="000000"/>
                <w:sz w:val="18"/>
              </w:rPr>
              <w:t>Mar 31,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delle Sans;sans-serif" w:hAnsi="Adelle Sans;sans-serif"/>
                <w:b/>
                <w:color w:val="000000"/>
                <w:sz w:val="18"/>
              </w:rPr>
            </w:pPr>
            <w:r>
              <w:rPr>
                <w:rFonts w:ascii="Adelle Sans;sans-serif" w:hAnsi="Adelle Sans;sans-serif"/>
                <w:b/>
                <w:color w:val="000000"/>
                <w:sz w:val="18"/>
              </w:rPr>
              <w:t>Dec 31,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delle Sans;sans-serif" w:hAnsi="Adelle Sans;sans-serif"/>
                <w:b/>
                <w:color w:val="000000"/>
                <w:sz w:val="18"/>
              </w:rPr>
            </w:pPr>
            <w:r>
              <w:rPr>
                <w:rFonts w:ascii="Adelle Sans;sans-serif" w:hAnsi="Adelle Sans;sans-serif"/>
                <w:b/>
                <w:color w:val="000000"/>
                <w:sz w:val="18"/>
              </w:rPr>
              <w:t>Sep 30, 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delle Sans;sans-serif" w:hAnsi="Adelle Sans;sans-serif"/>
                <w:b/>
                <w:color w:val="000000"/>
                <w:sz w:val="18"/>
              </w:rPr>
            </w:pPr>
            <w:r>
              <w:rPr>
                <w:rFonts w:ascii="Adelle Sans;sans-serif" w:hAnsi="Adelle Sans;sans-serif"/>
                <w:b/>
                <w:color w:val="000000"/>
                <w:sz w:val="18"/>
              </w:rPr>
              <w:t>GAAP net income (loss)</w:t>
            </w:r>
          </w:p>
        </w:tc>
        <w:tc>
          <w:tcPr>
            <w:tcW w:w="81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1,502 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(581)</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743 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264 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906 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(682)</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1,293 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828 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56" w:type="dxa"/>
            <w:gridSpan w:val="3"/>
            <w:tcBorders/>
            <w:shd w:fill="F7F7F7" w:val="clear"/>
            <w:tcMar>
              <w:top w:w="0" w:type="dxa"/>
              <w:left w:w="0" w:type="dxa"/>
              <w:bottom w:w="0" w:type="dxa"/>
              <w:right w:w="0" w:type="dxa"/>
            </w:tcMar>
            <w:vAlign w:val="center"/>
          </w:tcPr>
          <w:p>
            <w:pPr>
              <w:pStyle w:val="TableContents"/>
              <w:bidi w:val="0"/>
              <w:spacing w:lineRule="auto" w:line="240" w:before="0" w:after="283"/>
              <w:jc w:val="left"/>
              <w:rPr>
                <w:rFonts w:ascii="Adelle Sans;sans-serif" w:hAnsi="Adelle Sans;sans-serif"/>
                <w:b/>
                <w:color w:val="000000"/>
                <w:sz w:val="18"/>
              </w:rPr>
            </w:pPr>
            <w:r>
              <w:rPr>
                <w:rFonts w:ascii="Adelle Sans;sans-serif" w:hAnsi="Adelle Sans;sans-serif"/>
                <w:b/>
                <w:color w:val="000000"/>
                <w:sz w:val="18"/>
              </w:rPr>
              <w:t>Non-GAAP adjustments to net income (loss):</w:t>
            </w:r>
          </w:p>
        </w:tc>
        <w:tc>
          <w:tcPr>
            <w:tcW w:w="921" w:type="dxa"/>
            <w:gridSpan w:val="3"/>
            <w:tcBorders>
              <w:top w:val="single" w:sz="8" w:space="0" w:color="000000"/>
            </w:tcBorders>
            <w:shd w:fill="F7F7F7"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7F7F7"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4" w:space="0" w:color="000000"/>
            </w:tcBorders>
            <w:shd w:fill="F7F7F7"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7F7F7"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op w:val="single" w:sz="4" w:space="0" w:color="000000"/>
            </w:tcBorders>
            <w:shd w:fill="F7F7F7"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7F7F7"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op w:val="single" w:sz="4" w:space="0" w:color="000000"/>
            </w:tcBorders>
            <w:shd w:fill="F7F7F7"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7F7F7"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op w:val="single" w:sz="4" w:space="0" w:color="000000"/>
            </w:tcBorders>
            <w:shd w:fill="F7F7F7"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7F7F7"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4" w:space="0" w:color="000000"/>
            </w:tcBorders>
            <w:shd w:fill="F7F7F7"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7F7F7"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op w:val="single" w:sz="4" w:space="0" w:color="000000"/>
            </w:tcBorders>
            <w:shd w:fill="F7F7F7"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7F7F7"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op w:val="single" w:sz="4" w:space="0" w:color="000000"/>
            </w:tcBorders>
            <w:shd w:fill="F7F7F7"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5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delle Sans;sans-serif" w:hAnsi="Adelle Sans;sans-serif"/>
                <w:b w:val="false"/>
                <w:color w:val="000000"/>
                <w:sz w:val="18"/>
              </w:rPr>
              <w:t>Non-GAAP operating income adjustments</w:t>
            </w:r>
            <w:r>
              <w:rPr>
                <w:rFonts w:ascii="Adelle Sans;sans-serif" w:hAnsi="Adelle Sans;sans-serif"/>
                <w:b w:val="false"/>
                <w:color w:val="000000"/>
                <w:sz w:val="12"/>
              </w:rPr>
              <w:t>(1)(2)(3)</w:t>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135 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141 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129 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122 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133 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126 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120 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119 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56" w:type="dxa"/>
            <w:gridSpan w:val="3"/>
            <w:tcBorders/>
            <w:shd w:fill="F7F7F7" w:val="clear"/>
            <w:tcMar>
              <w:top w:w="0" w:type="dxa"/>
              <w:left w:w="0" w:type="dxa"/>
              <w:bottom w:w="0" w:type="dxa"/>
              <w:right w:w="0" w:type="dxa"/>
            </w:tcMar>
            <w:vAlign w:val="center"/>
          </w:tcPr>
          <w:p>
            <w:pPr>
              <w:pStyle w:val="TableContents"/>
              <w:bidi w:val="0"/>
              <w:spacing w:lineRule="auto" w:line="240" w:before="0" w:after="283"/>
              <w:jc w:val="left"/>
              <w:rPr>
                <w:rFonts w:ascii="Adelle Sans;sans-serif" w:hAnsi="Adelle Sans;sans-serif"/>
                <w:b w:val="false"/>
                <w:color w:val="000000"/>
                <w:sz w:val="18"/>
              </w:rPr>
            </w:pPr>
            <w:r>
              <w:rPr>
                <w:rFonts w:ascii="Adelle Sans;sans-serif" w:hAnsi="Adelle Sans;sans-serif"/>
                <w:b w:val="false"/>
                <w:color w:val="000000"/>
                <w:sz w:val="18"/>
              </w:rPr>
              <w:t>Net (gain) loss on equity and other investments</w:t>
            </w:r>
          </w:p>
        </w:tc>
        <w:tc>
          <w:tcPr>
            <w:tcW w:w="812" w:type="dxa"/>
            <w:gridSpan w:val="2"/>
            <w:tcBorders/>
            <w:shd w:fill="F7F7F7"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(1,250)</w:t>
            </w:r>
          </w:p>
        </w:tc>
        <w:tc>
          <w:tcPr>
            <w:tcW w:w="109" w:type="dxa"/>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7F7F7"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1,061 </w:t>
            </w:r>
          </w:p>
        </w:tc>
        <w:tc>
          <w:tcPr>
            <w:tcW w:w="109" w:type="dxa"/>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7F7F7"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(248)</w:t>
            </w:r>
          </w:p>
        </w:tc>
        <w:tc>
          <w:tcPr>
            <w:tcW w:w="109" w:type="dxa"/>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7F7F7"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62 </w:t>
            </w:r>
          </w:p>
        </w:tc>
        <w:tc>
          <w:tcPr>
            <w:tcW w:w="109" w:type="dxa"/>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7F7F7"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(682)</w:t>
            </w:r>
          </w:p>
        </w:tc>
        <w:tc>
          <w:tcPr>
            <w:tcW w:w="109" w:type="dxa"/>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7F7F7"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1,021 </w:t>
            </w:r>
          </w:p>
        </w:tc>
        <w:tc>
          <w:tcPr>
            <w:tcW w:w="109" w:type="dxa"/>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7F7F7"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(928)</w:t>
            </w:r>
          </w:p>
        </w:tc>
        <w:tc>
          <w:tcPr>
            <w:tcW w:w="109" w:type="dxa"/>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7F7F7"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(512)</w:t>
            </w:r>
          </w:p>
        </w:tc>
        <w:tc>
          <w:tcPr>
            <w:tcW w:w="109" w:type="dxa"/>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delle Sans;sans-serif" w:hAnsi="Adelle Sans;sans-serif"/>
                <w:b w:val="false"/>
                <w:color w:val="000000"/>
                <w:sz w:val="18"/>
              </w:rPr>
            </w:pPr>
            <w:r>
              <w:rPr>
                <w:rFonts w:ascii="Adelle Sans;sans-serif" w:hAnsi="Adelle Sans;sans-serif"/>
                <w:b w:val="false"/>
                <w:color w:val="000000"/>
                <w:sz w:val="18"/>
              </w:rPr>
              <w:t>Net loss (gain) on equity method investment</w:t>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(28)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56" w:type="dxa"/>
            <w:gridSpan w:val="3"/>
            <w:tcBorders/>
            <w:shd w:fill="F7F7F7" w:val="clear"/>
            <w:tcMar>
              <w:top w:w="0" w:type="dxa"/>
              <w:left w:w="0" w:type="dxa"/>
              <w:bottom w:w="0" w:type="dxa"/>
              <w:right w:w="0" w:type="dxa"/>
            </w:tcMar>
            <w:vAlign w:val="center"/>
          </w:tcPr>
          <w:p>
            <w:pPr>
              <w:pStyle w:val="TableContents"/>
              <w:bidi w:val="0"/>
              <w:spacing w:lineRule="auto" w:line="240" w:before="0" w:after="0"/>
              <w:jc w:val="left"/>
              <w:rPr/>
            </w:pPr>
            <w:r>
              <w:rPr>
                <w:rFonts w:ascii="Adelle Sans;sans-serif" w:hAnsi="Adelle Sans;sans-serif"/>
                <w:b w:val="false"/>
                <w:color w:val="000000"/>
                <w:sz w:val="18"/>
              </w:rPr>
              <w:t>Loss on embedded derivative</w:t>
            </w:r>
            <w:r>
              <w:rPr>
                <w:rFonts w:ascii="Adelle Sans;sans-serif" w:hAnsi="Adelle Sans;sans-serif"/>
                <w:b w:val="false"/>
                <w:color w:val="000000"/>
                <w:sz w:val="12"/>
              </w:rPr>
              <w:t>(4)</w:t>
            </w:r>
          </w:p>
        </w:tc>
        <w:tc>
          <w:tcPr>
            <w:tcW w:w="812" w:type="dxa"/>
            <w:gridSpan w:val="2"/>
            <w:tcBorders/>
            <w:shd w:fill="F7F7F7"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7F7F7"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7F7F7"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94 </w:t>
            </w:r>
          </w:p>
        </w:tc>
        <w:tc>
          <w:tcPr>
            <w:tcW w:w="109" w:type="dxa"/>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7F7F7"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29 </w:t>
            </w:r>
          </w:p>
        </w:tc>
        <w:tc>
          <w:tcPr>
            <w:tcW w:w="109" w:type="dxa"/>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7F7F7"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7F7F7"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7F7F7"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7F7F7"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delle Sans;sans-serif" w:hAnsi="Adelle Sans;sans-serif"/>
                <w:b w:val="false"/>
                <w:color w:val="000000"/>
                <w:sz w:val="18"/>
              </w:rPr>
            </w:pPr>
            <w:r>
              <w:rPr>
                <w:rFonts w:ascii="Adelle Sans;sans-serif" w:hAnsi="Adelle Sans;sans-serif"/>
                <w:b w:val="false"/>
                <w:color w:val="000000"/>
                <w:sz w:val="18"/>
              </w:rPr>
              <w:t>Income tax effects and adjustments</w:t>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140 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(171)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(57)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(57)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(153)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56" w:type="dxa"/>
            <w:gridSpan w:val="3"/>
            <w:tcBorders/>
            <w:shd w:fill="F7F7F7" w:val="clear"/>
            <w:tcMar>
              <w:top w:w="0" w:type="dxa"/>
              <w:left w:w="0" w:type="dxa"/>
              <w:bottom w:w="0" w:type="dxa"/>
              <w:right w:w="0" w:type="dxa"/>
            </w:tcMar>
            <w:vAlign w:val="center"/>
          </w:tcPr>
          <w:p>
            <w:pPr>
              <w:pStyle w:val="TableContents"/>
              <w:bidi w:val="0"/>
              <w:spacing w:lineRule="auto" w:line="240" w:before="0" w:after="283"/>
              <w:jc w:val="left"/>
              <w:rPr>
                <w:rFonts w:ascii="Adelle Sans;sans-serif" w:hAnsi="Adelle Sans;sans-serif"/>
                <w:b/>
                <w:color w:val="000000"/>
                <w:sz w:val="18"/>
              </w:rPr>
            </w:pPr>
            <w:r>
              <w:rPr>
                <w:rFonts w:ascii="Adelle Sans;sans-serif" w:hAnsi="Adelle Sans;sans-serif"/>
                <w:b/>
                <w:color w:val="000000"/>
                <w:sz w:val="18"/>
              </w:rPr>
              <w:t xml:space="preserve">Non-GAAP net income </w:t>
            </w:r>
          </w:p>
        </w:tc>
        <w:tc>
          <w:tcPr>
            <w:tcW w:w="812" w:type="dxa"/>
            <w:gridSpan w:val="2"/>
            <w:tcBorders>
              <w:top w:val="single" w:sz="4" w:space="0" w:color="000000"/>
            </w:tcBorders>
            <w:shd w:fill="F7F7F7" w:val="clear"/>
            <w:tcMar>
              <w:top w:w="52"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549 </w:t>
            </w:r>
          </w:p>
        </w:tc>
        <w:tc>
          <w:tcPr>
            <w:tcW w:w="109" w:type="dxa"/>
            <w:tcBorders>
              <w:top w:val="single" w:sz="4" w:space="0" w:color="000000"/>
            </w:tcBorders>
            <w:shd w:fill="F7F7F7"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7F7F7"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4" w:space="0" w:color="000000"/>
            </w:tcBorders>
            <w:shd w:fill="F7F7F7" w:val="clear"/>
            <w:tcMar>
              <w:top w:w="52"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471 </w:t>
            </w:r>
          </w:p>
        </w:tc>
        <w:tc>
          <w:tcPr>
            <w:tcW w:w="109" w:type="dxa"/>
            <w:tcBorders>
              <w:top w:val="single" w:sz="4" w:space="0" w:color="000000"/>
            </w:tcBorders>
            <w:shd w:fill="F7F7F7"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7F7F7"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top w:val="single" w:sz="4" w:space="0" w:color="000000"/>
            </w:tcBorders>
            <w:shd w:fill="F7F7F7" w:val="clear"/>
            <w:tcMar>
              <w:top w:w="52"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633 </w:t>
            </w:r>
          </w:p>
        </w:tc>
        <w:tc>
          <w:tcPr>
            <w:tcW w:w="109" w:type="dxa"/>
            <w:tcBorders>
              <w:top w:val="single" w:sz="4" w:space="0" w:color="000000"/>
            </w:tcBorders>
            <w:shd w:fill="F7F7F7"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7F7F7"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top w:val="single" w:sz="4" w:space="0" w:color="000000"/>
            </w:tcBorders>
            <w:shd w:fill="F7F7F7" w:val="clear"/>
            <w:tcMar>
              <w:top w:w="52"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441 </w:t>
            </w:r>
          </w:p>
        </w:tc>
        <w:tc>
          <w:tcPr>
            <w:tcW w:w="109" w:type="dxa"/>
            <w:tcBorders>
              <w:top w:val="single" w:sz="4" w:space="0" w:color="000000"/>
            </w:tcBorders>
            <w:shd w:fill="F7F7F7"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7F7F7"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top w:val="single" w:sz="4" w:space="0" w:color="000000"/>
            </w:tcBorders>
            <w:shd w:fill="F7F7F7" w:val="clear"/>
            <w:tcMar>
              <w:top w:w="52"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455 </w:t>
            </w:r>
          </w:p>
        </w:tc>
        <w:tc>
          <w:tcPr>
            <w:tcW w:w="109" w:type="dxa"/>
            <w:tcBorders>
              <w:top w:val="single" w:sz="4" w:space="0" w:color="000000"/>
            </w:tcBorders>
            <w:shd w:fill="F7F7F7"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7F7F7"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4" w:space="0" w:color="000000"/>
            </w:tcBorders>
            <w:shd w:fill="F7F7F7" w:val="clear"/>
            <w:tcMar>
              <w:top w:w="52"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335 </w:t>
            </w:r>
          </w:p>
        </w:tc>
        <w:tc>
          <w:tcPr>
            <w:tcW w:w="109" w:type="dxa"/>
            <w:tcBorders>
              <w:top w:val="single" w:sz="4" w:space="0" w:color="000000"/>
            </w:tcBorders>
            <w:shd w:fill="F7F7F7"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7F7F7"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top w:val="single" w:sz="4" w:space="0" w:color="000000"/>
            </w:tcBorders>
            <w:shd w:fill="F7F7F7" w:val="clear"/>
            <w:tcMar>
              <w:top w:w="52"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575 </w:t>
            </w:r>
          </w:p>
        </w:tc>
        <w:tc>
          <w:tcPr>
            <w:tcW w:w="109" w:type="dxa"/>
            <w:tcBorders>
              <w:top w:val="single" w:sz="4" w:space="0" w:color="000000"/>
            </w:tcBorders>
            <w:shd w:fill="F7F7F7"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7F7F7"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top w:val="single" w:sz="4" w:space="0" w:color="000000"/>
            </w:tcBorders>
            <w:shd w:fill="F7F7F7" w:val="clear"/>
            <w:tcMar>
              <w:top w:w="52"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459 </w:t>
            </w:r>
          </w:p>
        </w:tc>
        <w:tc>
          <w:tcPr>
            <w:tcW w:w="109" w:type="dxa"/>
            <w:tcBorders>
              <w:top w:val="single" w:sz="4" w:space="0" w:color="000000"/>
            </w:tcBorders>
            <w:shd w:fill="F7F7F7"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56" w:type="dxa"/>
            <w:gridSpan w:val="3"/>
            <w:tcBorders/>
            <w:shd w:fill="F7F7F7" w:val="clear"/>
            <w:tcMar>
              <w:top w:w="0" w:type="dxa"/>
              <w:left w:w="0" w:type="dxa"/>
              <w:bottom w:w="0" w:type="dxa"/>
              <w:right w:w="0" w:type="dxa"/>
            </w:tcMar>
            <w:vAlign w:val="center"/>
          </w:tcPr>
          <w:p>
            <w:pPr>
              <w:pStyle w:val="TableContents"/>
              <w:bidi w:val="0"/>
              <w:spacing w:lineRule="auto" w:line="240" w:before="0" w:after="283"/>
              <w:jc w:val="left"/>
              <w:rPr>
                <w:rFonts w:ascii="Adelle Sans;sans-serif" w:hAnsi="Adelle Sans;sans-serif"/>
                <w:b/>
                <w:color w:val="000000"/>
                <w:sz w:val="18"/>
              </w:rPr>
            </w:pPr>
            <w:r>
              <w:rPr>
                <w:rFonts w:ascii="Adelle Sans;sans-serif" w:hAnsi="Adelle Sans;sans-serif"/>
                <w:b/>
                <w:color w:val="000000"/>
                <w:sz w:val="18"/>
              </w:rPr>
              <w:t>Diluted net income (loss) per share attributable to shareholders*:</w:t>
            </w:r>
          </w:p>
        </w:tc>
        <w:tc>
          <w:tcPr>
            <w:tcW w:w="921"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delle Sans;sans-serif" w:hAnsi="Adelle Sans;sans-serif"/>
                <w:b w:val="false"/>
                <w:color w:val="000000"/>
                <w:sz w:val="18"/>
              </w:rPr>
            </w:pPr>
            <w:r>
              <w:rPr>
                <w:rFonts w:ascii="Adelle Sans;sans-serif" w:hAnsi="Adelle Sans;sans-serif"/>
                <w:b w:val="false"/>
                <w:color w:val="000000"/>
                <w:sz w:val="18"/>
              </w:rPr>
              <w:t>GAAP</w:t>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delle Sans;sans-serif" w:hAnsi="Adelle Sans;sans-serif"/>
                <w:b w:val="false"/>
                <w:color w:val="000000"/>
                <w:sz w:val="18"/>
              </w:rPr>
            </w:pPr>
            <w:r>
              <w:rPr>
                <w:rFonts w:ascii="Adelle Sans;sans-serif" w:hAnsi="Adelle Sans;sans-serif"/>
                <w:b w:val="false"/>
                <w:color w:val="000000"/>
                <w:sz w:val="18"/>
              </w:rPr>
              <w:t>$</w:t>
            </w:r>
          </w:p>
        </w:tc>
        <w:tc>
          <w:tcPr>
            <w:tcW w:w="5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1.16 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delle Sans;sans-serif" w:hAnsi="Adelle Sans;sans-serif"/>
                <w:b w:val="false"/>
                <w:color w:val="000000"/>
                <w:sz w:val="18"/>
              </w:rPr>
            </w:pPr>
            <w:r>
              <w:rPr>
                <w:rFonts w:ascii="Adelle Sans;sans-serif" w:hAnsi="Adelle Sans;sans-serif"/>
                <w:b w:val="false"/>
                <w:color w:val="000000"/>
                <w:sz w:val="18"/>
              </w:rPr>
              <w:t>$</w:t>
            </w:r>
          </w:p>
        </w:tc>
        <w:tc>
          <w:tcPr>
            <w:tcW w:w="6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(0.45)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delle Sans;sans-serif" w:hAnsi="Adelle Sans;sans-serif"/>
                <w:b w:val="false"/>
                <w:color w:val="000000"/>
                <w:sz w:val="18"/>
              </w:rPr>
            </w:pPr>
            <w:r>
              <w:rPr>
                <w:rFonts w:ascii="Adelle Sans;sans-serif" w:hAnsi="Adelle Sans;sans-serif"/>
                <w:b w:val="false"/>
                <w:color w:val="000000"/>
                <w:sz w:val="18"/>
              </w:rPr>
              <w:t>$</w:t>
            </w:r>
          </w:p>
        </w:tc>
        <w:tc>
          <w:tcPr>
            <w:tcW w:w="5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0.57 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delle Sans;sans-serif" w:hAnsi="Adelle Sans;sans-serif"/>
                <w:b w:val="false"/>
                <w:color w:val="000000"/>
                <w:sz w:val="18"/>
              </w:rPr>
            </w:pPr>
            <w:r>
              <w:rPr>
                <w:rFonts w:ascii="Adelle Sans;sans-serif" w:hAnsi="Adelle Sans;sans-serif"/>
                <w:b w:val="false"/>
                <w:color w:val="000000"/>
                <w:sz w:val="18"/>
              </w:rPr>
              <w:t>$</w:t>
            </w:r>
          </w:p>
        </w:tc>
        <w:tc>
          <w:tcPr>
            <w:tcW w:w="5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0.20 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delle Sans;sans-serif" w:hAnsi="Adelle Sans;sans-serif"/>
                <w:b w:val="false"/>
                <w:color w:val="000000"/>
                <w:sz w:val="18"/>
              </w:rPr>
            </w:pPr>
            <w:r>
              <w:rPr>
                <w:rFonts w:ascii="Adelle Sans;sans-serif" w:hAnsi="Adelle Sans;sans-serif"/>
                <w:b w:val="false"/>
                <w:color w:val="000000"/>
                <w:sz w:val="18"/>
              </w:rPr>
              <w:t>$</w:t>
            </w:r>
          </w:p>
        </w:tc>
        <w:tc>
          <w:tcPr>
            <w:tcW w:w="5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0.69 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delle Sans;sans-serif" w:hAnsi="Adelle Sans;sans-serif"/>
                <w:b w:val="false"/>
                <w:color w:val="000000"/>
                <w:sz w:val="18"/>
              </w:rPr>
            </w:pPr>
            <w:r>
              <w:rPr>
                <w:rFonts w:ascii="Adelle Sans;sans-serif" w:hAnsi="Adelle Sans;sans-serif"/>
                <w:b w:val="false"/>
                <w:color w:val="000000"/>
                <w:sz w:val="18"/>
              </w:rPr>
              <w:t>$</w:t>
            </w:r>
          </w:p>
        </w:tc>
        <w:tc>
          <w:tcPr>
            <w:tcW w:w="6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(0.53)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delle Sans;sans-serif" w:hAnsi="Adelle Sans;sans-serif"/>
                <w:b w:val="false"/>
                <w:color w:val="000000"/>
                <w:sz w:val="18"/>
              </w:rPr>
            </w:pPr>
            <w:r>
              <w:rPr>
                <w:rFonts w:ascii="Adelle Sans;sans-serif" w:hAnsi="Adelle Sans;sans-serif"/>
                <w:b w:val="false"/>
                <w:color w:val="000000"/>
                <w:sz w:val="18"/>
              </w:rPr>
              <w:t>$</w:t>
            </w:r>
          </w:p>
        </w:tc>
        <w:tc>
          <w:tcPr>
            <w:tcW w:w="5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0.99 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delle Sans;sans-serif" w:hAnsi="Adelle Sans;sans-serif"/>
                <w:b w:val="false"/>
                <w:color w:val="000000"/>
                <w:sz w:val="18"/>
              </w:rPr>
            </w:pPr>
            <w:r>
              <w:rPr>
                <w:rFonts w:ascii="Adelle Sans;sans-serif" w:hAnsi="Adelle Sans;sans-serif"/>
                <w:b w:val="false"/>
                <w:color w:val="000000"/>
                <w:sz w:val="18"/>
              </w:rPr>
              <w:t>$</w:t>
            </w:r>
          </w:p>
        </w:tc>
        <w:tc>
          <w:tcPr>
            <w:tcW w:w="5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0.64 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56" w:type="dxa"/>
            <w:gridSpan w:val="3"/>
            <w:tcBorders/>
            <w:shd w:fill="F7F7F7" w:val="clear"/>
            <w:tcMar>
              <w:top w:w="0" w:type="dxa"/>
              <w:left w:w="0" w:type="dxa"/>
              <w:bottom w:w="0" w:type="dxa"/>
              <w:right w:w="0" w:type="dxa"/>
            </w:tcMar>
            <w:vAlign w:val="center"/>
          </w:tcPr>
          <w:p>
            <w:pPr>
              <w:pStyle w:val="TableContents"/>
              <w:bidi w:val="0"/>
              <w:spacing w:lineRule="auto" w:line="240" w:before="0" w:after="283"/>
              <w:jc w:val="left"/>
              <w:rPr>
                <w:rFonts w:ascii="Adelle Sans;sans-serif" w:hAnsi="Adelle Sans;sans-serif"/>
                <w:b w:val="false"/>
                <w:color w:val="000000"/>
                <w:sz w:val="18"/>
              </w:rPr>
            </w:pPr>
            <w:r>
              <w:rPr>
                <w:rFonts w:ascii="Adelle Sans;sans-serif" w:hAnsi="Adelle Sans;sans-serif"/>
                <w:b w:val="false"/>
                <w:color w:val="000000"/>
                <w:sz w:val="18"/>
              </w:rPr>
              <w:t>Non-GAAP</w:t>
            </w:r>
          </w:p>
        </w:tc>
        <w:tc>
          <w:tcPr>
            <w:tcW w:w="226" w:type="dxa"/>
            <w:tcBorders/>
            <w:shd w:fill="F7F7F7" w:val="clear"/>
            <w:tcMar>
              <w:top w:w="0" w:type="dxa"/>
              <w:left w:w="0" w:type="dxa"/>
              <w:bottom w:w="0" w:type="dxa"/>
              <w:right w:w="0" w:type="dxa"/>
            </w:tcMar>
            <w:vAlign w:val="center"/>
          </w:tcPr>
          <w:p>
            <w:pPr>
              <w:pStyle w:val="TableContents"/>
              <w:bidi w:val="0"/>
              <w:spacing w:lineRule="auto" w:line="240" w:before="0" w:after="283"/>
              <w:jc w:val="left"/>
              <w:rPr>
                <w:rFonts w:ascii="Adelle Sans;sans-serif" w:hAnsi="Adelle Sans;sans-serif"/>
                <w:b w:val="false"/>
                <w:color w:val="000000"/>
                <w:sz w:val="18"/>
              </w:rPr>
            </w:pPr>
            <w:r>
              <w:rPr>
                <w:rFonts w:ascii="Adelle Sans;sans-serif" w:hAnsi="Adelle Sans;sans-serif"/>
                <w:b w:val="false"/>
                <w:color w:val="000000"/>
                <w:sz w:val="18"/>
              </w:rPr>
              <w:t>$</w:t>
            </w:r>
          </w:p>
        </w:tc>
        <w:tc>
          <w:tcPr>
            <w:tcW w:w="586" w:type="dxa"/>
            <w:tcBorders/>
            <w:shd w:fill="F7F7F7"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0.42 </w:t>
            </w:r>
          </w:p>
        </w:tc>
        <w:tc>
          <w:tcPr>
            <w:tcW w:w="109" w:type="dxa"/>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7F7F7" w:val="clear"/>
            <w:tcMar>
              <w:top w:w="0" w:type="dxa"/>
              <w:left w:w="0" w:type="dxa"/>
              <w:bottom w:w="0" w:type="dxa"/>
              <w:right w:w="0" w:type="dxa"/>
            </w:tcMar>
            <w:vAlign w:val="center"/>
          </w:tcPr>
          <w:p>
            <w:pPr>
              <w:pStyle w:val="TableContents"/>
              <w:bidi w:val="0"/>
              <w:spacing w:lineRule="auto" w:line="240" w:before="0" w:after="283"/>
              <w:jc w:val="left"/>
              <w:rPr>
                <w:rFonts w:ascii="Adelle Sans;sans-serif" w:hAnsi="Adelle Sans;sans-serif"/>
                <w:b w:val="false"/>
                <w:color w:val="000000"/>
                <w:sz w:val="18"/>
              </w:rPr>
            </w:pPr>
            <w:r>
              <w:rPr>
                <w:rFonts w:ascii="Adelle Sans;sans-serif" w:hAnsi="Adelle Sans;sans-serif"/>
                <w:b w:val="false"/>
                <w:color w:val="000000"/>
                <w:sz w:val="18"/>
              </w:rPr>
              <w:t>$</w:t>
            </w:r>
          </w:p>
        </w:tc>
        <w:tc>
          <w:tcPr>
            <w:tcW w:w="601" w:type="dxa"/>
            <w:tcBorders/>
            <w:shd w:fill="F7F7F7"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0.36 </w:t>
            </w:r>
          </w:p>
        </w:tc>
        <w:tc>
          <w:tcPr>
            <w:tcW w:w="109" w:type="dxa"/>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7F7F7" w:val="clear"/>
            <w:tcMar>
              <w:top w:w="0" w:type="dxa"/>
              <w:left w:w="0" w:type="dxa"/>
              <w:bottom w:w="0" w:type="dxa"/>
              <w:right w:w="0" w:type="dxa"/>
            </w:tcMar>
            <w:vAlign w:val="center"/>
          </w:tcPr>
          <w:p>
            <w:pPr>
              <w:pStyle w:val="TableContents"/>
              <w:bidi w:val="0"/>
              <w:spacing w:lineRule="auto" w:line="240" w:before="0" w:after="283"/>
              <w:jc w:val="left"/>
              <w:rPr>
                <w:rFonts w:ascii="Adelle Sans;sans-serif" w:hAnsi="Adelle Sans;sans-serif"/>
                <w:b w:val="false"/>
                <w:color w:val="000000"/>
                <w:sz w:val="18"/>
              </w:rPr>
            </w:pPr>
            <w:r>
              <w:rPr>
                <w:rFonts w:ascii="Adelle Sans;sans-serif" w:hAnsi="Adelle Sans;sans-serif"/>
                <w:b w:val="false"/>
                <w:color w:val="000000"/>
                <w:sz w:val="18"/>
              </w:rPr>
              <w:t>$</w:t>
            </w:r>
          </w:p>
        </w:tc>
        <w:tc>
          <w:tcPr>
            <w:tcW w:w="586" w:type="dxa"/>
            <w:tcBorders/>
            <w:shd w:fill="F7F7F7"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0.48 </w:t>
            </w:r>
          </w:p>
        </w:tc>
        <w:tc>
          <w:tcPr>
            <w:tcW w:w="109" w:type="dxa"/>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7F7F7" w:val="clear"/>
            <w:tcMar>
              <w:top w:w="0" w:type="dxa"/>
              <w:left w:w="0" w:type="dxa"/>
              <w:bottom w:w="0" w:type="dxa"/>
              <w:right w:w="0" w:type="dxa"/>
            </w:tcMar>
            <w:vAlign w:val="center"/>
          </w:tcPr>
          <w:p>
            <w:pPr>
              <w:pStyle w:val="TableContents"/>
              <w:bidi w:val="0"/>
              <w:spacing w:lineRule="auto" w:line="240" w:before="0" w:after="283"/>
              <w:jc w:val="left"/>
              <w:rPr>
                <w:rFonts w:ascii="Adelle Sans;sans-serif" w:hAnsi="Adelle Sans;sans-serif"/>
                <w:b w:val="false"/>
                <w:color w:val="000000"/>
                <w:sz w:val="18"/>
              </w:rPr>
            </w:pPr>
            <w:r>
              <w:rPr>
                <w:rFonts w:ascii="Adelle Sans;sans-serif" w:hAnsi="Adelle Sans;sans-serif"/>
                <w:b w:val="false"/>
                <w:color w:val="000000"/>
                <w:sz w:val="18"/>
              </w:rPr>
              <w:t>$</w:t>
            </w:r>
          </w:p>
        </w:tc>
        <w:tc>
          <w:tcPr>
            <w:tcW w:w="586" w:type="dxa"/>
            <w:tcBorders/>
            <w:shd w:fill="F7F7F7"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0.34 </w:t>
            </w:r>
          </w:p>
        </w:tc>
        <w:tc>
          <w:tcPr>
            <w:tcW w:w="109" w:type="dxa"/>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7F7F7" w:val="clear"/>
            <w:tcMar>
              <w:top w:w="0" w:type="dxa"/>
              <w:left w:w="0" w:type="dxa"/>
              <w:bottom w:w="0" w:type="dxa"/>
              <w:right w:w="0" w:type="dxa"/>
            </w:tcMar>
            <w:vAlign w:val="center"/>
          </w:tcPr>
          <w:p>
            <w:pPr>
              <w:pStyle w:val="TableContents"/>
              <w:bidi w:val="0"/>
              <w:spacing w:lineRule="auto" w:line="240" w:before="0" w:after="283"/>
              <w:jc w:val="left"/>
              <w:rPr>
                <w:rFonts w:ascii="Adelle Sans;sans-serif" w:hAnsi="Adelle Sans;sans-serif"/>
                <w:b w:val="false"/>
                <w:color w:val="000000"/>
                <w:sz w:val="18"/>
              </w:rPr>
            </w:pPr>
            <w:r>
              <w:rPr>
                <w:rFonts w:ascii="Adelle Sans;sans-serif" w:hAnsi="Adelle Sans;sans-serif"/>
                <w:b w:val="false"/>
                <w:color w:val="000000"/>
                <w:sz w:val="18"/>
              </w:rPr>
              <w:t>$</w:t>
            </w:r>
          </w:p>
        </w:tc>
        <w:tc>
          <w:tcPr>
            <w:tcW w:w="586" w:type="dxa"/>
            <w:tcBorders/>
            <w:shd w:fill="F7F7F7"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0.35 </w:t>
            </w:r>
          </w:p>
        </w:tc>
        <w:tc>
          <w:tcPr>
            <w:tcW w:w="109" w:type="dxa"/>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7F7F7" w:val="clear"/>
            <w:tcMar>
              <w:top w:w="0" w:type="dxa"/>
              <w:left w:w="0" w:type="dxa"/>
              <w:bottom w:w="0" w:type="dxa"/>
              <w:right w:w="0" w:type="dxa"/>
            </w:tcMar>
            <w:vAlign w:val="center"/>
          </w:tcPr>
          <w:p>
            <w:pPr>
              <w:pStyle w:val="TableContents"/>
              <w:bidi w:val="0"/>
              <w:spacing w:lineRule="auto" w:line="240" w:before="0" w:after="283"/>
              <w:jc w:val="left"/>
              <w:rPr>
                <w:rFonts w:ascii="Adelle Sans;sans-serif" w:hAnsi="Adelle Sans;sans-serif"/>
                <w:b w:val="false"/>
                <w:color w:val="000000"/>
                <w:sz w:val="18"/>
              </w:rPr>
            </w:pPr>
            <w:r>
              <w:rPr>
                <w:rFonts w:ascii="Adelle Sans;sans-serif" w:hAnsi="Adelle Sans;sans-serif"/>
                <w:b w:val="false"/>
                <w:color w:val="000000"/>
                <w:sz w:val="18"/>
              </w:rPr>
              <w:t>$</w:t>
            </w:r>
          </w:p>
        </w:tc>
        <w:tc>
          <w:tcPr>
            <w:tcW w:w="601" w:type="dxa"/>
            <w:tcBorders/>
            <w:shd w:fill="F7F7F7"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0.25 </w:t>
            </w:r>
          </w:p>
        </w:tc>
        <w:tc>
          <w:tcPr>
            <w:tcW w:w="109" w:type="dxa"/>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7F7F7" w:val="clear"/>
            <w:tcMar>
              <w:top w:w="0" w:type="dxa"/>
              <w:left w:w="0" w:type="dxa"/>
              <w:bottom w:w="0" w:type="dxa"/>
              <w:right w:w="0" w:type="dxa"/>
            </w:tcMar>
            <w:vAlign w:val="center"/>
          </w:tcPr>
          <w:p>
            <w:pPr>
              <w:pStyle w:val="TableContents"/>
              <w:bidi w:val="0"/>
              <w:spacing w:lineRule="auto" w:line="240" w:before="0" w:after="283"/>
              <w:jc w:val="left"/>
              <w:rPr>
                <w:rFonts w:ascii="Adelle Sans;sans-serif" w:hAnsi="Adelle Sans;sans-serif"/>
                <w:b w:val="false"/>
                <w:color w:val="000000"/>
                <w:sz w:val="18"/>
              </w:rPr>
            </w:pPr>
            <w:r>
              <w:rPr>
                <w:rFonts w:ascii="Adelle Sans;sans-serif" w:hAnsi="Adelle Sans;sans-serif"/>
                <w:b w:val="false"/>
                <w:color w:val="000000"/>
                <w:sz w:val="18"/>
              </w:rPr>
              <w:t>$</w:t>
            </w:r>
          </w:p>
        </w:tc>
        <w:tc>
          <w:tcPr>
            <w:tcW w:w="586" w:type="dxa"/>
            <w:tcBorders/>
            <w:shd w:fill="F7F7F7"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0.44 </w:t>
            </w:r>
          </w:p>
        </w:tc>
        <w:tc>
          <w:tcPr>
            <w:tcW w:w="109" w:type="dxa"/>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7F7F7" w:val="clear"/>
            <w:tcMar>
              <w:top w:w="0" w:type="dxa"/>
              <w:left w:w="0" w:type="dxa"/>
              <w:bottom w:w="0" w:type="dxa"/>
              <w:right w:w="0" w:type="dxa"/>
            </w:tcMar>
            <w:vAlign w:val="center"/>
          </w:tcPr>
          <w:p>
            <w:pPr>
              <w:pStyle w:val="TableContents"/>
              <w:bidi w:val="0"/>
              <w:spacing w:lineRule="auto" w:line="240" w:before="0" w:after="283"/>
              <w:jc w:val="left"/>
              <w:rPr>
                <w:rFonts w:ascii="Adelle Sans;sans-serif" w:hAnsi="Adelle Sans;sans-serif"/>
                <w:b w:val="false"/>
                <w:color w:val="000000"/>
                <w:sz w:val="18"/>
              </w:rPr>
            </w:pPr>
            <w:r>
              <w:rPr>
                <w:rFonts w:ascii="Adelle Sans;sans-serif" w:hAnsi="Adelle Sans;sans-serif"/>
                <w:b w:val="false"/>
                <w:color w:val="000000"/>
                <w:sz w:val="18"/>
              </w:rPr>
              <w:t>$</w:t>
            </w:r>
          </w:p>
        </w:tc>
        <w:tc>
          <w:tcPr>
            <w:tcW w:w="586" w:type="dxa"/>
            <w:tcBorders/>
            <w:shd w:fill="F7F7F7"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0.36 </w:t>
            </w:r>
          </w:p>
        </w:tc>
        <w:tc>
          <w:tcPr>
            <w:tcW w:w="109" w:type="dxa"/>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jc w:val="both"/>
        <w:rPr>
          <w:rFonts w:ascii="Adelle Sans Light;sans-serif" w:hAnsi="Adelle Sans Light;sans-serif"/>
          <w:b w:val="false"/>
          <w:color w:val="000000"/>
          <w:sz w:val="16"/>
        </w:rPr>
      </w:pPr>
      <w:r>
        <w:rPr>
          <w:rFonts w:ascii="Adelle Sans Light;sans-serif" w:hAnsi="Adelle Sans Light;sans-serif"/>
          <w:b w:val="false"/>
          <w:color w:val="000000"/>
          <w:sz w:val="16"/>
        </w:rPr>
        <w:t>*may include rounding</w:t>
      </w:r>
    </w:p>
    <w:p>
      <w:pPr>
        <w:pStyle w:val="TextBody"/>
        <w:bidi w:val="0"/>
        <w:spacing w:lineRule="auto" w:line="240" w:before="0" w:after="200"/>
        <w:jc w:val="both"/>
        <w:rPr/>
      </w:pPr>
      <w:r>
        <w:rPr>
          <w:rFonts w:ascii="Adelle Sans Light;sans-serif" w:hAnsi="Adelle Sans Light;sans-serif"/>
          <w:b w:val="false"/>
          <w:color w:val="000000"/>
          <w:sz w:val="10"/>
        </w:rPr>
        <w:t xml:space="preserve">(1) </w:t>
      </w:r>
      <w:bookmarkStart w:id="92" w:name="i12da2873b328425b8b950f7a93f7fd52"/>
      <w:bookmarkEnd w:id="92"/>
      <w:r>
        <w:rPr>
          <w:rFonts w:ascii="Adelle Sans Light;sans-serif" w:hAnsi="Adelle Sans Light;sans-serif"/>
          <w:b w:val="false"/>
          <w:color w:val="000000"/>
          <w:sz w:val="16"/>
        </w:rPr>
        <w:t xml:space="preserve">Includes stock-based compensation expense and related payroll taxes as follows: </w:t>
      </w:r>
    </w:p>
    <w:tbl>
      <w:tblPr>
        <w:tblW w:w="10205" w:type="dxa"/>
        <w:jc w:val="left"/>
        <w:tblInd w:w="0" w:type="dxa"/>
        <w:tblLayout w:type="fixed"/>
        <w:tblCellMar>
          <w:top w:w="28" w:type="dxa"/>
          <w:left w:w="28" w:type="dxa"/>
          <w:bottom w:w="28" w:type="dxa"/>
          <w:right w:w="28" w:type="dxa"/>
        </w:tblCellMar>
      </w:tblPr>
      <w:tblGrid>
        <w:gridCol w:w="825"/>
        <w:gridCol w:w="374"/>
        <w:gridCol w:w="377"/>
        <w:gridCol w:w="390"/>
        <w:gridCol w:w="187"/>
        <w:gridCol w:w="189"/>
        <w:gridCol w:w="109"/>
        <w:gridCol w:w="109"/>
        <w:gridCol w:w="109"/>
        <w:gridCol w:w="376"/>
        <w:gridCol w:w="207"/>
        <w:gridCol w:w="209"/>
        <w:gridCol w:w="109"/>
        <w:gridCol w:w="109"/>
        <w:gridCol w:w="109"/>
        <w:gridCol w:w="379"/>
        <w:gridCol w:w="202"/>
        <w:gridCol w:w="204"/>
        <w:gridCol w:w="109"/>
        <w:gridCol w:w="109"/>
        <w:gridCol w:w="109"/>
        <w:gridCol w:w="376"/>
        <w:gridCol w:w="207"/>
        <w:gridCol w:w="209"/>
        <w:gridCol w:w="109"/>
        <w:gridCol w:w="109"/>
        <w:gridCol w:w="109"/>
        <w:gridCol w:w="390"/>
        <w:gridCol w:w="187"/>
        <w:gridCol w:w="189"/>
        <w:gridCol w:w="109"/>
        <w:gridCol w:w="109"/>
        <w:gridCol w:w="109"/>
        <w:gridCol w:w="376"/>
        <w:gridCol w:w="207"/>
        <w:gridCol w:w="209"/>
        <w:gridCol w:w="109"/>
        <w:gridCol w:w="109"/>
        <w:gridCol w:w="109"/>
        <w:gridCol w:w="379"/>
        <w:gridCol w:w="202"/>
        <w:gridCol w:w="204"/>
        <w:gridCol w:w="109"/>
        <w:gridCol w:w="109"/>
        <w:gridCol w:w="109"/>
        <w:gridCol w:w="376"/>
        <w:gridCol w:w="195"/>
        <w:gridCol w:w="291"/>
      </w:tblGrid>
      <w:tr>
        <w:trPr/>
        <w:tc>
          <w:tcPr>
            <w:tcW w:w="825"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15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7" w:type="dxa"/>
            <w:gridSpan w:val="42"/>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delle Sans;sans-serif" w:hAnsi="Adelle Sans;sans-serif"/>
                <w:b/>
                <w:color w:val="000000"/>
                <w:sz w:val="18"/>
              </w:rPr>
            </w:pPr>
            <w:r>
              <w:rPr>
                <w:rFonts w:ascii="Adelle Sans;sans-serif" w:hAnsi="Adelle Sans;sans-serif"/>
                <w:b/>
                <w:color w:val="000000"/>
                <w:sz w:val="18"/>
              </w:rPr>
              <w:t>Three months ended</w:t>
            </w:r>
          </w:p>
        </w:tc>
        <w:tc>
          <w:tcPr>
            <w:tcW w:w="86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15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Adelle Sans;sans-serif" w:hAnsi="Adelle Sans;sans-serif"/>
                <w:b/>
                <w:color w:val="000000"/>
                <w:sz w:val="18"/>
              </w:rPr>
            </w:pPr>
            <w:r>
              <w:rPr>
                <w:rFonts w:ascii="Adelle Sans;sans-serif" w:hAnsi="Adelle Sans;sans-serif"/>
                <w:b/>
                <w:color w:val="000000"/>
                <w:sz w:val="18"/>
              </w:rPr>
              <w:t>Jun 30, 2026</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792"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Adelle Sans;sans-serif" w:hAnsi="Adelle Sans;sans-serif"/>
                <w:b/>
                <w:color w:val="000000"/>
                <w:sz w:val="18"/>
              </w:rPr>
            </w:pPr>
            <w:r>
              <w:rPr>
                <w:rFonts w:ascii="Adelle Sans;sans-serif" w:hAnsi="Adelle Sans;sans-serif"/>
                <w:b/>
                <w:color w:val="000000"/>
                <w:sz w:val="18"/>
              </w:rPr>
              <w:t>Mar 31, 2026</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785"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Adelle Sans;sans-serif" w:hAnsi="Adelle Sans;sans-serif"/>
                <w:b/>
                <w:color w:val="000000"/>
                <w:sz w:val="18"/>
              </w:rPr>
            </w:pPr>
            <w:r>
              <w:rPr>
                <w:rFonts w:ascii="Adelle Sans;sans-serif" w:hAnsi="Adelle Sans;sans-serif"/>
                <w:b/>
                <w:color w:val="000000"/>
                <w:sz w:val="18"/>
              </w:rPr>
              <w:t>Dec 31, 2025</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792"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Adelle Sans;sans-serif" w:hAnsi="Adelle Sans;sans-serif"/>
                <w:b/>
                <w:color w:val="000000"/>
                <w:sz w:val="18"/>
              </w:rPr>
            </w:pPr>
            <w:r>
              <w:rPr>
                <w:rFonts w:ascii="Adelle Sans;sans-serif" w:hAnsi="Adelle Sans;sans-serif"/>
                <w:b/>
                <w:color w:val="000000"/>
                <w:sz w:val="18"/>
              </w:rPr>
              <w:t>Sep 30, 2025</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Adelle Sans;sans-serif" w:hAnsi="Adelle Sans;sans-serif"/>
                <w:b/>
                <w:color w:val="000000"/>
                <w:sz w:val="18"/>
              </w:rPr>
            </w:pPr>
            <w:r>
              <w:rPr>
                <w:rFonts w:ascii="Adelle Sans;sans-serif" w:hAnsi="Adelle Sans;sans-serif"/>
                <w:b/>
                <w:color w:val="000000"/>
                <w:sz w:val="18"/>
              </w:rPr>
              <w:t>Jun 30, 2025</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792"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Adelle Sans;sans-serif" w:hAnsi="Adelle Sans;sans-serif"/>
                <w:b/>
                <w:color w:val="000000"/>
                <w:sz w:val="18"/>
              </w:rPr>
            </w:pPr>
            <w:r>
              <w:rPr>
                <w:rFonts w:ascii="Adelle Sans;sans-serif" w:hAnsi="Adelle Sans;sans-serif"/>
                <w:b/>
                <w:color w:val="000000"/>
                <w:sz w:val="18"/>
              </w:rPr>
              <w:t>Mar 31, 2025</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785"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Adelle Sans;sans-serif" w:hAnsi="Adelle Sans;sans-serif"/>
                <w:b/>
                <w:color w:val="000000"/>
                <w:sz w:val="18"/>
              </w:rPr>
            </w:pPr>
            <w:r>
              <w:rPr>
                <w:rFonts w:ascii="Adelle Sans;sans-serif" w:hAnsi="Adelle Sans;sans-serif"/>
                <w:b/>
                <w:color w:val="000000"/>
                <w:sz w:val="18"/>
              </w:rPr>
              <w:t>Dec 31, 2024</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86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delle Sans;sans-serif" w:hAnsi="Adelle Sans;sans-serif"/>
                <w:b/>
                <w:color w:val="000000"/>
                <w:sz w:val="18"/>
              </w:rPr>
            </w:pPr>
            <w:r>
              <w:rPr>
                <w:rFonts w:ascii="Adelle Sans;sans-serif" w:hAnsi="Adelle Sans;sans-serif"/>
                <w:b/>
                <w:color w:val="000000"/>
                <w:sz w:val="18"/>
              </w:rPr>
              <w:t>Sep 30, 2024</w:t>
            </w:r>
          </w:p>
        </w:tc>
      </w:tr>
      <w:tr>
        <w:trPr/>
        <w:tc>
          <w:tcPr>
            <w:tcW w:w="15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7" w:type="dxa"/>
            <w:gridSpan w:val="42"/>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delle Sans;sans-serif" w:hAnsi="Adelle Sans;sans-serif"/>
                <w:b w:val="false"/>
                <w:color w:val="000000"/>
                <w:sz w:val="18"/>
              </w:rPr>
            </w:pPr>
            <w:r>
              <w:rPr>
                <w:rFonts w:ascii="Adelle Sans;sans-serif" w:hAnsi="Adelle Sans;sans-serif"/>
                <w:b w:val="false"/>
                <w:color w:val="000000"/>
                <w:sz w:val="18"/>
              </w:rPr>
              <w:t>(in US $ millions)</w:t>
            </w:r>
          </w:p>
        </w:tc>
        <w:tc>
          <w:tcPr>
            <w:tcW w:w="86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6" w:type="dxa"/>
            <w:gridSpan w:val="3"/>
            <w:tcBorders/>
            <w:shd w:fill="F7F7F7" w:val="clear"/>
            <w:tcMar>
              <w:top w:w="0" w:type="dxa"/>
              <w:left w:w="0" w:type="dxa"/>
              <w:bottom w:w="0" w:type="dxa"/>
              <w:right w:w="0" w:type="dxa"/>
            </w:tcMar>
            <w:vAlign w:val="center"/>
          </w:tcPr>
          <w:p>
            <w:pPr>
              <w:pStyle w:val="TableContents"/>
              <w:bidi w:val="0"/>
              <w:spacing w:lineRule="auto" w:line="240" w:before="0" w:after="283"/>
              <w:jc w:val="left"/>
              <w:rPr>
                <w:rFonts w:ascii="Adelle Sans;sans-serif" w:hAnsi="Adelle Sans;sans-serif"/>
                <w:b w:val="false"/>
                <w:color w:val="000000"/>
                <w:sz w:val="18"/>
              </w:rPr>
            </w:pPr>
            <w:r>
              <w:rPr>
                <w:rFonts w:ascii="Adelle Sans;sans-serif" w:hAnsi="Adelle Sans;sans-serif"/>
                <w:b w:val="false"/>
                <w:color w:val="000000"/>
                <w:sz w:val="18"/>
              </w:rPr>
              <w:t>Cost of revenues</w:t>
            </w:r>
          </w:p>
        </w:tc>
        <w:tc>
          <w:tcPr>
            <w:tcW w:w="577" w:type="dxa"/>
            <w:gridSpan w:val="2"/>
            <w:tcBorders/>
            <w:shd w:fill="F7F7F7"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2 </w:t>
            </w:r>
          </w:p>
        </w:tc>
        <w:tc>
          <w:tcPr>
            <w:tcW w:w="189" w:type="dxa"/>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3" w:type="dxa"/>
            <w:gridSpan w:val="2"/>
            <w:tcBorders/>
            <w:shd w:fill="F7F7F7"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1 </w:t>
            </w:r>
          </w:p>
        </w:tc>
        <w:tc>
          <w:tcPr>
            <w:tcW w:w="209" w:type="dxa"/>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1" w:type="dxa"/>
            <w:gridSpan w:val="2"/>
            <w:tcBorders/>
            <w:shd w:fill="F7F7F7"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1 </w:t>
            </w:r>
          </w:p>
        </w:tc>
        <w:tc>
          <w:tcPr>
            <w:tcW w:w="204" w:type="dxa"/>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3" w:type="dxa"/>
            <w:gridSpan w:val="2"/>
            <w:tcBorders/>
            <w:shd w:fill="F7F7F7"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1 </w:t>
            </w:r>
          </w:p>
        </w:tc>
        <w:tc>
          <w:tcPr>
            <w:tcW w:w="209" w:type="dxa"/>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 w:type="dxa"/>
            <w:gridSpan w:val="2"/>
            <w:tcBorders/>
            <w:shd w:fill="F7F7F7"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1 </w:t>
            </w:r>
          </w:p>
        </w:tc>
        <w:tc>
          <w:tcPr>
            <w:tcW w:w="189" w:type="dxa"/>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3" w:type="dxa"/>
            <w:gridSpan w:val="2"/>
            <w:tcBorders/>
            <w:shd w:fill="F7F7F7"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1 </w:t>
            </w:r>
          </w:p>
        </w:tc>
        <w:tc>
          <w:tcPr>
            <w:tcW w:w="209" w:type="dxa"/>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1" w:type="dxa"/>
            <w:gridSpan w:val="2"/>
            <w:tcBorders/>
            <w:shd w:fill="F7F7F7"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4" w:type="dxa"/>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7F7F7"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1" w:type="dxa"/>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delle Sans;sans-serif" w:hAnsi="Adelle Sans;sans-serif"/>
                <w:b w:val="false"/>
                <w:color w:val="000000"/>
                <w:sz w:val="18"/>
              </w:rPr>
            </w:pPr>
            <w:r>
              <w:rPr>
                <w:rFonts w:ascii="Adelle Sans;sans-serif" w:hAnsi="Adelle Sans;sans-serif"/>
                <w:b w:val="false"/>
                <w:color w:val="000000"/>
                <w:sz w:val="18"/>
              </w:rPr>
              <w:t>Sales and marketing</w:t>
            </w:r>
          </w:p>
        </w:tc>
        <w:tc>
          <w:tcPr>
            <w:tcW w:w="5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9 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11 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10 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13 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12 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13 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13 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15 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6" w:type="dxa"/>
            <w:gridSpan w:val="3"/>
            <w:tcBorders/>
            <w:shd w:fill="F7F7F7" w:val="clear"/>
            <w:tcMar>
              <w:top w:w="0" w:type="dxa"/>
              <w:left w:w="0" w:type="dxa"/>
              <w:bottom w:w="0" w:type="dxa"/>
              <w:right w:w="0" w:type="dxa"/>
            </w:tcMar>
            <w:vAlign w:val="center"/>
          </w:tcPr>
          <w:p>
            <w:pPr>
              <w:pStyle w:val="TableContents"/>
              <w:bidi w:val="0"/>
              <w:spacing w:lineRule="auto" w:line="240" w:before="0" w:after="283"/>
              <w:jc w:val="left"/>
              <w:rPr>
                <w:rFonts w:ascii="Adelle Sans;sans-serif" w:hAnsi="Adelle Sans;sans-serif"/>
                <w:b w:val="false"/>
                <w:color w:val="000000"/>
                <w:sz w:val="18"/>
              </w:rPr>
            </w:pPr>
            <w:r>
              <w:rPr>
                <w:rFonts w:ascii="Adelle Sans;sans-serif" w:hAnsi="Adelle Sans;sans-serif"/>
                <w:b w:val="false"/>
                <w:color w:val="000000"/>
                <w:sz w:val="18"/>
              </w:rPr>
              <w:t>Research and development</w:t>
            </w:r>
          </w:p>
        </w:tc>
        <w:tc>
          <w:tcPr>
            <w:tcW w:w="577" w:type="dxa"/>
            <w:gridSpan w:val="2"/>
            <w:tcBorders/>
            <w:shd w:fill="F7F7F7"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94 </w:t>
            </w:r>
          </w:p>
        </w:tc>
        <w:tc>
          <w:tcPr>
            <w:tcW w:w="189" w:type="dxa"/>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3" w:type="dxa"/>
            <w:gridSpan w:val="2"/>
            <w:tcBorders/>
            <w:shd w:fill="F7F7F7"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97 </w:t>
            </w:r>
          </w:p>
        </w:tc>
        <w:tc>
          <w:tcPr>
            <w:tcW w:w="209" w:type="dxa"/>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1" w:type="dxa"/>
            <w:gridSpan w:val="2"/>
            <w:tcBorders/>
            <w:shd w:fill="F7F7F7"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87 </w:t>
            </w:r>
          </w:p>
        </w:tc>
        <w:tc>
          <w:tcPr>
            <w:tcW w:w="204" w:type="dxa"/>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3" w:type="dxa"/>
            <w:gridSpan w:val="2"/>
            <w:tcBorders/>
            <w:shd w:fill="F7F7F7"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78 </w:t>
            </w:r>
          </w:p>
        </w:tc>
        <w:tc>
          <w:tcPr>
            <w:tcW w:w="209" w:type="dxa"/>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 w:type="dxa"/>
            <w:gridSpan w:val="2"/>
            <w:tcBorders/>
            <w:shd w:fill="F7F7F7"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85 </w:t>
            </w:r>
          </w:p>
        </w:tc>
        <w:tc>
          <w:tcPr>
            <w:tcW w:w="189" w:type="dxa"/>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3" w:type="dxa"/>
            <w:gridSpan w:val="2"/>
            <w:tcBorders/>
            <w:shd w:fill="F7F7F7"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84 </w:t>
            </w:r>
          </w:p>
        </w:tc>
        <w:tc>
          <w:tcPr>
            <w:tcW w:w="209" w:type="dxa"/>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1" w:type="dxa"/>
            <w:gridSpan w:val="2"/>
            <w:tcBorders/>
            <w:shd w:fill="F7F7F7"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81 </w:t>
            </w:r>
          </w:p>
        </w:tc>
        <w:tc>
          <w:tcPr>
            <w:tcW w:w="204" w:type="dxa"/>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7F7F7"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77 </w:t>
            </w:r>
          </w:p>
        </w:tc>
        <w:tc>
          <w:tcPr>
            <w:tcW w:w="291" w:type="dxa"/>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delle Sans;sans-serif" w:hAnsi="Adelle Sans;sans-serif"/>
                <w:b w:val="false"/>
                <w:color w:val="000000"/>
                <w:sz w:val="18"/>
              </w:rPr>
            </w:pPr>
            <w:r>
              <w:rPr>
                <w:rFonts w:ascii="Adelle Sans;sans-serif" w:hAnsi="Adelle Sans;sans-serif"/>
                <w:b w:val="false"/>
                <w:color w:val="000000"/>
                <w:sz w:val="18"/>
              </w:rPr>
              <w:t>General and administrative</w:t>
            </w:r>
          </w:p>
        </w:tc>
        <w:tc>
          <w:tcPr>
            <w:tcW w:w="5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28 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29 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27 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24 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22 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25 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24 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23 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6"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 w:type="dxa"/>
            <w:gridSpan w:val="2"/>
            <w:tcBorders>
              <w:top w:val="single" w:sz="8" w:space="0" w:color="000000"/>
            </w:tcBorders>
            <w:shd w:fill="F7F7F7" w:val="clear"/>
            <w:tcMar>
              <w:top w:w="52"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133 </w:t>
            </w:r>
          </w:p>
        </w:tc>
        <w:tc>
          <w:tcPr>
            <w:tcW w:w="189" w:type="dxa"/>
            <w:tcBorders>
              <w:top w:val="single" w:sz="8" w:space="0" w:color="000000"/>
            </w:tcBorders>
            <w:shd w:fill="F7F7F7"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7F7F7"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3" w:type="dxa"/>
            <w:gridSpan w:val="2"/>
            <w:tcBorders>
              <w:top w:val="single" w:sz="8" w:space="0" w:color="000000"/>
            </w:tcBorders>
            <w:shd w:fill="F7F7F7" w:val="clear"/>
            <w:tcMar>
              <w:top w:w="52"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138 </w:t>
            </w:r>
          </w:p>
        </w:tc>
        <w:tc>
          <w:tcPr>
            <w:tcW w:w="209" w:type="dxa"/>
            <w:tcBorders>
              <w:top w:val="single" w:sz="8" w:space="0" w:color="000000"/>
            </w:tcBorders>
            <w:shd w:fill="F7F7F7"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1" w:type="dxa"/>
            <w:gridSpan w:val="2"/>
            <w:tcBorders>
              <w:top w:val="single" w:sz="8" w:space="0" w:color="000000"/>
            </w:tcBorders>
            <w:shd w:fill="F7F7F7" w:val="clear"/>
            <w:tcMar>
              <w:top w:w="52"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125 </w:t>
            </w:r>
          </w:p>
        </w:tc>
        <w:tc>
          <w:tcPr>
            <w:tcW w:w="204" w:type="dxa"/>
            <w:tcBorders>
              <w:top w:val="single" w:sz="8" w:space="0" w:color="000000"/>
            </w:tcBorders>
            <w:shd w:fill="F7F7F7"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7F7F7"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3" w:type="dxa"/>
            <w:gridSpan w:val="2"/>
            <w:tcBorders>
              <w:top w:val="single" w:sz="8" w:space="0" w:color="000000"/>
            </w:tcBorders>
            <w:shd w:fill="F7F7F7" w:val="clear"/>
            <w:tcMar>
              <w:top w:w="52"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116 </w:t>
            </w:r>
          </w:p>
        </w:tc>
        <w:tc>
          <w:tcPr>
            <w:tcW w:w="209" w:type="dxa"/>
            <w:tcBorders>
              <w:top w:val="single" w:sz="8" w:space="0" w:color="000000"/>
            </w:tcBorders>
            <w:shd w:fill="F7F7F7"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7F7F7"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 w:type="dxa"/>
            <w:gridSpan w:val="2"/>
            <w:tcBorders>
              <w:top w:val="single" w:sz="8" w:space="0" w:color="000000"/>
            </w:tcBorders>
            <w:shd w:fill="F7F7F7" w:val="clear"/>
            <w:tcMar>
              <w:top w:w="52"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120 </w:t>
            </w:r>
          </w:p>
        </w:tc>
        <w:tc>
          <w:tcPr>
            <w:tcW w:w="189" w:type="dxa"/>
            <w:tcBorders>
              <w:top w:val="single" w:sz="8" w:space="0" w:color="000000"/>
            </w:tcBorders>
            <w:shd w:fill="F7F7F7"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7F7F7"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3" w:type="dxa"/>
            <w:gridSpan w:val="2"/>
            <w:tcBorders>
              <w:top w:val="single" w:sz="8" w:space="0" w:color="000000"/>
            </w:tcBorders>
            <w:shd w:fill="F7F7F7" w:val="clear"/>
            <w:tcMar>
              <w:top w:w="52"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123 </w:t>
            </w:r>
          </w:p>
        </w:tc>
        <w:tc>
          <w:tcPr>
            <w:tcW w:w="209" w:type="dxa"/>
            <w:tcBorders>
              <w:top w:val="single" w:sz="8" w:space="0" w:color="000000"/>
            </w:tcBorders>
            <w:shd w:fill="F7F7F7"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7F7F7"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1" w:type="dxa"/>
            <w:gridSpan w:val="2"/>
            <w:tcBorders>
              <w:top w:val="single" w:sz="8" w:space="0" w:color="000000"/>
            </w:tcBorders>
            <w:shd w:fill="F7F7F7" w:val="clear"/>
            <w:tcMar>
              <w:top w:w="52"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118 </w:t>
            </w:r>
          </w:p>
        </w:tc>
        <w:tc>
          <w:tcPr>
            <w:tcW w:w="204" w:type="dxa"/>
            <w:tcBorders>
              <w:top w:val="single" w:sz="8" w:space="0" w:color="000000"/>
            </w:tcBorders>
            <w:shd w:fill="F7F7F7"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7F7F7"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tcBorders>
            <w:shd w:fill="F7F7F7" w:val="clear"/>
            <w:tcMar>
              <w:top w:w="52"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115 </w:t>
            </w:r>
          </w:p>
        </w:tc>
        <w:tc>
          <w:tcPr>
            <w:tcW w:w="291" w:type="dxa"/>
            <w:tcBorders>
              <w:top w:val="single" w:sz="8" w:space="0" w:color="000000"/>
            </w:tcBorders>
            <w:shd w:fill="F7F7F7"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6"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2"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0" w:after="200"/>
        <w:jc w:val="both"/>
        <w:rPr/>
      </w:pPr>
      <w:r>
        <w:rPr>
          <w:rFonts w:ascii="Adelle Sans Light;sans-serif" w:hAnsi="Adelle Sans Light;sans-serif"/>
          <w:b w:val="false"/>
          <w:color w:val="000000"/>
          <w:sz w:val="10"/>
        </w:rPr>
        <w:t>(2)</w:t>
      </w:r>
      <w:bookmarkStart w:id="93" w:name="ie3bbb2fa89fd461e9313b62270b12c70"/>
      <w:bookmarkEnd w:id="93"/>
      <w:r>
        <w:rPr>
          <w:rFonts w:ascii="Adelle Sans Light;sans-serif" w:hAnsi="Adelle Sans Light;sans-serif"/>
          <w:b w:val="false"/>
          <w:color w:val="000000"/>
          <w:sz w:val="10"/>
        </w:rPr>
        <w:t xml:space="preserve"> </w:t>
      </w:r>
      <w:r>
        <w:rPr>
          <w:rFonts w:ascii="Adelle Sans Light;sans-serif" w:hAnsi="Adelle Sans Light;sans-serif"/>
          <w:b w:val="false"/>
          <w:color w:val="000000"/>
          <w:sz w:val="16"/>
        </w:rPr>
        <w:t>Includes amortization of acquired intangibles as follows: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7955"/>
                <wp:effectExtent l="0" t="0" r="0" b="0"/>
                <wp:wrapNone/>
                <wp:docPr id="38" name="Frame37"/>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200"/>
                              <w:jc w:val="center"/>
                              <w:rPr>
                                <w:rFonts w:ascii="Adelle Sans Light;sans-serif" w:hAnsi="Adelle Sans Light;sans-serif"/>
                                <w:b w:val="false"/>
                                <w:color w:val="000000"/>
                                <w:sz w:val="20"/>
                              </w:rPr>
                            </w:pPr>
                            <w:r>
                              <w:rPr>
                                <w:rFonts w:ascii="Adelle Sans Light;sans-serif" w:hAnsi="Adelle Sans Light;sans-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Adelle Sans Light;sans-serif" w:hAnsi="Adelle Sans Light;sans-serif"/>
                          <w:b w:val="false"/>
                          <w:color w:val="000000"/>
                          <w:sz w:val="20"/>
                        </w:rPr>
                      </w:pPr>
                      <w:r>
                        <w:rPr>
                          <w:rFonts w:ascii="Adelle Sans Light;sans-serif" w:hAnsi="Adelle Sans Light;sans-serif"/>
                          <w:b w:val="false"/>
                          <w:color w:val="000000"/>
                          <w:sz w:val="20"/>
                        </w:rPr>
                        <w:t>37</w:t>
                      </w:r>
                    </w:p>
                  </w:txbxContent>
                </v:textbox>
                <w10:wrap type="none"/>
              </v:rect>
            </w:pict>
          </mc:Fallback>
        </mc:AlternateContent>
      </w:r>
    </w:p>
    <w:p>
      <w:pPr>
        <w:pStyle w:val="TextBody"/>
        <w:bidi w:val="0"/>
        <w:spacing w:lineRule="auto" w:line="288" w:before="0" w:after="200"/>
        <w:jc w:val="both"/>
        <w:rPr/>
      </w:pPr>
      <w:hyperlink w:anchor="iccccf23fa31e44f0aa82c99ca0859db8_7">
        <w:r>
          <w:rPr>
            <w:rStyle w:val="InternetLink"/>
            <w:rFonts w:ascii="Adelle Sans Light;sans-serif" w:hAnsi="Adelle Sans Light;sans-serif"/>
            <w:b w:val="false"/>
            <w:color w:val="0000FF"/>
            <w:sz w:val="20"/>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762"/>
        <w:gridCol w:w="435"/>
        <w:gridCol w:w="438"/>
        <w:gridCol w:w="309"/>
        <w:gridCol w:w="223"/>
        <w:gridCol w:w="224"/>
        <w:gridCol w:w="109"/>
        <w:gridCol w:w="109"/>
        <w:gridCol w:w="109"/>
        <w:gridCol w:w="299"/>
        <w:gridCol w:w="243"/>
        <w:gridCol w:w="244"/>
        <w:gridCol w:w="109"/>
        <w:gridCol w:w="109"/>
        <w:gridCol w:w="109"/>
        <w:gridCol w:w="302"/>
        <w:gridCol w:w="238"/>
        <w:gridCol w:w="239"/>
        <w:gridCol w:w="109"/>
        <w:gridCol w:w="109"/>
        <w:gridCol w:w="109"/>
        <w:gridCol w:w="299"/>
        <w:gridCol w:w="243"/>
        <w:gridCol w:w="244"/>
        <w:gridCol w:w="109"/>
        <w:gridCol w:w="109"/>
        <w:gridCol w:w="109"/>
        <w:gridCol w:w="309"/>
        <w:gridCol w:w="223"/>
        <w:gridCol w:w="224"/>
        <w:gridCol w:w="109"/>
        <w:gridCol w:w="109"/>
        <w:gridCol w:w="109"/>
        <w:gridCol w:w="299"/>
        <w:gridCol w:w="243"/>
        <w:gridCol w:w="244"/>
        <w:gridCol w:w="109"/>
        <w:gridCol w:w="109"/>
        <w:gridCol w:w="109"/>
        <w:gridCol w:w="302"/>
        <w:gridCol w:w="238"/>
        <w:gridCol w:w="239"/>
        <w:gridCol w:w="109"/>
        <w:gridCol w:w="109"/>
        <w:gridCol w:w="109"/>
        <w:gridCol w:w="293"/>
        <w:gridCol w:w="226"/>
        <w:gridCol w:w="334"/>
      </w:tblGrid>
      <w:tr>
        <w:trPr/>
        <w:tc>
          <w:tcPr>
            <w:tcW w:w="762"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r>
      <w:tr>
        <w:trPr/>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0" w:type="dxa"/>
            <w:gridSpan w:val="45"/>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delle Sans;sans-serif" w:hAnsi="Adelle Sans;sans-serif"/>
                <w:b/>
                <w:color w:val="000000"/>
                <w:sz w:val="18"/>
              </w:rPr>
            </w:pPr>
            <w:r>
              <w:rPr>
                <w:rFonts w:ascii="Adelle Sans;sans-serif" w:hAnsi="Adelle Sans;sans-serif"/>
                <w:b/>
                <w:color w:val="000000"/>
                <w:sz w:val="18"/>
              </w:rPr>
              <w:t>Three months ended</w:t>
            </w:r>
          </w:p>
        </w:tc>
      </w:tr>
      <w:tr>
        <w:trPr/>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Adelle Sans;sans-serif" w:hAnsi="Adelle Sans;sans-serif"/>
                <w:b/>
                <w:color w:val="000000"/>
                <w:sz w:val="18"/>
              </w:rPr>
            </w:pPr>
            <w:r>
              <w:rPr>
                <w:rFonts w:ascii="Adelle Sans;sans-serif" w:hAnsi="Adelle Sans;sans-serif"/>
                <w:b/>
                <w:color w:val="000000"/>
                <w:sz w:val="18"/>
              </w:rPr>
              <w:t>Jun 30, 2026</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Adelle Sans;sans-serif" w:hAnsi="Adelle Sans;sans-serif"/>
                <w:b/>
                <w:color w:val="000000"/>
                <w:sz w:val="18"/>
              </w:rPr>
            </w:pPr>
            <w:r>
              <w:rPr>
                <w:rFonts w:ascii="Adelle Sans;sans-serif" w:hAnsi="Adelle Sans;sans-serif"/>
                <w:b/>
                <w:color w:val="000000"/>
                <w:sz w:val="18"/>
              </w:rPr>
              <w:t>Mar 31, 2026</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779"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Adelle Sans;sans-serif" w:hAnsi="Adelle Sans;sans-serif"/>
                <w:b/>
                <w:color w:val="000000"/>
                <w:sz w:val="18"/>
              </w:rPr>
            </w:pPr>
            <w:r>
              <w:rPr>
                <w:rFonts w:ascii="Adelle Sans;sans-serif" w:hAnsi="Adelle Sans;sans-serif"/>
                <w:b/>
                <w:color w:val="000000"/>
                <w:sz w:val="18"/>
              </w:rPr>
              <w:t>Dec 31, 2025</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Adelle Sans;sans-serif" w:hAnsi="Adelle Sans;sans-serif"/>
                <w:b/>
                <w:color w:val="000000"/>
                <w:sz w:val="18"/>
              </w:rPr>
            </w:pPr>
            <w:r>
              <w:rPr>
                <w:rFonts w:ascii="Adelle Sans;sans-serif" w:hAnsi="Adelle Sans;sans-serif"/>
                <w:b/>
                <w:color w:val="000000"/>
                <w:sz w:val="18"/>
              </w:rPr>
              <w:t>Sep 30, 2025</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Adelle Sans;sans-serif" w:hAnsi="Adelle Sans;sans-serif"/>
                <w:b/>
                <w:color w:val="000000"/>
                <w:sz w:val="18"/>
              </w:rPr>
            </w:pPr>
            <w:r>
              <w:rPr>
                <w:rFonts w:ascii="Adelle Sans;sans-serif" w:hAnsi="Adelle Sans;sans-serif"/>
                <w:b/>
                <w:color w:val="000000"/>
                <w:sz w:val="18"/>
              </w:rPr>
              <w:t>Jun 30, 2025</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Adelle Sans;sans-serif" w:hAnsi="Adelle Sans;sans-serif"/>
                <w:b/>
                <w:color w:val="000000"/>
                <w:sz w:val="18"/>
              </w:rPr>
            </w:pPr>
            <w:r>
              <w:rPr>
                <w:rFonts w:ascii="Adelle Sans;sans-serif" w:hAnsi="Adelle Sans;sans-serif"/>
                <w:b/>
                <w:color w:val="000000"/>
                <w:sz w:val="18"/>
              </w:rPr>
              <w:t>Mar 31, 2025</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779"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Adelle Sans;sans-serif" w:hAnsi="Adelle Sans;sans-serif"/>
                <w:b/>
                <w:color w:val="000000"/>
                <w:sz w:val="18"/>
              </w:rPr>
            </w:pPr>
            <w:r>
              <w:rPr>
                <w:rFonts w:ascii="Adelle Sans;sans-serif" w:hAnsi="Adelle Sans;sans-serif"/>
                <w:b/>
                <w:color w:val="000000"/>
                <w:sz w:val="18"/>
              </w:rPr>
              <w:t>Dec 31, 2024</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853"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Adelle Sans;sans-serif" w:hAnsi="Adelle Sans;sans-serif"/>
                <w:b/>
                <w:color w:val="000000"/>
                <w:sz w:val="18"/>
              </w:rPr>
            </w:pPr>
            <w:r>
              <w:rPr>
                <w:rFonts w:ascii="Adelle Sans;sans-serif" w:hAnsi="Adelle Sans;sans-serif"/>
                <w:b/>
                <w:color w:val="000000"/>
                <w:sz w:val="18"/>
              </w:rPr>
              <w:t>Sep 30, 2024</w:t>
            </w:r>
          </w:p>
        </w:tc>
      </w:tr>
      <w:tr>
        <w:trPr/>
        <w:tc>
          <w:tcPr>
            <w:tcW w:w="163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0" w:type="dxa"/>
            <w:gridSpan w:val="45"/>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180"/>
              <w:jc w:val="center"/>
              <w:rPr>
                <w:rFonts w:ascii="Adelle Sans;sans-serif" w:hAnsi="Adelle Sans;sans-serif"/>
                <w:b w:val="false"/>
                <w:color w:val="000000"/>
                <w:sz w:val="18"/>
              </w:rPr>
            </w:pPr>
            <w:r>
              <w:rPr>
                <w:rFonts w:ascii="Adelle Sans;sans-serif" w:hAnsi="Adelle Sans;sans-serif"/>
                <w:b w:val="false"/>
                <w:color w:val="000000"/>
                <w:sz w:val="18"/>
              </w:rPr>
              <w:t>(in US $ millions)</w:t>
            </w:r>
          </w:p>
        </w:tc>
      </w:tr>
      <w:tr>
        <w:trPr/>
        <w:tc>
          <w:tcPr>
            <w:tcW w:w="1635" w:type="dxa"/>
            <w:gridSpan w:val="3"/>
            <w:tcBorders/>
            <w:shd w:fill="F7F7F7" w:val="clear"/>
            <w:tcMar>
              <w:top w:w="0" w:type="dxa"/>
              <w:left w:w="0" w:type="dxa"/>
              <w:bottom w:w="0" w:type="dxa"/>
              <w:right w:w="0" w:type="dxa"/>
            </w:tcMar>
            <w:vAlign w:val="center"/>
          </w:tcPr>
          <w:p>
            <w:pPr>
              <w:pStyle w:val="TableContents"/>
              <w:bidi w:val="0"/>
              <w:spacing w:lineRule="auto" w:line="240" w:before="0" w:after="283"/>
              <w:jc w:val="left"/>
              <w:rPr>
                <w:rFonts w:ascii="Adelle Sans;sans-serif" w:hAnsi="Adelle Sans;sans-serif"/>
                <w:b w:val="false"/>
                <w:color w:val="000000"/>
                <w:sz w:val="18"/>
              </w:rPr>
            </w:pPr>
            <w:r>
              <w:rPr>
                <w:rFonts w:ascii="Adelle Sans;sans-serif" w:hAnsi="Adelle Sans;sans-serif"/>
                <w:b w:val="false"/>
                <w:color w:val="000000"/>
                <w:sz w:val="18"/>
              </w:rPr>
              <w:t>Cost of revenues</w:t>
            </w:r>
          </w:p>
        </w:tc>
        <w:tc>
          <w:tcPr>
            <w:tcW w:w="532" w:type="dxa"/>
            <w:gridSpan w:val="2"/>
            <w:tcBorders/>
            <w:shd w:fill="F7F7F7"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2 </w:t>
            </w:r>
          </w:p>
        </w:tc>
        <w:tc>
          <w:tcPr>
            <w:tcW w:w="224" w:type="dxa"/>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F7F7F7"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2 </w:t>
            </w:r>
          </w:p>
        </w:tc>
        <w:tc>
          <w:tcPr>
            <w:tcW w:w="244" w:type="dxa"/>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7F7F7"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3 </w:t>
            </w:r>
          </w:p>
        </w:tc>
        <w:tc>
          <w:tcPr>
            <w:tcW w:w="239" w:type="dxa"/>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F7F7F7"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2 </w:t>
            </w:r>
          </w:p>
        </w:tc>
        <w:tc>
          <w:tcPr>
            <w:tcW w:w="244" w:type="dxa"/>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 w:type="dxa"/>
            <w:gridSpan w:val="2"/>
            <w:tcBorders/>
            <w:shd w:fill="F7F7F7"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2 </w:t>
            </w:r>
          </w:p>
        </w:tc>
        <w:tc>
          <w:tcPr>
            <w:tcW w:w="224" w:type="dxa"/>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F7F7F7"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2 </w:t>
            </w:r>
          </w:p>
        </w:tc>
        <w:tc>
          <w:tcPr>
            <w:tcW w:w="244" w:type="dxa"/>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7F7F7"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1 </w:t>
            </w:r>
          </w:p>
        </w:tc>
        <w:tc>
          <w:tcPr>
            <w:tcW w:w="239" w:type="dxa"/>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2"/>
            <w:tcBorders/>
            <w:shd w:fill="F7F7F7"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3 </w:t>
            </w:r>
          </w:p>
        </w:tc>
        <w:tc>
          <w:tcPr>
            <w:tcW w:w="334" w:type="dxa"/>
            <w:tcBorders/>
            <w:shd w:fill="F7F7F7"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6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delle Sans;sans-serif" w:hAnsi="Adelle Sans;sans-serif"/>
                <w:b w:val="false"/>
                <w:color w:val="000000"/>
                <w:sz w:val="18"/>
              </w:rPr>
            </w:pPr>
            <w:r>
              <w:rPr>
                <w:rFonts w:ascii="Adelle Sans;sans-serif" w:hAnsi="Adelle Sans;sans-serif"/>
                <w:b w:val="false"/>
                <w:color w:val="000000"/>
                <w:sz w:val="18"/>
              </w:rPr>
              <w:t>Sales and marketing</w:t>
            </w:r>
          </w:p>
        </w:tc>
        <w:tc>
          <w:tcPr>
            <w:tcW w:w="5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1 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635" w:type="dxa"/>
            <w:gridSpan w:val="3"/>
            <w:tcBorders/>
            <w:shd w:fill="F7F7F7" w:val="clear"/>
            <w:tcMar>
              <w:top w:w="0" w:type="dxa"/>
              <w:left w:w="0" w:type="dxa"/>
              <w:bottom w:w="0" w:type="dxa"/>
              <w:right w:w="0" w:type="dxa"/>
            </w:tcMar>
            <w:vAlign w:val="center"/>
          </w:tcPr>
          <w:p>
            <w:pPr>
              <w:pStyle w:val="TableContents"/>
              <w:bidi w:val="0"/>
              <w:spacing w:lineRule="auto" w:line="240" w:before="0" w:after="283"/>
              <w:jc w:val="left"/>
              <w:rPr>
                <w:rFonts w:ascii="Adelle Sans;sans-serif" w:hAnsi="Adelle Sans;sans-serif"/>
                <w:b w:val="false"/>
                <w:color w:val="000000"/>
                <w:sz w:val="18"/>
              </w:rPr>
            </w:pPr>
            <w:r>
              <w:rPr>
                <w:rFonts w:ascii="Adelle Sans;sans-serif" w:hAnsi="Adelle Sans;sans-serif"/>
                <w:b w:val="false"/>
                <w:color w:val="000000"/>
                <w:sz w:val="18"/>
              </w:rPr>
              <w:t>Research and development</w:t>
            </w:r>
          </w:p>
        </w:tc>
        <w:tc>
          <w:tcPr>
            <w:tcW w:w="532" w:type="dxa"/>
            <w:gridSpan w:val="2"/>
            <w:tcBorders/>
            <w:shd w:fill="F7F7F7"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4" w:type="dxa"/>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F7F7F7"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1 </w:t>
            </w:r>
          </w:p>
        </w:tc>
        <w:tc>
          <w:tcPr>
            <w:tcW w:w="244" w:type="dxa"/>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7F7F7"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1 </w:t>
            </w:r>
          </w:p>
        </w:tc>
        <w:tc>
          <w:tcPr>
            <w:tcW w:w="239" w:type="dxa"/>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F7F7F7"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1 </w:t>
            </w:r>
          </w:p>
        </w:tc>
        <w:tc>
          <w:tcPr>
            <w:tcW w:w="244" w:type="dxa"/>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 w:type="dxa"/>
            <w:gridSpan w:val="2"/>
            <w:tcBorders/>
            <w:shd w:fill="F7F7F7"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1 </w:t>
            </w:r>
          </w:p>
        </w:tc>
        <w:tc>
          <w:tcPr>
            <w:tcW w:w="224" w:type="dxa"/>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F7F7F7"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1 </w:t>
            </w:r>
          </w:p>
        </w:tc>
        <w:tc>
          <w:tcPr>
            <w:tcW w:w="244" w:type="dxa"/>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7F7F7"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9" w:type="dxa"/>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2"/>
            <w:tcBorders/>
            <w:shd w:fill="F7F7F7"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1 </w:t>
            </w:r>
          </w:p>
        </w:tc>
        <w:tc>
          <w:tcPr>
            <w:tcW w:w="334" w:type="dxa"/>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2 </w:t>
            </w:r>
          </w:p>
        </w:tc>
        <w:tc>
          <w:tcPr>
            <w:tcW w:w="22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3 </w:t>
            </w:r>
          </w:p>
        </w:tc>
        <w:tc>
          <w:tcPr>
            <w:tcW w:w="24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4 </w:t>
            </w:r>
          </w:p>
        </w:tc>
        <w:tc>
          <w:tcPr>
            <w:tcW w:w="23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3 </w:t>
            </w:r>
          </w:p>
        </w:tc>
        <w:tc>
          <w:tcPr>
            <w:tcW w:w="24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3 </w:t>
            </w:r>
          </w:p>
        </w:tc>
        <w:tc>
          <w:tcPr>
            <w:tcW w:w="22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3 </w:t>
            </w:r>
          </w:p>
        </w:tc>
        <w:tc>
          <w:tcPr>
            <w:tcW w:w="24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2 </w:t>
            </w:r>
          </w:p>
        </w:tc>
        <w:tc>
          <w:tcPr>
            <w:tcW w:w="23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4 </w:t>
            </w:r>
          </w:p>
        </w:tc>
        <w:tc>
          <w:tcPr>
            <w:tcW w:w="33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0"/>
        <w:jc w:val="both"/>
        <w:rPr/>
      </w:pPr>
      <w:r>
        <w:rPr/>
      </w:r>
    </w:p>
    <w:p>
      <w:pPr>
        <w:pStyle w:val="TextBody"/>
        <w:bidi w:val="0"/>
        <w:spacing w:lineRule="auto" w:line="288" w:before="0" w:after="160"/>
        <w:jc w:val="both"/>
        <w:rPr/>
      </w:pPr>
      <w:bookmarkStart w:id="94" w:name="ied8effbb073a4b5c93816f000e00ef89"/>
      <w:bookmarkEnd w:id="94"/>
      <w:r>
        <w:rPr>
          <w:rFonts w:ascii="Adelle Sans Light;sans-serif" w:hAnsi="Adelle Sans Light;sans-serif"/>
          <w:b w:val="false"/>
          <w:color w:val="000000"/>
          <w:sz w:val="10"/>
        </w:rPr>
        <w:t xml:space="preserve">(3) </w:t>
      </w:r>
      <w:r>
        <w:rPr>
          <w:rFonts w:ascii="Adelle Sans Light;sans-serif" w:hAnsi="Adelle Sans Light;sans-serif"/>
          <w:b w:val="false"/>
          <w:color w:val="000000"/>
          <w:sz w:val="16"/>
        </w:rPr>
        <w:t>Includes impairment related costs associated with right-of-use assets and leasehold improvements of $3 million in the third quarter of 2025 and $10 million in the second quarter of 2025.</w:t>
      </w:r>
    </w:p>
    <w:p>
      <w:pPr>
        <w:pStyle w:val="TextBody"/>
        <w:bidi w:val="0"/>
        <w:spacing w:lineRule="auto" w:line="288" w:before="0" w:after="160"/>
        <w:jc w:val="both"/>
        <w:rPr/>
      </w:pPr>
      <w:bookmarkStart w:id="95" w:name="i25cab5f269a2476c9390ea713efe9c82"/>
      <w:bookmarkEnd w:id="95"/>
      <w:r>
        <w:rPr>
          <w:rFonts w:ascii="Adelle Sans Light;sans-serif" w:hAnsi="Adelle Sans Light;sans-serif"/>
          <w:b w:val="false"/>
          <w:color w:val="000000"/>
          <w:sz w:val="10"/>
        </w:rPr>
        <w:t xml:space="preserve">(4) </w:t>
      </w:r>
      <w:r>
        <w:rPr>
          <w:rFonts w:ascii="Adelle Sans Light;sans-serif" w:hAnsi="Adelle Sans Light;sans-serif"/>
          <w:b w:val="false"/>
          <w:color w:val="000000"/>
          <w:sz w:val="16"/>
        </w:rPr>
        <w:t>Includes loss on embedded derivative held to settle the Notes, initially with a $29 million unrealized loss during the third quarter of 2025, which then resulted in a $123 million realized loss during the fourth quarter of 2025.</w:t>
      </w:r>
    </w:p>
    <w:p>
      <w:pPr>
        <w:pStyle w:val="TextBody"/>
        <w:bidi w:val="0"/>
        <w:spacing w:lineRule="auto" w:line="288" w:before="0" w:after="200"/>
        <w:jc w:val="both"/>
        <w:rPr>
          <w:rFonts w:ascii="Adelle Sans Light;sans-serif" w:hAnsi="Adelle Sans Light;sans-serif"/>
          <w:b w:val="false"/>
          <w:color w:val="000000"/>
          <w:sz w:val="20"/>
        </w:rPr>
      </w:pPr>
      <w:r>
        <w:rPr>
          <w:rFonts w:ascii="Adelle Sans Light;sans-serif" w:hAnsi="Adelle Sans Light;sans-serif"/>
          <w:b w:val="false"/>
          <w:color w:val="000000"/>
          <w:sz w:val="20"/>
        </w:rPr>
        <w:t>We believe that period-over-period comparisons are more meaningful than our sequential results due to seasonality in our business. While we believe that this seasonality has affected and will continue to affect our quarterly results, our rapid growth has partially masked seasonal trends to date. Our merchant solutions revenues are directionally correlated with our merchants' GMV. Our merchants' GMV typically increases during the fourth-quarter holiday season. As a result, we have historically generated higher merchant solutions revenues in our fourth quarter than in other quarters. As a result of the growth of our merchant solutions offerings, we believe that our business may become more seasonal in the future, and that historical patterns in our business may not be a reliable indicator of our future performance.</w:t>
      </w:r>
    </w:p>
    <w:p>
      <w:pPr>
        <w:pStyle w:val="TextBody"/>
        <w:bidi w:val="0"/>
        <w:spacing w:lineRule="auto" w:line="288" w:before="0" w:after="200"/>
        <w:jc w:val="left"/>
        <w:rPr>
          <w:rFonts w:ascii="Adelle Sans;sans-serif" w:hAnsi="Adelle Sans;sans-serif"/>
          <w:b/>
          <w:i/>
          <w:color w:val="000000"/>
          <w:sz w:val="20"/>
        </w:rPr>
      </w:pPr>
      <w:bookmarkStart w:id="96" w:name="ia63f2daae62947da96d1db4ba4aa2fc7"/>
      <w:bookmarkEnd w:id="96"/>
      <w:r>
        <w:rPr>
          <w:rFonts w:ascii="Adelle Sans;sans-serif" w:hAnsi="Adelle Sans;sans-serif"/>
          <w:b/>
          <w:i/>
          <w:color w:val="000000"/>
          <w:sz w:val="20"/>
        </w:rPr>
        <w:t xml:space="preserve">Quarterly Revenue and Gross Margin Trends </w:t>
      </w:r>
    </w:p>
    <w:p>
      <w:pPr>
        <w:pStyle w:val="TextBody"/>
        <w:bidi w:val="0"/>
        <w:spacing w:lineRule="auto" w:line="288" w:before="0" w:after="200"/>
        <w:jc w:val="both"/>
        <w:rPr>
          <w:rFonts w:ascii="Adelle Sans Light;sans-serif" w:hAnsi="Adelle Sans Light;sans-serif"/>
          <w:b w:val="false"/>
          <w:color w:val="000000"/>
          <w:sz w:val="20"/>
        </w:rPr>
      </w:pPr>
      <w:r>
        <w:rPr>
          <w:rFonts w:ascii="Adelle Sans Light;sans-serif" w:hAnsi="Adelle Sans Light;sans-serif"/>
          <w:b w:val="false"/>
          <w:color w:val="000000"/>
          <w:sz w:val="20"/>
        </w:rPr>
        <w:t xml:space="preserve">Historically, revenues experienced a seasonal decrease in our first quarter as consumers typically reduce their spending following the holiday season resulting in a seasonal decrease in GMV per merchant, which was not completely offset by Shopify Payments penetration and MRR growth. Subsequently, revenues have increased in each of the next three quarters as a result of merchant, MRR and overall GMV growth. Our merchants have processed additional GMV during the fourth-quarter holiday seasons, and as a result, we have generated higher subscription solutions and merchant solutions revenues in our fourth quarters compared to other quarters. Due to the continued growth of our merchant solutions offerings, we believe that our business may become more seasonal in the future. </w:t>
      </w:r>
    </w:p>
    <w:p>
      <w:pPr>
        <w:pStyle w:val="TextBody"/>
        <w:bidi w:val="0"/>
        <w:spacing w:lineRule="auto" w:line="288" w:before="0" w:after="200"/>
        <w:jc w:val="both"/>
        <w:rPr>
          <w:rFonts w:ascii="Adelle Sans Light;sans-serif" w:hAnsi="Adelle Sans Light;sans-serif"/>
          <w:b w:val="false"/>
          <w:color w:val="000000"/>
          <w:sz w:val="20"/>
        </w:rPr>
      </w:pPr>
      <w:r>
        <w:rPr>
          <w:rFonts w:ascii="Adelle Sans Light;sans-serif" w:hAnsi="Adelle Sans Light;sans-serif"/>
          <w:b w:val="false"/>
          <w:color w:val="000000"/>
          <w:sz w:val="20"/>
        </w:rPr>
        <w:t>Our gross margin is generally driven by the mix between our higher margin subscription solutions revenue and lower margin merchant solutions revenue. While our total revenues have increased in recent periods, the mix has shifted towards merchant solutions revenue, most notably in the fourth quarter due to higher order volumes facilitated during the holiday season and the resulting Shopify Payments revenue during this period. We expect this overall trend to continue over time.</w:t>
      </w:r>
    </w:p>
    <w:p>
      <w:pPr>
        <w:pStyle w:val="TextBody"/>
        <w:bidi w:val="0"/>
        <w:spacing w:lineRule="auto" w:line="288" w:before="0" w:after="200"/>
        <w:jc w:val="both"/>
        <w:rPr>
          <w:rFonts w:ascii="Adelle Sans Light;sans-serif" w:hAnsi="Adelle Sans Light;sans-serif"/>
          <w:b w:val="false"/>
          <w:color w:val="000000"/>
          <w:sz w:val="20"/>
        </w:rPr>
      </w:pPr>
      <w:r>
        <w:rPr>
          <w:rFonts w:ascii="Adelle Sans Light;sans-serif" w:hAnsi="Adelle Sans Light;sans-serif"/>
          <w:b w:val="false"/>
          <w:color w:val="000000"/>
          <w:sz w:val="20"/>
        </w:rPr>
        <w:t xml:space="preserve">In connection with expanding our operations internationally, we anticipate a growing proportion of our revenues and cost of sales transactions to be incurred in foreign currencies as compared to USD due to increased Shopify Payments, Shopify Capital, subscriptions and other billings in select countries in local currency. Fluctuations in foreign currencies relative to the USD may impact identified quarterly and yearly trends. </w:t>
      </w:r>
    </w:p>
    <w:p>
      <w:pPr>
        <w:pStyle w:val="TextBody"/>
        <w:bidi w:val="0"/>
        <w:spacing w:lineRule="auto" w:line="288" w:before="0" w:after="200"/>
        <w:jc w:val="left"/>
        <w:rPr>
          <w:rFonts w:ascii="Adelle Sans;sans-serif" w:hAnsi="Adelle Sans;sans-serif"/>
          <w:b/>
          <w:i/>
          <w:color w:val="000000"/>
          <w:sz w:val="20"/>
        </w:rPr>
      </w:pPr>
      <w:bookmarkStart w:id="97" w:name="i3c02e5bca33646e7b071b6588f21d0ce"/>
      <w:bookmarkEnd w:id="97"/>
      <w:r>
        <w:rPr>
          <w:rFonts w:ascii="Adelle Sans;sans-serif" w:hAnsi="Adelle Sans;sans-serif"/>
          <w:b/>
          <w:i/>
          <w:color w:val="000000"/>
          <w:sz w:val="20"/>
        </w:rPr>
        <w:t xml:space="preserve">Quarterly Operating Expenses Trends </w:t>
      </w:r>
    </w:p>
    <w:p>
      <w:pPr>
        <w:pStyle w:val="TextBody"/>
        <w:bidi w:val="0"/>
        <w:spacing w:lineRule="auto" w:line="276" w:before="0" w:after="200"/>
        <w:jc w:val="both"/>
        <w:rPr>
          <w:rFonts w:ascii="Adelle Sans Light;sans-serif" w:hAnsi="Adelle Sans Light;sans-serif"/>
          <w:b w:val="false"/>
          <w:color w:val="000000"/>
          <w:sz w:val="20"/>
        </w:rPr>
      </w:pPr>
      <w:r>
        <w:rPr>
          <w:rFonts w:ascii="Adelle Sans Light;sans-serif" w:hAnsi="Adelle Sans Light;sans-serif"/>
          <w:b w:val="false"/>
          <w:color w:val="000000"/>
          <w:sz w:val="20"/>
        </w:rPr>
        <w:t>Excluding the items outlined in the tables above, operating expenses have increased in connection with revenue and operations growth. We note a significant portion of our operating expenses are incurred in foreign currencies which may impact the comparability of our quarterly and yearly trends.</w:t>
      </w:r>
    </w:p>
    <w:p>
      <w:pPr>
        <w:pStyle w:val="TextBody"/>
        <w:bidi w:val="0"/>
        <w:spacing w:lineRule="auto" w:line="276" w:before="0" w:after="200"/>
        <w:jc w:val="left"/>
        <w:rPr>
          <w:rFonts w:ascii="Adelle Sans;sans-serif" w:hAnsi="Adelle Sans;sans-serif"/>
          <w:b/>
          <w:i/>
          <w:color w:val="000000"/>
          <w:sz w:val="20"/>
        </w:rPr>
      </w:pPr>
      <w:bookmarkStart w:id="98" w:name="i986c23ac0a3b47af93e3b0fdaa3e5978"/>
      <w:bookmarkEnd w:id="98"/>
      <w:r>
        <w:rPr>
          <w:rFonts w:ascii="Adelle Sans;sans-serif" w:hAnsi="Adelle Sans;sans-serif"/>
          <w:b/>
          <w:i/>
          <w:color w:val="000000"/>
          <w:sz w:val="20"/>
        </w:rPr>
        <w:t>Quarterly Gain (Loss) on Equity and Equity Method Investments and Other Income Trends</w:t>
      </w:r>
    </w:p>
    <w:p>
      <w:pPr>
        <w:pStyle w:val="TextBody"/>
        <w:bidi w:val="0"/>
        <w:spacing w:lineRule="auto" w:line="288" w:before="0" w:after="200"/>
        <w:jc w:val="both"/>
        <w:rPr>
          <w:rFonts w:ascii="Adelle Sans Light;sans-serif" w:hAnsi="Adelle Sans Light;sans-serif"/>
          <w:b w:val="false"/>
          <w:color w:val="000000"/>
          <w:sz w:val="20"/>
        </w:rPr>
      </w:pPr>
      <w:r>
        <w:rPr>
          <w:rFonts w:ascii="Adelle Sans Light;sans-serif" w:hAnsi="Adelle Sans Light;sans-serif"/>
          <w:b w:val="false"/>
          <w:color w:val="000000"/>
          <w:sz w:val="20"/>
        </w:rPr>
        <w:t xml:space="preserve">Historically, there have been no consistent trends associated with gain (loss) on equity and equity method investments and other income as changes are impacted by fluctuations in the fair value of our equity investments in public companies with readily determinable fair values, observable changes or impairments associated with our equity investments in private companies without readily determinable fair values, changes in our equity method investment based on our share of income and loss, including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7955"/>
                <wp:effectExtent l="0" t="0" r="0" b="0"/>
                <wp:wrapNone/>
                <wp:docPr id="39" name="Frame38"/>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200"/>
                              <w:jc w:val="center"/>
                              <w:rPr>
                                <w:rFonts w:ascii="Adelle Sans Light;sans-serif" w:hAnsi="Adelle Sans Light;sans-serif"/>
                                <w:b w:val="false"/>
                                <w:color w:val="000000"/>
                                <w:sz w:val="20"/>
                              </w:rPr>
                            </w:pPr>
                            <w:r>
                              <w:rPr>
                                <w:rFonts w:ascii="Adelle Sans Light;sans-serif" w:hAnsi="Adelle Sans Light;sans-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Adelle Sans Light;sans-serif" w:hAnsi="Adelle Sans Light;sans-serif"/>
                          <w:b w:val="false"/>
                          <w:color w:val="000000"/>
                          <w:sz w:val="20"/>
                        </w:rPr>
                      </w:pPr>
                      <w:r>
                        <w:rPr>
                          <w:rFonts w:ascii="Adelle Sans Light;sans-serif" w:hAnsi="Adelle Sans Light;sans-serif"/>
                          <w:b w:val="false"/>
                          <w:color w:val="000000"/>
                          <w:sz w:val="20"/>
                        </w:rPr>
                        <w:t>38</w:t>
                      </w:r>
                    </w:p>
                  </w:txbxContent>
                </v:textbox>
                <w10:wrap type="none"/>
              </v:rect>
            </w:pict>
          </mc:Fallback>
        </mc:AlternateContent>
      </w:r>
    </w:p>
    <w:p>
      <w:pPr>
        <w:pStyle w:val="TextBody"/>
        <w:bidi w:val="0"/>
        <w:spacing w:lineRule="auto" w:line="288" w:before="0" w:after="200"/>
        <w:jc w:val="both"/>
        <w:rPr/>
      </w:pPr>
      <w:hyperlink w:anchor="iccccf23fa31e44f0aa82c99ca0859db8_7">
        <w:r>
          <w:rPr>
            <w:rStyle w:val="InternetLink"/>
            <w:rFonts w:ascii="Adelle Sans Light;sans-serif" w:hAnsi="Adelle Sans Light;sans-serif"/>
            <w:b w:val="false"/>
            <w:color w:val="0000FF"/>
            <w:sz w:val="20"/>
            <w:u w:val="single"/>
          </w:rPr>
          <w:t>Table of Contents</w:t>
        </w:r>
      </w:hyperlink>
    </w:p>
    <w:p>
      <w:pPr>
        <w:pStyle w:val="TextBody"/>
        <w:bidi w:val="0"/>
        <w:spacing w:lineRule="auto" w:line="288" w:before="0" w:after="200"/>
        <w:jc w:val="both"/>
        <w:rPr>
          <w:rFonts w:ascii="Adelle Sans Light;sans-serif" w:hAnsi="Adelle Sans Light;sans-serif"/>
          <w:b w:val="false"/>
          <w:color w:val="000000"/>
          <w:sz w:val="20"/>
        </w:rPr>
      </w:pPr>
      <w:r>
        <w:rPr>
          <w:rFonts w:ascii="Adelle Sans Light;sans-serif" w:hAnsi="Adelle Sans Light;sans-serif"/>
          <w:b w:val="false"/>
          <w:color w:val="000000"/>
          <w:sz w:val="20"/>
        </w:rPr>
        <w:t xml:space="preserve">amortization of the basis difference, changes in the fair value of our investments in convertible notes of private companies, changes in the fair value of the embedded derivative held to settle the Notes, foreign exchange rates and interest rates. The results from these changes may fluctuate from period to period and may cause volatility to our earnings as well as impact comparability of our results from period to period.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left"/>
        <w:rPr>
          <w:rFonts w:ascii="Adelle Sans;sans-serif" w:hAnsi="Adelle Sans;sans-serif"/>
          <w:b/>
          <w:color w:val="000000"/>
          <w:sz w:val="20"/>
        </w:rPr>
      </w:pPr>
      <w:bookmarkStart w:id="99" w:name="icfd32e6980d34acf8ccf493ef0f7b387"/>
      <w:bookmarkEnd w:id="99"/>
      <w:r>
        <w:rPr>
          <w:rFonts w:ascii="Adelle Sans;sans-serif" w:hAnsi="Adelle Sans;sans-serif"/>
          <w:b/>
          <w:color w:val="000000"/>
          <w:sz w:val="20"/>
        </w:rPr>
        <w:t xml:space="preserve">Liquidity and Capital Resources </w:t>
      </w:r>
    </w:p>
    <w:p>
      <w:pPr>
        <w:pStyle w:val="TextBody"/>
        <w:bidi w:val="0"/>
        <w:spacing w:lineRule="auto" w:line="288" w:before="0" w:after="200"/>
        <w:jc w:val="both"/>
        <w:rPr>
          <w:rFonts w:ascii="Adelle Sans Light;sans-serif" w:hAnsi="Adelle Sans Light;sans-serif"/>
          <w:b w:val="false"/>
          <w:color w:val="000000"/>
          <w:sz w:val="20"/>
        </w:rPr>
      </w:pPr>
      <w:r>
        <w:rPr>
          <w:rFonts w:ascii="Adelle Sans Light;sans-serif" w:hAnsi="Adelle Sans Light;sans-serif"/>
          <w:b w:val="false"/>
          <w:color w:val="000000"/>
          <w:sz w:val="20"/>
        </w:rPr>
        <w:t xml:space="preserve">We generate liquidity through operating cash flows and the proceeds from the exercise of stock options. Shopify maintains a short-form base shelf prospectus with the securities commissions in each of the provinces and territories of Canada, except Quebec, and a corresponding shelf registration statement on Form F-10 with the U.S. SEC. This allows us to offer Class A subordinate voting shares, preferred shares, debt securities, warrants, subscription receipts, units, or any combination thereof, from time to time during the 25-month period that the shelf prospectus is effective. The type of securities and the specific terms thereof will be determined at the time of any offering and will be described in the applicable prospectus supplement to be filed separately with Canadian securities regulators and the SEC. </w:t>
      </w:r>
    </w:p>
    <w:p>
      <w:pPr>
        <w:pStyle w:val="TextBody"/>
        <w:bidi w:val="0"/>
        <w:spacing w:lineRule="auto" w:line="288" w:before="0" w:after="200"/>
        <w:jc w:val="both"/>
        <w:rPr>
          <w:rFonts w:ascii="Adelle Sans Light;sans-serif" w:hAnsi="Adelle Sans Light;sans-serif"/>
          <w:b w:val="false"/>
          <w:color w:val="000000"/>
          <w:sz w:val="20"/>
        </w:rPr>
      </w:pPr>
      <w:r>
        <w:rPr>
          <w:rFonts w:ascii="Adelle Sans Light;sans-serif" w:hAnsi="Adelle Sans Light;sans-serif"/>
          <w:b w:val="false"/>
          <w:color w:val="000000"/>
          <w:sz w:val="20"/>
        </w:rPr>
        <w:t xml:space="preserve">Our principal cash requirements are for working capital and ongoing operations. Excluding current deferred revenue, working capital as of June 30, 2026 was $6.7 billion. Given the ongoing cash generated from operations and our existing cash and cash equivalents, we believe there is sufficient liquidity to meet our current and planned financial obligations over the next 12 months and into the foreseeable future. Our future cash requirements will depend on many factors, including but not limited to our growth rate, subscription renewal activity, the timing and extent of spending to support development of our platform, the expansion of sales and marketing activities, the macroeconomic conditions and overall levels of consumer spending on goods and potential strategic investments and acquisitions activity. Although we currently are not a party to any material undisclosed agreement and do not have any understanding with any third parties with respect to potential material investments in, or material acquisitions of, businesses or technologies, we may enter into these types of arrangements in the future, which could also require us to seek additional equity or debt financing. Additional funds may not be available on terms favorable to us or at all. </w:t>
      </w:r>
    </w:p>
    <w:p>
      <w:pPr>
        <w:pStyle w:val="TextBody"/>
        <w:bidi w:val="0"/>
        <w:spacing w:lineRule="auto" w:line="288" w:before="0" w:after="200"/>
        <w:jc w:val="both"/>
        <w:rPr>
          <w:rFonts w:ascii="Adelle Sans Light;sans-serif" w:hAnsi="Adelle Sans Light;sans-serif"/>
          <w:b w:val="false"/>
          <w:color w:val="000000"/>
          <w:sz w:val="20"/>
        </w:rPr>
      </w:pPr>
      <w:r>
        <w:rPr>
          <w:rFonts w:ascii="Adelle Sans Light;sans-serif" w:hAnsi="Adelle Sans Light;sans-serif"/>
          <w:b w:val="false"/>
          <w:color w:val="000000"/>
          <w:sz w:val="20"/>
        </w:rPr>
        <w:t>In the first quarter of 2026, the Company's Board of Directors authorized a share repurchase program of up to $2 billion of the Company’s outstanding Class A subordinate voting shares. The share repurchase program went into effect on February 17, 2026, has no fixed expiration date, and may be amended, suspended, or discontinued at any time, subject to applicable laws.</w:t>
      </w:r>
    </w:p>
    <w:p>
      <w:pPr>
        <w:pStyle w:val="TextBody"/>
        <w:bidi w:val="0"/>
        <w:spacing w:lineRule="auto" w:line="288" w:before="0" w:after="200"/>
        <w:jc w:val="both"/>
        <w:rPr>
          <w:rFonts w:ascii="Adelle Sans Light;sans-serif" w:hAnsi="Adelle Sans Light;sans-serif"/>
          <w:b w:val="false"/>
          <w:color w:val="000000"/>
          <w:sz w:val="20"/>
        </w:rPr>
      </w:pPr>
      <w:r>
        <w:rPr>
          <w:rFonts w:ascii="Adelle Sans Light;sans-serif" w:hAnsi="Adelle Sans Light;sans-serif"/>
          <w:b w:val="false"/>
          <w:color w:val="000000"/>
          <w:sz w:val="20"/>
        </w:rPr>
        <w:t>In the second quarter of 2026, the Company's Board of Directors authorized an additional $3 billion of the Company's outstanding Class A subordinate voting shares, in addition to the $2 billion previously authorized, bringing its aggregate share repurchase authorization to $5 billion.</w:t>
      </w:r>
    </w:p>
    <w:p>
      <w:pPr>
        <w:pStyle w:val="TextBody"/>
        <w:bidi w:val="0"/>
        <w:spacing w:lineRule="auto" w:line="288" w:before="0" w:after="200"/>
        <w:jc w:val="both"/>
        <w:rPr>
          <w:rFonts w:ascii="Adelle Sans Light;sans-serif" w:hAnsi="Adelle Sans Light;sans-serif"/>
          <w:b w:val="false"/>
          <w:color w:val="000000"/>
          <w:sz w:val="20"/>
        </w:rPr>
      </w:pPr>
      <w:r>
        <w:rPr>
          <w:rFonts w:ascii="Adelle Sans Light;sans-serif" w:hAnsi="Adelle Sans Light;sans-serif"/>
          <w:b w:val="false"/>
          <w:color w:val="000000"/>
          <w:sz w:val="20"/>
        </w:rPr>
        <w:t>Repurchases may be made through open-market purchases on the Nasdaq, privately negotiated transactions including block trades, or other means, in each case in compliance with applicable securities laws. The timing, number, and value of any Class A subordinate voting shares repurchased will depend on a variety of factors, including price, general business and market conditions, applicable legal requirements, and alternative investment opportunities. In accordance with applicable securities laws, the maximum number of Class A subordinate voting shares repurchased will not exceed 5% of Shopify’s issued and outstanding Class A subordinate voting shares.</w:t>
      </w:r>
    </w:p>
    <w:p>
      <w:pPr>
        <w:pStyle w:val="TextBody"/>
        <w:bidi w:val="0"/>
        <w:spacing w:lineRule="auto" w:line="288" w:before="0" w:after="200"/>
        <w:jc w:val="both"/>
        <w:rPr>
          <w:rFonts w:ascii="Adelle Sans Light;sans-serif" w:hAnsi="Adelle Sans Light;sans-serif"/>
          <w:b w:val="false"/>
          <w:color w:val="000000"/>
          <w:sz w:val="20"/>
        </w:rPr>
      </w:pPr>
      <w:r>
        <w:rPr>
          <w:rFonts w:ascii="Adelle Sans Light;sans-serif" w:hAnsi="Adelle Sans Light;sans-serif"/>
          <w:b w:val="false"/>
          <w:color w:val="000000"/>
          <w:sz w:val="20"/>
        </w:rPr>
        <w:t xml:space="preserve">During the three months ended June 30, 2026, we repurchased </w:t>
      </w:r>
      <w:bookmarkStart w:id="100" w:name="i076712efd7aa416ebc5ea7ada53fdf94"/>
      <w:bookmarkEnd w:id="100"/>
      <w:r>
        <w:rPr>
          <w:rFonts w:ascii="Adelle Sans Light;sans-serif" w:hAnsi="Adelle Sans Light;sans-serif"/>
          <w:b w:val="false"/>
          <w:color w:val="000000"/>
          <w:sz w:val="20"/>
        </w:rPr>
        <w:t>$1.4 billion of our Class A subordinate voting shares under our share repurchase program. As of June 30, 2026, a total of $3.1 billion remained available for future repurchases of our Class A subordinate voting shares. See "Note 10 - Shareholders' Equity" to the condensed consolidated financial statements included in this report for more information about our share repurchase program.</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7955"/>
                <wp:effectExtent l="0" t="0" r="0" b="0"/>
                <wp:wrapNone/>
                <wp:docPr id="40" name="Frame39"/>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200"/>
                              <w:jc w:val="center"/>
                              <w:rPr>
                                <w:rFonts w:ascii="Adelle Sans Light;sans-serif" w:hAnsi="Adelle Sans Light;sans-serif"/>
                                <w:b w:val="false"/>
                                <w:color w:val="000000"/>
                                <w:sz w:val="20"/>
                              </w:rPr>
                            </w:pPr>
                            <w:r>
                              <w:rPr>
                                <w:rFonts w:ascii="Adelle Sans Light;sans-serif" w:hAnsi="Adelle Sans Light;sans-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Adelle Sans Light;sans-serif" w:hAnsi="Adelle Sans Light;sans-serif"/>
                          <w:b w:val="false"/>
                          <w:color w:val="000000"/>
                          <w:sz w:val="20"/>
                        </w:rPr>
                      </w:pPr>
                      <w:r>
                        <w:rPr>
                          <w:rFonts w:ascii="Adelle Sans Light;sans-serif" w:hAnsi="Adelle Sans Light;sans-serif"/>
                          <w:b w:val="false"/>
                          <w:color w:val="000000"/>
                          <w:sz w:val="20"/>
                        </w:rPr>
                        <w:t>39</w:t>
                      </w:r>
                    </w:p>
                  </w:txbxContent>
                </v:textbox>
                <w10:wrap type="none"/>
              </v:rect>
            </w:pict>
          </mc:Fallback>
        </mc:AlternateContent>
      </w:r>
    </w:p>
    <w:p>
      <w:pPr>
        <w:pStyle w:val="TextBody"/>
        <w:bidi w:val="0"/>
        <w:spacing w:lineRule="auto" w:line="288" w:before="0" w:after="200"/>
        <w:jc w:val="both"/>
        <w:rPr/>
      </w:pPr>
      <w:hyperlink w:anchor="iccccf23fa31e44f0aa82c99ca0859db8_7">
        <w:r>
          <w:rPr>
            <w:rStyle w:val="InternetLink"/>
            <w:rFonts w:ascii="Adelle Sans Light;sans-serif" w:hAnsi="Adelle Sans Light;sans-serif"/>
            <w:b w:val="false"/>
            <w:color w:val="0000FF"/>
            <w:sz w:val="20"/>
            <w:u w:val="single"/>
          </w:rPr>
          <w:t>Table of Contents</w:t>
        </w:r>
      </w:hyperlink>
    </w:p>
    <w:p>
      <w:pPr>
        <w:pStyle w:val="TextBody"/>
        <w:bidi w:val="0"/>
        <w:spacing w:lineRule="auto" w:line="288" w:before="0" w:after="200"/>
        <w:jc w:val="left"/>
        <w:rPr>
          <w:rFonts w:ascii="Adelle Sans;sans-serif" w:hAnsi="Adelle Sans;sans-serif"/>
          <w:b/>
          <w:i/>
          <w:color w:val="000000"/>
          <w:sz w:val="20"/>
        </w:rPr>
      </w:pPr>
      <w:bookmarkStart w:id="101" w:name="i0805b31d417a4b5fa43138efba5c59e3"/>
      <w:bookmarkEnd w:id="101"/>
      <w:r>
        <w:rPr>
          <w:rFonts w:ascii="Adelle Sans;sans-serif" w:hAnsi="Adelle Sans;sans-serif"/>
          <w:b/>
          <w:i/>
          <w:color w:val="000000"/>
          <w:sz w:val="20"/>
        </w:rPr>
        <w:t>Cash, Cash Equivalents and Marketable Securities</w:t>
      </w:r>
    </w:p>
    <w:p>
      <w:pPr>
        <w:pStyle w:val="TextBody"/>
        <w:bidi w:val="0"/>
        <w:spacing w:lineRule="auto" w:line="288" w:before="0" w:after="200"/>
        <w:jc w:val="both"/>
        <w:rPr>
          <w:rFonts w:ascii="Adelle Sans Light;sans-serif" w:hAnsi="Adelle Sans Light;sans-serif"/>
          <w:b w:val="false"/>
          <w:color w:val="000000"/>
          <w:sz w:val="20"/>
        </w:rPr>
      </w:pPr>
      <w:r>
        <w:rPr>
          <w:rFonts w:ascii="Adelle Sans Light;sans-serif" w:hAnsi="Adelle Sans Light;sans-serif"/>
          <w:b w:val="false"/>
          <w:color w:val="000000"/>
          <w:sz w:val="20"/>
        </w:rPr>
        <w:t>Cash, cash equivalents and marketable securities decreased by $831 million to $4.9 billion as of June 30, 2026 from $5.8 billion as of December 31, 2025, as a result of cash used in repurchases of Class A subordinate voting shares and the purchase and origination of loans and merchant cash advances, net of repayments, offset by cash provided by our operations and maturities of marketable securities, net of purchases. Cash equivalents and marketable securities include money market funds, term deposits, U.S. federal bonds and agency securities and corporate bonds and commercial paper, all maturing within 12 months from June 30, 2026.</w:t>
      </w:r>
    </w:p>
    <w:p>
      <w:pPr>
        <w:pStyle w:val="TextBody"/>
        <w:bidi w:val="0"/>
        <w:spacing w:lineRule="auto" w:line="288" w:before="0" w:after="200"/>
        <w:jc w:val="both"/>
        <w:rPr>
          <w:rFonts w:ascii="Adelle Sans Light;sans-serif" w:hAnsi="Adelle Sans Light;sans-serif"/>
          <w:b w:val="false"/>
          <w:color w:val="000000"/>
          <w:sz w:val="20"/>
        </w:rPr>
      </w:pPr>
      <w:r>
        <w:rPr>
          <w:rFonts w:ascii="Adelle Sans Light;sans-serif" w:hAnsi="Adelle Sans Light;sans-serif"/>
          <w:b w:val="false"/>
          <w:color w:val="000000"/>
          <w:sz w:val="20"/>
        </w:rPr>
        <w:t>The following table summarizes our total cash, cash equivalents and marketable securities as well as our operating, investing and financing activities for the six months ended June 30, 2026 and 2025:</w:t>
      </w:r>
    </w:p>
    <w:tbl>
      <w:tblPr>
        <w:tblW w:w="10205" w:type="dxa"/>
        <w:jc w:val="left"/>
        <w:tblInd w:w="0" w:type="dxa"/>
        <w:tblLayout w:type="fixed"/>
        <w:tblCellMar>
          <w:top w:w="28" w:type="dxa"/>
          <w:left w:w="28" w:type="dxa"/>
          <w:bottom w:w="28" w:type="dxa"/>
          <w:right w:w="28" w:type="dxa"/>
        </w:tblCellMar>
      </w:tblPr>
      <w:tblGrid>
        <w:gridCol w:w="2512"/>
        <w:gridCol w:w="2213"/>
        <w:gridCol w:w="2218"/>
        <w:gridCol w:w="477"/>
        <w:gridCol w:w="306"/>
        <w:gridCol w:w="286"/>
        <w:gridCol w:w="286"/>
        <w:gridCol w:w="286"/>
        <w:gridCol w:w="286"/>
        <w:gridCol w:w="477"/>
        <w:gridCol w:w="305"/>
        <w:gridCol w:w="286"/>
        <w:gridCol w:w="109"/>
        <w:gridCol w:w="158"/>
      </w:tblGrid>
      <w:tr>
        <w:trPr/>
        <w:tc>
          <w:tcPr>
            <w:tcW w:w="2512" w:type="dxa"/>
            <w:tcBorders/>
            <w:vAlign w:val="center"/>
          </w:tcPr>
          <w:p>
            <w:pPr>
              <w:pStyle w:val="TableContents"/>
              <w:bidi w:val="0"/>
              <w:spacing w:before="0" w:after="283"/>
              <w:jc w:val="left"/>
              <w:rPr>
                <w:sz w:val="4"/>
                <w:szCs w:val="4"/>
              </w:rPr>
            </w:pPr>
            <w:r>
              <w:rPr>
                <w:sz w:val="4"/>
                <w:szCs w:val="4"/>
              </w:rPr>
            </w:r>
          </w:p>
        </w:tc>
        <w:tc>
          <w:tcPr>
            <w:tcW w:w="2213" w:type="dxa"/>
            <w:tcBorders/>
            <w:vAlign w:val="center"/>
          </w:tcPr>
          <w:p>
            <w:pPr>
              <w:pStyle w:val="TableContents"/>
              <w:bidi w:val="0"/>
              <w:spacing w:before="0" w:after="283"/>
              <w:jc w:val="left"/>
              <w:rPr>
                <w:sz w:val="4"/>
                <w:szCs w:val="4"/>
              </w:rPr>
            </w:pPr>
            <w:r>
              <w:rPr>
                <w:sz w:val="4"/>
                <w:szCs w:val="4"/>
              </w:rPr>
            </w:r>
          </w:p>
        </w:tc>
        <w:tc>
          <w:tcPr>
            <w:tcW w:w="2218"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9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5"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delle Sans;sans-serif" w:hAnsi="Adelle Sans;sans-serif"/>
                <w:b/>
                <w:color w:val="000000"/>
                <w:sz w:val="18"/>
              </w:rPr>
            </w:pPr>
            <w:r>
              <w:rPr>
                <w:rFonts w:ascii="Adelle Sans;sans-serif" w:hAnsi="Adelle Sans;sans-serif"/>
                <w:b/>
                <w:color w:val="000000"/>
                <w:sz w:val="18"/>
              </w:rPr>
              <w:t>Six months ended June 30,</w:t>
            </w:r>
          </w:p>
        </w:tc>
        <w:tc>
          <w:tcPr>
            <w:tcW w:w="267" w:type="dxa"/>
            <w:gridSpan w:val="2"/>
            <w:tcBorders/>
          </w:tcPr>
          <w:p>
            <w:pPr>
              <w:pStyle w:val="TableContents"/>
              <w:bidi w:val="0"/>
              <w:spacing w:before="0" w:after="283"/>
              <w:jc w:val="left"/>
              <w:rPr>
                <w:sz w:val="4"/>
                <w:szCs w:val="4"/>
              </w:rPr>
            </w:pPr>
            <w:r>
              <w:rPr>
                <w:sz w:val="4"/>
                <w:szCs w:val="4"/>
              </w:rPr>
            </w:r>
          </w:p>
        </w:tc>
      </w:tr>
      <w:tr>
        <w:trPr/>
        <w:tc>
          <w:tcPr>
            <w:tcW w:w="69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Adelle Sans;sans-serif" w:hAnsi="Adelle Sans;sans-serif"/>
                <w:b/>
                <w:color w:val="000000"/>
                <w:sz w:val="18"/>
              </w:rPr>
            </w:pPr>
            <w:r>
              <w:rPr>
                <w:rFonts w:ascii="Adelle Sans;sans-serif" w:hAnsi="Adelle Sans;sans-serif"/>
                <w:b/>
                <w:color w:val="000000"/>
                <w:sz w:val="18"/>
              </w:rPr>
              <w:t>2026</w:t>
            </w:r>
          </w:p>
        </w:tc>
        <w:tc>
          <w:tcPr>
            <w:tcW w:w="858"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Adelle Sans;sans-serif" w:hAnsi="Adelle Sans;sans-serif"/>
                <w:b/>
                <w:color w:val="000000"/>
                <w:sz w:val="18"/>
              </w:rPr>
            </w:pPr>
            <w:r>
              <w:rPr>
                <w:rFonts w:ascii="Adelle Sans;sans-serif" w:hAnsi="Adelle Sans;sans-serif"/>
                <w:b/>
                <w:color w:val="000000"/>
                <w:sz w:val="18"/>
              </w:rPr>
              <w:t>2025</w:t>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94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5"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delle Sans;sans-serif" w:hAnsi="Adelle Sans;sans-serif"/>
                <w:b w:val="false"/>
                <w:color w:val="000000"/>
                <w:sz w:val="18"/>
              </w:rPr>
            </w:pPr>
            <w:r>
              <w:rPr>
                <w:rFonts w:ascii="Adelle Sans;sans-serif" w:hAnsi="Adelle Sans;sans-serif"/>
                <w:b w:val="false"/>
                <w:color w:val="000000"/>
                <w:sz w:val="18"/>
              </w:rPr>
              <w:t>(in US $ millions)</w:t>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943" w:type="dxa"/>
            <w:gridSpan w:val="3"/>
            <w:tcBorders/>
            <w:shd w:fill="F7F7F7" w:val="clear"/>
            <w:tcMar>
              <w:top w:w="0" w:type="dxa"/>
              <w:left w:w="0" w:type="dxa"/>
              <w:bottom w:w="0" w:type="dxa"/>
              <w:right w:w="0" w:type="dxa"/>
            </w:tcMar>
            <w:vAlign w:val="center"/>
          </w:tcPr>
          <w:p>
            <w:pPr>
              <w:pStyle w:val="TableContents"/>
              <w:bidi w:val="0"/>
              <w:spacing w:lineRule="auto" w:line="240" w:before="0" w:after="283"/>
              <w:jc w:val="left"/>
              <w:rPr>
                <w:rFonts w:ascii="Adelle Sans;sans-serif" w:hAnsi="Adelle Sans;sans-serif"/>
                <w:b/>
                <w:color w:val="000000"/>
                <w:sz w:val="18"/>
              </w:rPr>
            </w:pPr>
            <w:r>
              <w:rPr>
                <w:rFonts w:ascii="Adelle Sans;sans-serif" w:hAnsi="Adelle Sans;sans-serif"/>
                <w:b/>
                <w:color w:val="000000"/>
                <w:sz w:val="18"/>
              </w:rPr>
              <w:t>Cash, cash equivalents and marketable securities (end of period)</w:t>
            </w:r>
          </w:p>
        </w:tc>
        <w:tc>
          <w:tcPr>
            <w:tcW w:w="783" w:type="dxa"/>
            <w:gridSpan w:val="2"/>
            <w:tcBorders/>
            <w:shd w:fill="F7F7F7" w:val="clear"/>
            <w:tcMar>
              <w:top w:w="0" w:type="dxa"/>
              <w:left w:w="0" w:type="dxa"/>
              <w:bottom w:w="0" w:type="dxa"/>
              <w:right w:w="0" w:type="dxa"/>
            </w:tcMar>
            <w:vAlign w:val="center"/>
          </w:tcPr>
          <w:p>
            <w:pPr>
              <w:pStyle w:val="TableContents"/>
              <w:bidi w:val="0"/>
              <w:spacing w:lineRule="auto" w:line="240" w:before="0" w:after="283"/>
              <w:jc w:val="right"/>
              <w:rPr/>
            </w:pPr>
            <w:r>
              <w:rPr>
                <w:rFonts w:ascii="Adelle Sans;sans-serif" w:hAnsi="Adelle Sans;sans-serif"/>
                <w:b/>
                <w:color w:val="000000"/>
                <w:sz w:val="18"/>
              </w:rPr>
              <w:t>4,947</w:t>
            </w:r>
            <w:r>
              <w:rPr>
                <w:color w:val="000000"/>
              </w:rPr>
              <w:t> </w:t>
            </w:r>
          </w:p>
        </w:tc>
        <w:tc>
          <w:tcPr>
            <w:tcW w:w="286" w:type="dxa"/>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7F7F7" w:val="clear"/>
            <w:tcMar>
              <w:top w:w="0" w:type="dxa"/>
              <w:left w:w="0" w:type="dxa"/>
              <w:bottom w:w="0" w:type="dxa"/>
              <w:right w:w="0" w:type="dxa"/>
            </w:tcMar>
            <w:vAlign w:val="center"/>
          </w:tcPr>
          <w:p>
            <w:pPr>
              <w:pStyle w:val="TableContents"/>
              <w:bidi w:val="0"/>
              <w:spacing w:lineRule="auto" w:line="240" w:before="0" w:after="283"/>
              <w:jc w:val="right"/>
              <w:rPr/>
            </w:pPr>
            <w:r>
              <w:rPr>
                <w:rFonts w:ascii="Adelle Sans;sans-serif" w:hAnsi="Adelle Sans;sans-serif"/>
                <w:b/>
                <w:color w:val="000000"/>
                <w:sz w:val="18"/>
              </w:rPr>
              <w:t>5,820</w:t>
            </w:r>
            <w:r>
              <w:rPr>
                <w:color w:val="000000"/>
              </w:rPr>
              <w:t> </w:t>
            </w:r>
          </w:p>
        </w:tc>
        <w:tc>
          <w:tcPr>
            <w:tcW w:w="286" w:type="dxa"/>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9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delle Sans;sans-serif" w:hAnsi="Adelle Sans;sans-serif"/>
                <w:b w:val="false"/>
                <w:color w:val="000000"/>
                <w:sz w:val="18"/>
              </w:rPr>
            </w:pPr>
            <w:r>
              <w:rPr>
                <w:rFonts w:ascii="Adelle Sans;sans-serif" w:hAnsi="Adelle Sans;sans-serif"/>
                <w:b w:val="false"/>
                <w:color w:val="000000"/>
                <w:sz w:val="18"/>
              </w:rPr>
              <w:t>Net cash provided by (used in):</w:t>
            </w:r>
          </w:p>
        </w:tc>
        <w:tc>
          <w:tcPr>
            <w:tcW w:w="10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943" w:type="dxa"/>
            <w:gridSpan w:val="3"/>
            <w:tcBorders/>
            <w:shd w:fill="F7F7F7" w:val="clear"/>
            <w:tcMar>
              <w:top w:w="0" w:type="dxa"/>
              <w:left w:w="0" w:type="dxa"/>
              <w:bottom w:w="0" w:type="dxa"/>
              <w:right w:w="0" w:type="dxa"/>
            </w:tcMar>
            <w:vAlign w:val="center"/>
          </w:tcPr>
          <w:p>
            <w:pPr>
              <w:pStyle w:val="TableContents"/>
              <w:bidi w:val="0"/>
              <w:spacing w:lineRule="auto" w:line="240" w:before="0" w:after="0"/>
              <w:jc w:val="left"/>
              <w:rPr/>
            </w:pPr>
            <w:r>
              <w:rPr>
                <w:rFonts w:ascii="Adelle Sans;sans-serif" w:hAnsi="Adelle Sans;sans-serif"/>
                <w:b w:val="false"/>
                <w:color w:val="000000"/>
                <w:sz w:val="18"/>
              </w:rPr>
              <w:t>Operating activities</w:t>
            </w:r>
            <w:r>
              <w:rPr>
                <w:rFonts w:ascii="Adelle Sans;sans-serif" w:hAnsi="Adelle Sans;sans-serif"/>
                <w:b w:val="false"/>
                <w:color w:val="000000"/>
                <w:sz w:val="12"/>
              </w:rPr>
              <w:t>(1)</w:t>
            </w:r>
          </w:p>
        </w:tc>
        <w:tc>
          <w:tcPr>
            <w:tcW w:w="783" w:type="dxa"/>
            <w:gridSpan w:val="2"/>
            <w:tcBorders/>
            <w:shd w:fill="F7F7F7"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1,139 </w:t>
            </w:r>
          </w:p>
        </w:tc>
        <w:tc>
          <w:tcPr>
            <w:tcW w:w="286" w:type="dxa"/>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7F7F7"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795 </w:t>
            </w:r>
          </w:p>
        </w:tc>
        <w:tc>
          <w:tcPr>
            <w:tcW w:w="286" w:type="dxa"/>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94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delle Sans;sans-serif" w:hAnsi="Adelle Sans;sans-serif"/>
                <w:b w:val="false"/>
                <w:color w:val="000000"/>
                <w:sz w:val="18"/>
              </w:rPr>
              <w:t>Investing activities</w:t>
            </w:r>
            <w:r>
              <w:rPr>
                <w:rFonts w:ascii="Adelle Sans;sans-serif" w:hAnsi="Adelle Sans;sans-serif"/>
                <w:b w:val="false"/>
                <w:color w:val="000000"/>
                <w:sz w:val="12"/>
              </w:rPr>
              <w:t>(1)</w:t>
            </w:r>
          </w:p>
        </w:tc>
        <w:tc>
          <w:tcPr>
            <w:tcW w:w="7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881 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(871)</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943" w:type="dxa"/>
            <w:gridSpan w:val="3"/>
            <w:tcBorders/>
            <w:shd w:fill="F7F7F7" w:val="clear"/>
            <w:tcMar>
              <w:top w:w="0" w:type="dxa"/>
              <w:left w:w="0" w:type="dxa"/>
              <w:bottom w:w="0" w:type="dxa"/>
              <w:right w:w="0" w:type="dxa"/>
            </w:tcMar>
            <w:vAlign w:val="center"/>
          </w:tcPr>
          <w:p>
            <w:pPr>
              <w:pStyle w:val="TableContents"/>
              <w:bidi w:val="0"/>
              <w:spacing w:lineRule="auto" w:line="240" w:before="0" w:after="283"/>
              <w:jc w:val="left"/>
              <w:rPr>
                <w:rFonts w:ascii="Adelle Sans;sans-serif" w:hAnsi="Adelle Sans;sans-serif"/>
                <w:b w:val="false"/>
                <w:color w:val="000000"/>
                <w:sz w:val="18"/>
              </w:rPr>
            </w:pPr>
            <w:r>
              <w:rPr>
                <w:rFonts w:ascii="Adelle Sans;sans-serif" w:hAnsi="Adelle Sans;sans-serif"/>
                <w:b w:val="false"/>
                <w:color w:val="000000"/>
                <w:sz w:val="18"/>
              </w:rPr>
              <w:t>Financing activities</w:t>
            </w:r>
          </w:p>
        </w:tc>
        <w:tc>
          <w:tcPr>
            <w:tcW w:w="783" w:type="dxa"/>
            <w:gridSpan w:val="2"/>
            <w:tcBorders/>
            <w:shd w:fill="F7F7F7"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(1,902)</w:t>
            </w:r>
          </w:p>
        </w:tc>
        <w:tc>
          <w:tcPr>
            <w:tcW w:w="286" w:type="dxa"/>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7F7F7"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103 </w:t>
            </w:r>
          </w:p>
        </w:tc>
        <w:tc>
          <w:tcPr>
            <w:tcW w:w="286" w:type="dxa"/>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9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delle Sans;sans-serif" w:hAnsi="Adelle Sans;sans-serif"/>
                <w:b w:val="false"/>
                <w:color w:val="000000"/>
                <w:sz w:val="18"/>
              </w:rPr>
            </w:pPr>
            <w:r>
              <w:rPr>
                <w:rFonts w:ascii="Adelle Sans;sans-serif" w:hAnsi="Adelle Sans;sans-serif"/>
                <w:b w:val="false"/>
                <w:color w:val="000000"/>
                <w:sz w:val="18"/>
              </w:rPr>
              <w:t>Effect of foreign exchange on cash and cash equivalents</w:t>
            </w:r>
          </w:p>
        </w:tc>
        <w:tc>
          <w:tcPr>
            <w:tcW w:w="7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(7)</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17 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943" w:type="dxa"/>
            <w:gridSpan w:val="3"/>
            <w:tcBorders/>
            <w:shd w:fill="F7F7F7" w:val="clear"/>
            <w:tcMar>
              <w:top w:w="0" w:type="dxa"/>
              <w:left w:w="0" w:type="dxa"/>
              <w:bottom w:w="0" w:type="dxa"/>
              <w:right w:w="0" w:type="dxa"/>
            </w:tcMar>
            <w:vAlign w:val="center"/>
          </w:tcPr>
          <w:p>
            <w:pPr>
              <w:pStyle w:val="TableContents"/>
              <w:bidi w:val="0"/>
              <w:spacing w:lineRule="auto" w:line="240" w:before="0" w:after="283"/>
              <w:jc w:val="left"/>
              <w:rPr>
                <w:rFonts w:ascii="Adelle Sans;sans-serif" w:hAnsi="Adelle Sans;sans-serif"/>
                <w:b w:val="false"/>
                <w:color w:val="000000"/>
                <w:sz w:val="18"/>
              </w:rPr>
            </w:pPr>
            <w:r>
              <w:rPr>
                <w:rFonts w:ascii="Adelle Sans;sans-serif" w:hAnsi="Adelle Sans;sans-serif"/>
                <w:b w:val="false"/>
                <w:color w:val="000000"/>
                <w:sz w:val="18"/>
              </w:rPr>
              <w:t>Net increase (decrease) in cash and cash equivalents</w:t>
            </w:r>
          </w:p>
        </w:tc>
        <w:tc>
          <w:tcPr>
            <w:tcW w:w="783" w:type="dxa"/>
            <w:gridSpan w:val="2"/>
            <w:tcBorders>
              <w:top w:val="single" w:sz="4" w:space="0" w:color="000000"/>
            </w:tcBorders>
            <w:shd w:fill="F7F7F7" w:val="clear"/>
            <w:tcMar>
              <w:top w:w="52"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111 </w:t>
            </w:r>
          </w:p>
        </w:tc>
        <w:tc>
          <w:tcPr>
            <w:tcW w:w="286" w:type="dxa"/>
            <w:tcBorders>
              <w:top w:val="single" w:sz="4" w:space="0" w:color="000000"/>
            </w:tcBorders>
            <w:shd w:fill="F7F7F7"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top w:val="single" w:sz="4" w:space="0" w:color="000000"/>
            </w:tcBorders>
            <w:shd w:fill="F7F7F7"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top w:val="single" w:sz="4" w:space="0" w:color="000000"/>
            </w:tcBorders>
            <w:shd w:fill="F7F7F7" w:val="clear"/>
            <w:tcMar>
              <w:top w:w="52"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44 </w:t>
            </w:r>
          </w:p>
        </w:tc>
        <w:tc>
          <w:tcPr>
            <w:tcW w:w="286" w:type="dxa"/>
            <w:tcBorders>
              <w:top w:val="single" w:sz="4" w:space="0" w:color="000000"/>
            </w:tcBorders>
            <w:shd w:fill="F7F7F7"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94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delle Sans;sans-serif" w:hAnsi="Adelle Sans;sans-serif"/>
                <w:b w:val="false"/>
                <w:color w:val="000000"/>
                <w:sz w:val="18"/>
              </w:rPr>
              <w:t>(Decrease) increase in marketable securities</w:t>
            </w:r>
            <w:r>
              <w:rPr>
                <w:rFonts w:ascii="Adelle Sans;sans-serif" w:hAnsi="Adelle Sans;sans-serif"/>
                <w:b w:val="false"/>
                <w:color w:val="000000"/>
                <w:sz w:val="12"/>
              </w:rPr>
              <w:t>(2)</w:t>
            </w:r>
          </w:p>
        </w:tc>
        <w:tc>
          <w:tcPr>
            <w:tcW w:w="7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(942)</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297 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943" w:type="dxa"/>
            <w:gridSpan w:val="3"/>
            <w:tcBorders/>
            <w:shd w:fill="F7F7F7" w:val="clear"/>
            <w:tcMar>
              <w:top w:w="0" w:type="dxa"/>
              <w:left w:w="0" w:type="dxa"/>
              <w:bottom w:w="0" w:type="dxa"/>
              <w:right w:w="0" w:type="dxa"/>
            </w:tcMar>
            <w:vAlign w:val="center"/>
          </w:tcPr>
          <w:p>
            <w:pPr>
              <w:pStyle w:val="TableContents"/>
              <w:bidi w:val="0"/>
              <w:spacing w:lineRule="auto" w:line="240" w:before="0" w:after="283"/>
              <w:jc w:val="left"/>
              <w:rPr>
                <w:rFonts w:ascii="Adelle Sans;sans-serif" w:hAnsi="Adelle Sans;sans-serif"/>
                <w:b/>
                <w:color w:val="000000"/>
                <w:sz w:val="18"/>
              </w:rPr>
            </w:pPr>
            <w:r>
              <w:rPr>
                <w:rFonts w:ascii="Adelle Sans;sans-serif" w:hAnsi="Adelle Sans;sans-serif"/>
                <w:b/>
                <w:color w:val="000000"/>
                <w:sz w:val="18"/>
              </w:rPr>
              <w:t>Net (decrease) increase in cash, cash equivalents and marketable securities</w:t>
            </w:r>
          </w:p>
        </w:tc>
        <w:tc>
          <w:tcPr>
            <w:tcW w:w="783" w:type="dxa"/>
            <w:gridSpan w:val="2"/>
            <w:tcBorders>
              <w:top w:val="single" w:sz="8" w:space="0" w:color="000000"/>
            </w:tcBorders>
            <w:shd w:fill="F7F7F7" w:val="clear"/>
            <w:tcMar>
              <w:top w:w="52"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color w:val="000000"/>
                <w:sz w:val="18"/>
              </w:rPr>
            </w:pPr>
            <w:r>
              <w:rPr>
                <w:rFonts w:ascii="Adelle Sans;sans-serif" w:hAnsi="Adelle Sans;sans-serif"/>
                <w:b/>
                <w:color w:val="000000"/>
                <w:sz w:val="18"/>
              </w:rPr>
              <w:t>(831)</w:t>
            </w:r>
          </w:p>
        </w:tc>
        <w:tc>
          <w:tcPr>
            <w:tcW w:w="286" w:type="dxa"/>
            <w:tcBorders>
              <w:top w:val="single" w:sz="8" w:space="0" w:color="000000"/>
            </w:tcBorders>
            <w:shd w:fill="F7F7F7"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top w:val="single" w:sz="8" w:space="0" w:color="000000"/>
            </w:tcBorders>
            <w:shd w:fill="F7F7F7"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top w:val="single" w:sz="8" w:space="0" w:color="000000"/>
            </w:tcBorders>
            <w:shd w:fill="F7F7F7" w:val="clear"/>
            <w:tcMar>
              <w:top w:w="52" w:type="dxa"/>
              <w:left w:w="0" w:type="dxa"/>
              <w:bottom w:w="0" w:type="dxa"/>
              <w:right w:w="0" w:type="dxa"/>
            </w:tcMar>
            <w:vAlign w:val="center"/>
          </w:tcPr>
          <w:p>
            <w:pPr>
              <w:pStyle w:val="TableContents"/>
              <w:bidi w:val="0"/>
              <w:spacing w:lineRule="auto" w:line="240" w:before="0" w:after="283"/>
              <w:jc w:val="right"/>
              <w:rPr/>
            </w:pPr>
            <w:r>
              <w:rPr>
                <w:rFonts w:ascii="Adelle Sans;sans-serif" w:hAnsi="Adelle Sans;sans-serif"/>
                <w:b/>
                <w:color w:val="000000"/>
                <w:sz w:val="18"/>
              </w:rPr>
              <w:t>341</w:t>
            </w:r>
            <w:r>
              <w:rPr>
                <w:color w:val="000000"/>
              </w:rPr>
              <w:t> </w:t>
            </w:r>
          </w:p>
        </w:tc>
        <w:tc>
          <w:tcPr>
            <w:tcW w:w="286" w:type="dxa"/>
            <w:tcBorders>
              <w:top w:val="single" w:sz="8" w:space="0" w:color="000000"/>
            </w:tcBorders>
            <w:shd w:fill="F7F7F7"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jc w:val="left"/>
        <w:rPr/>
      </w:pPr>
      <w:bookmarkStart w:id="102" w:name="ie6f7771acf834798ae31d6f73659fd46"/>
      <w:bookmarkEnd w:id="102"/>
      <w:r>
        <w:rPr>
          <w:rFonts w:ascii="Adelle Sans Light;sans-serif" w:hAnsi="Adelle Sans Light;sans-serif"/>
          <w:b w:val="false"/>
          <w:color w:val="000000"/>
          <w:sz w:val="10"/>
        </w:rPr>
        <w:t xml:space="preserve">(1) </w:t>
      </w:r>
      <w:r>
        <w:rPr>
          <w:rFonts w:ascii="Adelle Sans Light;sans-serif" w:hAnsi="Adelle Sans Light;sans-serif"/>
          <w:b w:val="false"/>
          <w:color w:val="000000"/>
          <w:sz w:val="16"/>
        </w:rPr>
        <w:t>Starting in April 2026, the cash flows associated with merchant cash advances are presented within investing cash flows on a basis consistent with loans, given the similar nature of the underlying lending activities.</w:t>
      </w:r>
    </w:p>
    <w:p>
      <w:pPr>
        <w:pStyle w:val="TextBody"/>
        <w:bidi w:val="0"/>
        <w:spacing w:lineRule="auto" w:line="288" w:before="0" w:after="200"/>
        <w:jc w:val="left"/>
        <w:rPr/>
      </w:pPr>
      <w:r>
        <w:rPr>
          <w:rFonts w:ascii="Adelle Sans Light;sans-serif" w:hAnsi="Adelle Sans Light;sans-serif"/>
          <w:b w:val="false"/>
          <w:color w:val="000000"/>
          <w:sz w:val="10"/>
        </w:rPr>
        <w:t>(2)</w:t>
      </w:r>
      <w:bookmarkStart w:id="103" w:name="ib4b931ff66224990a27b702488a5dc90"/>
      <w:bookmarkEnd w:id="103"/>
      <w:r>
        <w:rPr>
          <w:rFonts w:ascii="Adelle Sans Light;sans-serif" w:hAnsi="Adelle Sans Light;sans-serif"/>
          <w:b w:val="false"/>
          <w:color w:val="000000"/>
          <w:sz w:val="10"/>
        </w:rPr>
        <w:t xml:space="preserve"> </w:t>
      </w:r>
      <w:r>
        <w:rPr>
          <w:rFonts w:ascii="Adelle Sans Light;sans-serif" w:hAnsi="Adelle Sans Light;sans-serif"/>
          <w:b w:val="false"/>
          <w:color w:val="000000"/>
          <w:sz w:val="16"/>
        </w:rPr>
        <w:t>Excludes $525 million and $831 million of marketable securities classified in "Long-term Investments" as of June 30, 2026 and 2025, respectively.</w:t>
      </w:r>
    </w:p>
    <w:p>
      <w:pPr>
        <w:pStyle w:val="TextBody"/>
        <w:bidi w:val="0"/>
        <w:spacing w:lineRule="auto" w:line="288" w:before="0" w:after="200"/>
        <w:jc w:val="both"/>
        <w:rPr>
          <w:rFonts w:ascii="Adelle Sans;sans-serif" w:hAnsi="Adelle Sans;sans-serif"/>
          <w:b/>
          <w:i/>
          <w:color w:val="000000"/>
          <w:sz w:val="20"/>
        </w:rPr>
      </w:pPr>
      <w:bookmarkStart w:id="104" w:name="if6209524b4ef4833a77efe044b4d87df"/>
      <w:bookmarkEnd w:id="104"/>
      <w:r>
        <w:rPr>
          <w:rFonts w:ascii="Adelle Sans;sans-serif" w:hAnsi="Adelle Sans;sans-serif"/>
          <w:b/>
          <w:i/>
          <w:color w:val="000000"/>
          <w:sz w:val="20"/>
        </w:rPr>
        <w:t>Changes in Merchant Cash Advances</w:t>
      </w:r>
    </w:p>
    <w:p>
      <w:pPr>
        <w:pStyle w:val="TextBody"/>
        <w:bidi w:val="0"/>
        <w:spacing w:lineRule="auto" w:line="288" w:before="0" w:after="200"/>
        <w:jc w:val="both"/>
        <w:rPr>
          <w:rFonts w:ascii="Adelle Sans Light;sans-serif" w:hAnsi="Adelle Sans Light;sans-serif"/>
          <w:b w:val="false"/>
          <w:color w:val="000000"/>
          <w:sz w:val="20"/>
        </w:rPr>
      </w:pPr>
      <w:r>
        <w:rPr>
          <w:rFonts w:ascii="Adelle Sans Light;sans-serif" w:hAnsi="Adelle Sans Light;sans-serif"/>
          <w:b w:val="false"/>
          <w:color w:val="000000"/>
          <w:sz w:val="20"/>
        </w:rPr>
        <w:t xml:space="preserve">In 2025, Canada amended regulations that impacted merchant cash advance products. As a result, we transitioned our Shopify Capital product in Canada, from merchant cash advances to loans which are accounted for under ASC 310, starting in April 2026. </w:t>
      </w:r>
    </w:p>
    <w:p>
      <w:pPr>
        <w:pStyle w:val="TextBody"/>
        <w:bidi w:val="0"/>
        <w:spacing w:lineRule="auto" w:line="288" w:before="0" w:after="200"/>
        <w:jc w:val="both"/>
        <w:rPr>
          <w:rFonts w:ascii="Adelle Sans Light;sans-serif" w:hAnsi="Adelle Sans Light;sans-serif"/>
          <w:b w:val="false"/>
          <w:color w:val="000000"/>
          <w:sz w:val="20"/>
        </w:rPr>
      </w:pPr>
      <w:r>
        <w:rPr>
          <w:rFonts w:ascii="Adelle Sans Light;sans-serif" w:hAnsi="Adelle Sans Light;sans-serif"/>
          <w:b w:val="false"/>
          <w:color w:val="000000"/>
          <w:sz w:val="20"/>
        </w:rPr>
        <w:t>Prompted by this transition, and concurrent with this product change for Canada, the cash flows associated with merchant cash advances are presented within investing cash flows on a basis consistent with loans, given the similar nature of the underlying lending activities. For the three months ended June 30, 2026, the changes described above resulted in a net cash use of $37 million presented in Investing activities after consideration of repayments and purchases and originations.</w:t>
      </w:r>
    </w:p>
    <w:p>
      <w:pPr>
        <w:pStyle w:val="TextBody"/>
        <w:bidi w:val="0"/>
        <w:spacing w:lineRule="auto" w:line="288" w:before="0" w:after="200"/>
        <w:jc w:val="both"/>
        <w:rPr>
          <w:rFonts w:ascii="Adelle Sans;sans-serif" w:hAnsi="Adelle Sans;sans-serif"/>
          <w:b/>
          <w:i/>
          <w:color w:val="000000"/>
          <w:sz w:val="20"/>
        </w:rPr>
      </w:pPr>
      <w:bookmarkStart w:id="105" w:name="i2bc23bf3249e4f9fa60c1ca0856b7b2a"/>
      <w:bookmarkEnd w:id="105"/>
      <w:r>
        <w:rPr>
          <w:rFonts w:ascii="Adelle Sans;sans-serif" w:hAnsi="Adelle Sans;sans-serif"/>
          <w:b/>
          <w:i/>
          <w:color w:val="000000"/>
          <w:sz w:val="20"/>
        </w:rPr>
        <w:t xml:space="preserve">Cash Flows From Operating Activities </w:t>
      </w:r>
    </w:p>
    <w:p>
      <w:pPr>
        <w:pStyle w:val="TextBody"/>
        <w:bidi w:val="0"/>
        <w:spacing w:lineRule="auto" w:line="288" w:before="0" w:after="200"/>
        <w:jc w:val="both"/>
        <w:rPr>
          <w:rFonts w:ascii="Adelle Sans Light;sans-serif" w:hAnsi="Adelle Sans Light;sans-serif"/>
          <w:b w:val="false"/>
          <w:color w:val="000000"/>
          <w:sz w:val="20"/>
        </w:rPr>
      </w:pPr>
      <w:r>
        <w:rPr>
          <w:rFonts w:ascii="Adelle Sans Light;sans-serif" w:hAnsi="Adelle Sans Light;sans-serif"/>
          <w:b w:val="false"/>
          <w:color w:val="000000"/>
          <w:sz w:val="20"/>
        </w:rPr>
        <w:t xml:space="preserve">Our largest source of operating cash is from merchant solutions. Within merchant solutions, the largest source of cash flows are Shopify Payments processing fee arrangements, which are received on a daily basis as transactions are processed. We also generate cash flows from our subscription solutions with subscription revenues. These payments are typically paid to us at the beginning of the applicable subscription period, except for our Shopify Plus merchants who typically pay us at the end of their monthly billing cycle. </w:t>
      </w:r>
    </w:p>
    <w:p>
      <w:pPr>
        <w:pStyle w:val="TextBody"/>
        <w:bidi w:val="0"/>
        <w:spacing w:lineRule="auto" w:line="288" w:before="0" w:after="200"/>
        <w:jc w:val="both"/>
        <w:rPr>
          <w:rFonts w:ascii="Adelle Sans Light;sans-serif" w:hAnsi="Adelle Sans Light;sans-serif"/>
          <w:b w:val="false"/>
          <w:color w:val="000000"/>
          <w:sz w:val="20"/>
        </w:rPr>
      </w:pPr>
      <w:r>
        <w:rPr>
          <w:rFonts w:ascii="Adelle Sans Light;sans-serif" w:hAnsi="Adelle Sans Light;sans-serif"/>
          <w:b w:val="false"/>
          <w:color w:val="000000"/>
          <w:sz w:val="20"/>
        </w:rPr>
        <w:t>Our primary uses of cash from operating activities are for third-party payment processing fees, employee-related expenditures, marketing programs and outsourced hosting costs.</w:t>
      </w:r>
    </w:p>
    <w:p>
      <w:pPr>
        <w:pStyle w:val="TextBody"/>
        <w:bidi w:val="0"/>
        <w:spacing w:lineRule="auto" w:line="288" w:before="0" w:after="200"/>
        <w:jc w:val="both"/>
        <w:rPr>
          <w:rFonts w:ascii="Adelle Sans Light;sans-serif" w:hAnsi="Adelle Sans Light;sans-serif"/>
          <w:b w:val="false"/>
          <w:color w:val="000000"/>
          <w:sz w:val="20"/>
        </w:rPr>
      </w:pPr>
      <w:r>
        <w:rPr>
          <w:rFonts w:ascii="Adelle Sans Light;sans-serif" w:hAnsi="Adelle Sans Light;sans-serif"/>
          <w:b w:val="false"/>
          <w:color w:val="000000"/>
          <w:sz w:val="20"/>
        </w:rPr>
        <w:t>For the six months ended June 30, 2026, net cash provided by operating activities was primarily the result of operating income, once adjusted for non-cash items, slightly offset by changes in working capital resulting in a use of cash.</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7955"/>
                <wp:effectExtent l="0" t="0" r="0" b="0"/>
                <wp:wrapNone/>
                <wp:docPr id="41" name="Frame40"/>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200"/>
                              <w:jc w:val="center"/>
                              <w:rPr>
                                <w:rFonts w:ascii="Adelle Sans Light;sans-serif" w:hAnsi="Adelle Sans Light;sans-serif"/>
                                <w:b w:val="false"/>
                                <w:color w:val="000000"/>
                                <w:sz w:val="20"/>
                              </w:rPr>
                            </w:pPr>
                            <w:r>
                              <w:rPr>
                                <w:rFonts w:ascii="Adelle Sans Light;sans-serif" w:hAnsi="Adelle Sans Light;sans-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Adelle Sans Light;sans-serif" w:hAnsi="Adelle Sans Light;sans-serif"/>
                          <w:b w:val="false"/>
                          <w:color w:val="000000"/>
                          <w:sz w:val="20"/>
                        </w:rPr>
                      </w:pPr>
                      <w:r>
                        <w:rPr>
                          <w:rFonts w:ascii="Adelle Sans Light;sans-serif" w:hAnsi="Adelle Sans Light;sans-serif"/>
                          <w:b w:val="false"/>
                          <w:color w:val="000000"/>
                          <w:sz w:val="20"/>
                        </w:rPr>
                        <w:t>40</w:t>
                      </w:r>
                    </w:p>
                  </w:txbxContent>
                </v:textbox>
                <w10:wrap type="none"/>
              </v:rect>
            </w:pict>
          </mc:Fallback>
        </mc:AlternateContent>
      </w:r>
    </w:p>
    <w:p>
      <w:pPr>
        <w:pStyle w:val="TextBody"/>
        <w:bidi w:val="0"/>
        <w:spacing w:lineRule="auto" w:line="288" w:before="0" w:after="200"/>
        <w:jc w:val="both"/>
        <w:rPr/>
      </w:pPr>
      <w:hyperlink w:anchor="iccccf23fa31e44f0aa82c99ca0859db8_7">
        <w:r>
          <w:rPr>
            <w:rStyle w:val="InternetLink"/>
            <w:rFonts w:ascii="Adelle Sans Light;sans-serif" w:hAnsi="Adelle Sans Light;sans-serif"/>
            <w:b w:val="false"/>
            <w:color w:val="0000FF"/>
            <w:sz w:val="20"/>
            <w:u w:val="single"/>
          </w:rPr>
          <w:t>Table of Contents</w:t>
        </w:r>
      </w:hyperlink>
    </w:p>
    <w:p>
      <w:pPr>
        <w:pStyle w:val="TextBody"/>
        <w:bidi w:val="0"/>
        <w:spacing w:lineRule="auto" w:line="288" w:before="0" w:after="200"/>
        <w:jc w:val="left"/>
        <w:rPr>
          <w:rFonts w:ascii="Adelle Sans;sans-serif" w:hAnsi="Adelle Sans;sans-serif"/>
          <w:b/>
          <w:i/>
          <w:color w:val="000000"/>
          <w:sz w:val="20"/>
        </w:rPr>
      </w:pPr>
      <w:bookmarkStart w:id="106" w:name="i370a1b02efb34401a74c12879e17e5d6"/>
      <w:bookmarkEnd w:id="106"/>
      <w:r>
        <w:rPr>
          <w:rFonts w:ascii="Adelle Sans;sans-serif" w:hAnsi="Adelle Sans;sans-serif"/>
          <w:b/>
          <w:i/>
          <w:color w:val="000000"/>
          <w:sz w:val="20"/>
        </w:rPr>
        <w:t xml:space="preserve">Cash Flows From Investing Activities </w:t>
      </w:r>
    </w:p>
    <w:p>
      <w:pPr>
        <w:pStyle w:val="TextBody"/>
        <w:bidi w:val="0"/>
        <w:spacing w:lineRule="auto" w:line="288" w:before="0" w:after="200"/>
        <w:jc w:val="both"/>
        <w:rPr>
          <w:rFonts w:ascii="Adelle Sans Light;sans-serif" w:hAnsi="Adelle Sans Light;sans-serif"/>
          <w:b w:val="false"/>
          <w:color w:val="000000"/>
          <w:sz w:val="20"/>
        </w:rPr>
      </w:pPr>
      <w:r>
        <w:rPr>
          <w:rFonts w:ascii="Adelle Sans Light;sans-serif" w:hAnsi="Adelle Sans Light;sans-serif"/>
          <w:b w:val="false"/>
          <w:color w:val="000000"/>
          <w:sz w:val="20"/>
        </w:rPr>
        <w:t>Net cash provided by investing activities in the six months ended June 30, 2026 was driven by $1.4 billion in maturities of marketable securities, net of purchases, partially offset by $473 million used for purchases and originations of loans and merchant cash advances, net of repayments and sales, $56 million used to purchase equity and other investments and $9 million used to purchase property and equipment.</w:t>
      </w:r>
    </w:p>
    <w:p>
      <w:pPr>
        <w:pStyle w:val="TextBody"/>
        <w:bidi w:val="0"/>
        <w:spacing w:lineRule="auto" w:line="288" w:before="0" w:after="200"/>
        <w:jc w:val="left"/>
        <w:rPr>
          <w:rFonts w:ascii="Adelle Sans;sans-serif" w:hAnsi="Adelle Sans;sans-serif"/>
          <w:b/>
          <w:i/>
          <w:color w:val="000000"/>
          <w:sz w:val="20"/>
        </w:rPr>
      </w:pPr>
      <w:bookmarkStart w:id="107" w:name="ic5e74218e75f4c36939d27c5f9382f9b"/>
      <w:bookmarkEnd w:id="107"/>
      <w:r>
        <w:rPr>
          <w:rFonts w:ascii="Adelle Sans;sans-serif" w:hAnsi="Adelle Sans;sans-serif"/>
          <w:b/>
          <w:i/>
          <w:color w:val="000000"/>
          <w:sz w:val="20"/>
        </w:rPr>
        <w:t xml:space="preserve">Cash Flows From Financing Activities </w:t>
      </w:r>
    </w:p>
    <w:p>
      <w:pPr>
        <w:pStyle w:val="TextBody"/>
        <w:bidi w:val="0"/>
        <w:spacing w:lineRule="auto" w:line="288" w:before="0" w:after="200"/>
        <w:jc w:val="both"/>
        <w:rPr>
          <w:rFonts w:ascii="Adelle Sans Light;sans-serif" w:hAnsi="Adelle Sans Light;sans-serif"/>
          <w:b w:val="false"/>
          <w:color w:val="000000"/>
          <w:sz w:val="20"/>
        </w:rPr>
      </w:pPr>
      <w:r>
        <w:rPr>
          <w:rFonts w:ascii="Adelle Sans Light;sans-serif" w:hAnsi="Adelle Sans Light;sans-serif"/>
          <w:b w:val="false"/>
          <w:color w:val="000000"/>
          <w:sz w:val="20"/>
        </w:rPr>
        <w:t>Net cash used in financing activities in the six months ended June 30, 2026 was driven by $1.9 billion used for repurchases of Class A subordinate voting shares, offset by $9 million proceeds from the issuance of Class A subordinate voting shares and Class B restricted voting shares as a result of stock options exercises.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left"/>
        <w:rPr>
          <w:rFonts w:ascii="Adelle Sans;sans-serif" w:hAnsi="Adelle Sans;sans-serif"/>
          <w:b/>
          <w:color w:val="000000"/>
          <w:sz w:val="20"/>
        </w:rPr>
      </w:pPr>
      <w:bookmarkStart w:id="108" w:name="i943f16724ea248eaa0aa97bdb3c7c3d3"/>
      <w:bookmarkEnd w:id="108"/>
      <w:r>
        <w:rPr>
          <w:rFonts w:ascii="Adelle Sans;sans-serif" w:hAnsi="Adelle Sans;sans-serif"/>
          <w:b/>
          <w:color w:val="000000"/>
          <w:sz w:val="20"/>
        </w:rPr>
        <w:t>Contractual Obligations</w:t>
      </w:r>
    </w:p>
    <w:p>
      <w:pPr>
        <w:pStyle w:val="TextBody"/>
        <w:bidi w:val="0"/>
        <w:spacing w:lineRule="auto" w:line="288" w:before="0" w:after="200"/>
        <w:jc w:val="both"/>
        <w:rPr>
          <w:rFonts w:ascii="Adelle Sans Light;sans-serif" w:hAnsi="Adelle Sans Light;sans-serif"/>
          <w:b w:val="false"/>
          <w:color w:val="000000"/>
          <w:sz w:val="20"/>
        </w:rPr>
      </w:pPr>
      <w:r>
        <w:rPr>
          <w:rFonts w:ascii="Adelle Sans Light;sans-serif" w:hAnsi="Adelle Sans Light;sans-serif"/>
          <w:b w:val="false"/>
          <w:color w:val="000000"/>
          <w:sz w:val="20"/>
        </w:rPr>
        <w:t>Our principal commitments consist of our unconditional purchase obligations and obligations under our operating leases for office space. There have been no significant changes to our principal commitments, as compared to the principal commitments described in our 2025 Form 10-K.</w:t>
      </w:r>
    </w:p>
    <w:p>
      <w:pPr>
        <w:pStyle w:val="TextBody"/>
        <w:bidi w:val="0"/>
        <w:spacing w:lineRule="auto" w:line="288" w:before="0" w:after="200"/>
        <w:jc w:val="left"/>
        <w:rPr>
          <w:rFonts w:ascii="Adelle Sans;sans-serif" w:hAnsi="Adelle Sans;sans-serif"/>
          <w:b/>
          <w:i/>
          <w:color w:val="000000"/>
          <w:sz w:val="20"/>
        </w:rPr>
      </w:pPr>
      <w:bookmarkStart w:id="109" w:name="ied33e8e53b3240aba4f88e1b0bee5573"/>
      <w:bookmarkEnd w:id="109"/>
      <w:r>
        <w:rPr>
          <w:rFonts w:ascii="Adelle Sans;sans-serif" w:hAnsi="Adelle Sans;sans-serif"/>
          <w:b/>
          <w:i/>
          <w:color w:val="000000"/>
          <w:sz w:val="20"/>
        </w:rPr>
        <w:t>Off-Balance Sheet Arrangements</w:t>
      </w:r>
    </w:p>
    <w:p>
      <w:pPr>
        <w:pStyle w:val="TextBody"/>
        <w:bidi w:val="0"/>
        <w:spacing w:lineRule="auto" w:line="288" w:before="0" w:after="200"/>
        <w:jc w:val="both"/>
        <w:rPr>
          <w:rFonts w:ascii="Adelle Sans Light;sans-serif" w:hAnsi="Adelle Sans Light;sans-serif"/>
          <w:b w:val="false"/>
          <w:color w:val="000000"/>
          <w:sz w:val="20"/>
        </w:rPr>
      </w:pPr>
      <w:r>
        <w:rPr>
          <w:rFonts w:ascii="Adelle Sans Light;sans-serif" w:hAnsi="Adelle Sans Light;sans-serif"/>
          <w:b w:val="false"/>
          <w:color w:val="000000"/>
          <w:sz w:val="20"/>
        </w:rPr>
        <w:t>We retain a guarantee with respect to certain assigned leases. We have also entered into an indemnification agreement that governs the liability obligations of the purchaser in connection with these guarantees. These arrangements, and our obligations arising from such arrangements, are not expected to have a material impact on the current or future financial performance or financial condition of the Company.</w:t>
      </w:r>
    </w:p>
    <w:p>
      <w:pPr>
        <w:pStyle w:val="TextBody"/>
        <w:bidi w:val="0"/>
        <w:spacing w:lineRule="auto" w:line="288" w:before="0" w:after="200"/>
        <w:jc w:val="left"/>
        <w:rPr>
          <w:rFonts w:ascii="Adelle Sans;sans-serif" w:hAnsi="Adelle Sans;sans-serif"/>
          <w:b/>
          <w:i/>
          <w:color w:val="000000"/>
          <w:sz w:val="20"/>
        </w:rPr>
      </w:pPr>
      <w:bookmarkStart w:id="110" w:name="i104b059d1f604705ab91d31af2d0af86"/>
      <w:bookmarkEnd w:id="110"/>
      <w:r>
        <w:rPr>
          <w:rFonts w:ascii="Adelle Sans;sans-serif" w:hAnsi="Adelle Sans;sans-serif"/>
          <w:b/>
          <w:i/>
          <w:color w:val="000000"/>
          <w:sz w:val="20"/>
        </w:rPr>
        <w:t>Litigation and Loss Contingencies</w:t>
      </w:r>
    </w:p>
    <w:p>
      <w:pPr>
        <w:pStyle w:val="TextBody"/>
        <w:bidi w:val="0"/>
        <w:spacing w:lineRule="auto" w:line="288" w:before="0" w:after="200"/>
        <w:jc w:val="both"/>
        <w:rPr>
          <w:rFonts w:ascii="Adelle Sans Light;sans-serif" w:hAnsi="Adelle Sans Light;sans-serif"/>
          <w:b w:val="false"/>
          <w:color w:val="000000"/>
          <w:sz w:val="20"/>
        </w:rPr>
      </w:pPr>
      <w:r>
        <w:rPr>
          <w:rFonts w:ascii="Adelle Sans Light;sans-serif" w:hAnsi="Adelle Sans Light;sans-serif"/>
          <w:b w:val="false"/>
          <w:color w:val="000000"/>
          <w:sz w:val="20"/>
        </w:rPr>
        <w:t>We are not aware of any litigation matters or loss contingencies that would be expected to have a material adverse effect on the business, condensed consolidated financial position, results of operations or cash flows.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left"/>
        <w:rPr>
          <w:rFonts w:ascii="Adelle Sans;sans-serif" w:hAnsi="Adelle Sans;sans-serif"/>
          <w:b/>
          <w:color w:val="000000"/>
          <w:sz w:val="20"/>
        </w:rPr>
      </w:pPr>
      <w:bookmarkStart w:id="111" w:name="i3cc4da50e2d74e929187f9504902da51"/>
      <w:bookmarkEnd w:id="111"/>
      <w:r>
        <w:rPr>
          <w:rFonts w:ascii="Adelle Sans;sans-serif" w:hAnsi="Adelle Sans;sans-serif"/>
          <w:b/>
          <w:color w:val="000000"/>
          <w:sz w:val="20"/>
        </w:rPr>
        <w:t xml:space="preserve">Critical Accounting Policies and Estimates </w:t>
      </w:r>
    </w:p>
    <w:p>
      <w:pPr>
        <w:pStyle w:val="TextBody"/>
        <w:bidi w:val="0"/>
        <w:spacing w:lineRule="auto" w:line="288" w:before="0" w:after="200"/>
        <w:jc w:val="both"/>
        <w:rPr>
          <w:rFonts w:ascii="Adelle Sans Light;sans-serif" w:hAnsi="Adelle Sans Light;sans-serif"/>
          <w:b w:val="false"/>
          <w:color w:val="000000"/>
          <w:sz w:val="20"/>
        </w:rPr>
      </w:pPr>
      <w:r>
        <w:rPr>
          <w:rFonts w:ascii="Adelle Sans Light;sans-serif" w:hAnsi="Adelle Sans Light;sans-serif"/>
          <w:b w:val="false"/>
          <w:color w:val="000000"/>
          <w:sz w:val="20"/>
        </w:rPr>
        <w:t>The preparation of financial statements in conformity with U.S. generally accepted accounting principles requires management to make estimates and assumptions. Predicting future events is inherently an imprecise activity and, as such, requires the use of significant judgment. Actual results may vary from our estimates in amounts that may be material to the financial statements. An accounting policy is deemed to be critical if it requires an accounting estimate to be made based on assumptions about matters that are highly uncertain at the time the estimate is made, and if different, applies estimates that reasonably could have been used or changes in the accounting estimates that are reasonably likely to occur periodically, which could materially impact our condensed consolidated financial statements.</w:t>
      </w:r>
    </w:p>
    <w:p>
      <w:pPr>
        <w:pStyle w:val="TextBody"/>
        <w:bidi w:val="0"/>
        <w:spacing w:lineRule="auto" w:line="288" w:before="0" w:after="200"/>
        <w:jc w:val="both"/>
        <w:rPr>
          <w:rFonts w:ascii="Adelle Sans Light;sans-serif" w:hAnsi="Adelle Sans Light;sans-serif"/>
          <w:b w:val="false"/>
          <w:color w:val="000000"/>
          <w:sz w:val="20"/>
        </w:rPr>
      </w:pPr>
      <w:r>
        <w:rPr>
          <w:rFonts w:ascii="Adelle Sans Light;sans-serif" w:hAnsi="Adelle Sans Light;sans-serif"/>
          <w:b w:val="false"/>
          <w:color w:val="000000"/>
          <w:sz w:val="20"/>
        </w:rPr>
        <w:t>Our critical accounting policies, estimates, and judgments are discussed in Part II — Item 7 "Management's Discussion and Analysis of Financial Condition and Results of Operations" of our 2025 Form 10-K as well as "Note 3 - Significant Accounting Policies" in the notes to the condensed consolidated financial statements included in Part I — Item 1 of this Quarterly Report on Form 10-Q.</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left"/>
        <w:rPr>
          <w:rFonts w:ascii="Adelle Sans;sans-serif" w:hAnsi="Adelle Sans;sans-serif"/>
          <w:b/>
          <w:color w:val="000000"/>
          <w:sz w:val="20"/>
        </w:rPr>
      </w:pPr>
      <w:bookmarkStart w:id="112" w:name="i79b7883de48b4f8b9268ff8672d7595f"/>
      <w:bookmarkEnd w:id="112"/>
      <w:r>
        <w:rPr>
          <w:rFonts w:ascii="Adelle Sans;sans-serif" w:hAnsi="Adelle Sans;sans-serif"/>
          <w:b/>
          <w:color w:val="000000"/>
          <w:sz w:val="20"/>
        </w:rPr>
        <w:t>Item 3: Quantitative and Qualitative Disclosures About Market Risk</w:t>
      </w:r>
    </w:p>
    <w:p>
      <w:pPr>
        <w:pStyle w:val="TextBody"/>
        <w:bidi w:val="0"/>
        <w:spacing w:lineRule="auto" w:line="288" w:before="0" w:after="200"/>
        <w:jc w:val="both"/>
        <w:rPr>
          <w:rFonts w:ascii="Adelle Sans Light;sans-serif" w:hAnsi="Adelle Sans Light;sans-serif"/>
          <w:b w:val="false"/>
          <w:color w:val="000000"/>
          <w:sz w:val="20"/>
        </w:rPr>
      </w:pPr>
      <w:r>
        <w:rPr>
          <w:rFonts w:ascii="Adelle Sans Light;sans-serif" w:hAnsi="Adelle Sans Light;sans-serif"/>
          <w:b w:val="false"/>
          <w:color w:val="000000"/>
          <w:sz w:val="20"/>
        </w:rPr>
        <w:t>We are exposed to market risks, as discussed in Note 3 in our condensed consolidated financial statements and the accompanying notes for the fiscal quarter ended June 30, 2026, as well as in our audited consolidated financial statements and the accompanying notes for the fiscal year ended December 31, 2025. These risks primarily include foreign currency exchange risk, equity and other investments risk, interest rate risk, concentration of credit risk and inflation risk, as discussed below. We regularly assess these risks to minimize any adverse effects on our business as a result of those factors.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7955"/>
                <wp:effectExtent l="0" t="0" r="0" b="0"/>
                <wp:wrapNone/>
                <wp:docPr id="42" name="Frame41"/>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200"/>
                              <w:jc w:val="center"/>
                              <w:rPr>
                                <w:rFonts w:ascii="Adelle Sans Light;sans-serif" w:hAnsi="Adelle Sans Light;sans-serif"/>
                                <w:b w:val="false"/>
                                <w:color w:val="000000"/>
                                <w:sz w:val="20"/>
                              </w:rPr>
                            </w:pPr>
                            <w:r>
                              <w:rPr>
                                <w:rFonts w:ascii="Adelle Sans Light;sans-serif" w:hAnsi="Adelle Sans Light;sans-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Adelle Sans Light;sans-serif" w:hAnsi="Adelle Sans Light;sans-serif"/>
                          <w:b w:val="false"/>
                          <w:color w:val="000000"/>
                          <w:sz w:val="20"/>
                        </w:rPr>
                      </w:pPr>
                      <w:r>
                        <w:rPr>
                          <w:rFonts w:ascii="Adelle Sans Light;sans-serif" w:hAnsi="Adelle Sans Light;sans-serif"/>
                          <w:b w:val="false"/>
                          <w:color w:val="000000"/>
                          <w:sz w:val="20"/>
                        </w:rPr>
                        <w:t>41</w:t>
                      </w:r>
                    </w:p>
                  </w:txbxContent>
                </v:textbox>
                <w10:wrap type="none"/>
              </v:rect>
            </w:pict>
          </mc:Fallback>
        </mc:AlternateContent>
      </w:r>
    </w:p>
    <w:p>
      <w:pPr>
        <w:pStyle w:val="TextBody"/>
        <w:bidi w:val="0"/>
        <w:spacing w:lineRule="auto" w:line="288" w:before="0" w:after="200"/>
        <w:jc w:val="both"/>
        <w:rPr/>
      </w:pPr>
      <w:hyperlink w:anchor="iccccf23fa31e44f0aa82c99ca0859db8_7">
        <w:r>
          <w:rPr>
            <w:rStyle w:val="InternetLink"/>
            <w:rFonts w:ascii="Adelle Sans Light;sans-serif" w:hAnsi="Adelle Sans Light;sans-serif"/>
            <w:b w:val="false"/>
            <w:color w:val="0000FF"/>
            <w:sz w:val="20"/>
            <w:u w:val="single"/>
          </w:rPr>
          <w:t>Table of Contents</w:t>
        </w:r>
      </w:hyperlink>
    </w:p>
    <w:p>
      <w:pPr>
        <w:pStyle w:val="TextBody"/>
        <w:bidi w:val="0"/>
        <w:spacing w:lineRule="auto" w:line="288" w:before="0" w:after="200"/>
        <w:jc w:val="left"/>
        <w:rPr>
          <w:rFonts w:ascii="Adelle Sans;sans-serif" w:hAnsi="Adelle Sans;sans-serif"/>
          <w:b/>
          <w:i/>
          <w:color w:val="000000"/>
          <w:sz w:val="20"/>
        </w:rPr>
      </w:pPr>
      <w:bookmarkStart w:id="113" w:name="i480a03ad930c4c558a4a9eabcca28f99"/>
      <w:bookmarkEnd w:id="113"/>
      <w:r>
        <w:rPr>
          <w:rFonts w:ascii="Adelle Sans;sans-serif" w:hAnsi="Adelle Sans;sans-serif"/>
          <w:b/>
          <w:i/>
          <w:color w:val="000000"/>
          <w:sz w:val="20"/>
        </w:rPr>
        <w:t>Foreign Currency Exchange Risk</w:t>
      </w:r>
    </w:p>
    <w:p>
      <w:pPr>
        <w:pStyle w:val="TextBody"/>
        <w:bidi w:val="0"/>
        <w:spacing w:lineRule="auto" w:line="288" w:before="0" w:after="200"/>
        <w:jc w:val="both"/>
        <w:rPr>
          <w:rFonts w:ascii="Adelle Sans Light;sans-serif" w:hAnsi="Adelle Sans Light;sans-serif"/>
          <w:b w:val="false"/>
          <w:color w:val="000000"/>
          <w:sz w:val="20"/>
        </w:rPr>
      </w:pPr>
      <w:r>
        <w:rPr>
          <w:rFonts w:ascii="Adelle Sans Light;sans-serif" w:hAnsi="Adelle Sans Light;sans-serif"/>
          <w:b w:val="false"/>
          <w:color w:val="000000"/>
          <w:sz w:val="20"/>
        </w:rPr>
        <w:t>While the majority of our revenues, cost of revenues and operating expenses are denominated in USD, a significant portion are denominated in foreign currencies. Due to offering Shopify Payments, Shopify Capital, subscriptions and other billings to select countries in local currency, a significant proportion of revenue transactions are denominated in EUR, GBP, CAD and AUD. A significant proportion of operating expenses are also incurred in the aforementioned foreign currencies. We therefore are subject to foreign currency exchange risk related to these currencies and fluctuations in foreign currency exchange rates. To help mitigate the impacts associated with foreign currency fluctuations on future cash flows from operating expenses, we maintain a portfolio of foreign exchange derivative products designated as hedging instruments.</w:t>
      </w:r>
    </w:p>
    <w:p>
      <w:pPr>
        <w:pStyle w:val="TextBody"/>
        <w:bidi w:val="0"/>
        <w:spacing w:lineRule="auto" w:line="288" w:before="0" w:after="200"/>
        <w:jc w:val="left"/>
        <w:rPr>
          <w:rFonts w:ascii="Adelle Sans;sans-serif" w:hAnsi="Adelle Sans;sans-serif"/>
          <w:b/>
          <w:i/>
          <w:color w:val="000000"/>
          <w:sz w:val="20"/>
        </w:rPr>
      </w:pPr>
      <w:bookmarkStart w:id="114" w:name="idf7dedf4a6994eaaa63a615fe3f61f70"/>
      <w:bookmarkEnd w:id="114"/>
      <w:r>
        <w:rPr>
          <w:rFonts w:ascii="Adelle Sans;sans-serif" w:hAnsi="Adelle Sans;sans-serif"/>
          <w:b/>
          <w:i/>
          <w:color w:val="000000"/>
          <w:sz w:val="20"/>
        </w:rPr>
        <w:t>Effect of Foreign Exchange Rates</w:t>
      </w:r>
    </w:p>
    <w:p>
      <w:pPr>
        <w:pStyle w:val="TextBody"/>
        <w:bidi w:val="0"/>
        <w:spacing w:lineRule="auto" w:line="288" w:before="0" w:after="200"/>
        <w:jc w:val="both"/>
        <w:rPr>
          <w:rFonts w:ascii="Adelle Sans Light;sans-serif" w:hAnsi="Adelle Sans Light;sans-serif"/>
          <w:b w:val="false"/>
          <w:color w:val="000000"/>
          <w:sz w:val="20"/>
        </w:rPr>
      </w:pPr>
      <w:r>
        <w:rPr>
          <w:rFonts w:ascii="Adelle Sans Light;sans-serif" w:hAnsi="Adelle Sans Light;sans-serif"/>
          <w:b w:val="false"/>
          <w:color w:val="000000"/>
          <w:sz w:val="20"/>
        </w:rPr>
        <w:t>The following non-GAAP financial measures convert our revenues, cost of revenues, operating expenses and income from operations in the current reporting period using the comparative prior year period's monthly average exchange rates:</w:t>
      </w:r>
    </w:p>
    <w:tbl>
      <w:tblPr>
        <w:tblW w:w="10205" w:type="dxa"/>
        <w:jc w:val="left"/>
        <w:tblInd w:w="0" w:type="dxa"/>
        <w:tblLayout w:type="fixed"/>
        <w:tblCellMar>
          <w:top w:w="28" w:type="dxa"/>
          <w:left w:w="28" w:type="dxa"/>
          <w:bottom w:w="28" w:type="dxa"/>
          <w:right w:w="28" w:type="dxa"/>
        </w:tblCellMar>
      </w:tblPr>
      <w:tblGrid>
        <w:gridCol w:w="559"/>
        <w:gridCol w:w="445"/>
        <w:gridCol w:w="448"/>
        <w:gridCol w:w="648"/>
        <w:gridCol w:w="500"/>
        <w:gridCol w:w="500"/>
        <w:gridCol w:w="184"/>
        <w:gridCol w:w="1537"/>
        <w:gridCol w:w="1758"/>
        <w:gridCol w:w="346"/>
        <w:gridCol w:w="199"/>
        <w:gridCol w:w="184"/>
        <w:gridCol w:w="563"/>
        <w:gridCol w:w="549"/>
        <w:gridCol w:w="551"/>
        <w:gridCol w:w="109"/>
        <w:gridCol w:w="109"/>
        <w:gridCol w:w="109"/>
        <w:gridCol w:w="371"/>
        <w:gridCol w:w="372"/>
        <w:gridCol w:w="164"/>
      </w:tblGrid>
      <w:tr>
        <w:trPr/>
        <w:tc>
          <w:tcPr>
            <w:tcW w:w="559"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537" w:type="dxa"/>
            <w:tcBorders/>
            <w:vAlign w:val="center"/>
          </w:tcPr>
          <w:p>
            <w:pPr>
              <w:pStyle w:val="TableContents"/>
              <w:bidi w:val="0"/>
              <w:spacing w:before="0" w:after="283"/>
              <w:jc w:val="left"/>
              <w:rPr>
                <w:sz w:val="4"/>
                <w:szCs w:val="4"/>
              </w:rPr>
            </w:pPr>
            <w:r>
              <w:rPr>
                <w:sz w:val="4"/>
                <w:szCs w:val="4"/>
              </w:rPr>
            </w:r>
          </w:p>
        </w:tc>
        <w:tc>
          <w:tcPr>
            <w:tcW w:w="1758"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4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delle Sans;sans-serif" w:hAnsi="Adelle Sans;sans-serif"/>
                <w:b/>
                <w:color w:val="000000"/>
                <w:sz w:val="18"/>
              </w:rPr>
            </w:pPr>
            <w:r>
              <w:rPr>
                <w:rFonts w:ascii="Adelle Sans;sans-serif" w:hAnsi="Adelle Sans;sans-serif"/>
                <w:b/>
                <w:color w:val="000000"/>
                <w:sz w:val="18"/>
              </w:rPr>
              <w:t>Three months ended June 30,</w:t>
            </w:r>
          </w:p>
        </w:tc>
        <w:tc>
          <w:tcPr>
            <w:tcW w:w="2897" w:type="dxa"/>
            <w:gridSpan w:val="9"/>
            <w:tcBorders/>
          </w:tcPr>
          <w:p>
            <w:pPr>
              <w:pStyle w:val="TableContents"/>
              <w:bidi w:val="0"/>
              <w:spacing w:before="0" w:after="283"/>
              <w:jc w:val="left"/>
              <w:rPr>
                <w:sz w:val="4"/>
                <w:szCs w:val="4"/>
              </w:rPr>
            </w:pPr>
            <w:r>
              <w:rPr>
                <w:sz w:val="4"/>
                <w:szCs w:val="4"/>
              </w:rPr>
            </w:r>
          </w:p>
        </w:tc>
      </w:tr>
      <w:tr>
        <w:trPr/>
        <w:tc>
          <w:tcPr>
            <w:tcW w:w="14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9" w:type="dxa"/>
            <w:gridSpan w:val="5"/>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delle Sans;sans-serif" w:hAnsi="Adelle Sans;sans-serif"/>
                <w:b/>
                <w:color w:val="000000"/>
                <w:sz w:val="18"/>
              </w:rPr>
            </w:pPr>
            <w:r>
              <w:rPr>
                <w:rFonts w:ascii="Adelle Sans;sans-serif" w:hAnsi="Adelle Sans;sans-serif"/>
                <w:b/>
                <w:color w:val="000000"/>
                <w:sz w:val="18"/>
              </w:rPr>
              <w:t>2026</w:t>
            </w:r>
          </w:p>
        </w:tc>
        <w:tc>
          <w:tcPr>
            <w:tcW w:w="1758"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delle Sans;sans-serif" w:hAnsi="Adelle Sans;sans-serif"/>
                <w:b/>
                <w:color w:val="000000"/>
                <w:sz w:val="18"/>
              </w:rPr>
            </w:pPr>
            <w:r>
              <w:rPr>
                <w:rFonts w:ascii="Adelle Sans;sans-serif" w:hAnsi="Adelle Sans;sans-serif"/>
                <w:b/>
                <w:color w:val="000000"/>
                <w:sz w:val="18"/>
              </w:rPr>
              <w:t>2025</w:t>
            </w:r>
          </w:p>
        </w:tc>
        <w:tc>
          <w:tcPr>
            <w:tcW w:w="2897" w:type="dxa"/>
            <w:gridSpan w:val="9"/>
            <w:tcBorders/>
          </w:tcPr>
          <w:p>
            <w:pPr>
              <w:pStyle w:val="TableContents"/>
              <w:bidi w:val="0"/>
              <w:spacing w:before="0" w:after="283"/>
              <w:jc w:val="left"/>
              <w:rPr>
                <w:sz w:val="4"/>
                <w:szCs w:val="4"/>
              </w:rPr>
            </w:pPr>
            <w:r>
              <w:rPr>
                <w:sz w:val="4"/>
                <w:szCs w:val="4"/>
              </w:rPr>
            </w:r>
          </w:p>
        </w:tc>
      </w:tr>
      <w:tr>
        <w:trPr/>
        <w:tc>
          <w:tcPr>
            <w:tcW w:w="14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delle Sans;sans-serif" w:hAnsi="Adelle Sans;sans-serif"/>
                <w:b/>
                <w:color w:val="000000"/>
                <w:sz w:val="18"/>
              </w:rPr>
            </w:pPr>
            <w:r>
              <w:rPr>
                <w:rFonts w:ascii="Adelle Sans;sans-serif" w:hAnsi="Adelle Sans;sans-serif"/>
                <w:b/>
                <w:color w:val="000000"/>
                <w:sz w:val="18"/>
              </w:rPr>
              <w:t>GAAP Amounts as Reported</w:t>
            </w:r>
          </w:p>
        </w:tc>
        <w:tc>
          <w:tcPr>
            <w:tcW w:w="184" w:type="dxa"/>
            <w:tcBorders/>
            <w:vAlign w:val="center"/>
          </w:tcPr>
          <w:p>
            <w:pPr>
              <w:pStyle w:val="TableContents"/>
              <w:bidi w:val="0"/>
              <w:spacing w:before="0" w:after="283"/>
              <w:jc w:val="left"/>
              <w:rPr>
                <w:sz w:val="4"/>
                <w:szCs w:val="4"/>
              </w:rPr>
            </w:pPr>
            <w:r>
              <w:rPr>
                <w:sz w:val="4"/>
                <w:szCs w:val="4"/>
              </w:rPr>
            </w:r>
          </w:p>
        </w:tc>
        <w:tc>
          <w:tcPr>
            <w:tcW w:w="1537"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pPr>
            <w:r>
              <w:rPr>
                <w:rFonts w:ascii="Adelle Sans;sans-serif" w:hAnsi="Adelle Sans;sans-serif"/>
                <w:b/>
                <w:color w:val="000000"/>
                <w:sz w:val="18"/>
              </w:rPr>
              <w:t>Exchange Rate Effect</w:t>
            </w:r>
            <w:r>
              <w:rPr>
                <w:rFonts w:ascii="Adelle Sans;sans-serif" w:hAnsi="Adelle Sans;sans-serif"/>
                <w:b/>
                <w:color w:val="000000"/>
                <w:sz w:val="12"/>
              </w:rPr>
              <w:t>(1)</w:t>
            </w:r>
          </w:p>
        </w:tc>
        <w:tc>
          <w:tcPr>
            <w:tcW w:w="1758"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pPr>
            <w:r>
              <w:rPr>
                <w:rFonts w:ascii="Adelle Sans;sans-serif" w:hAnsi="Adelle Sans;sans-serif"/>
                <w:b/>
                <w:color w:val="000000"/>
                <w:sz w:val="18"/>
              </w:rPr>
              <w:t>At Prior Period Effective Rates</w:t>
            </w:r>
            <w:r>
              <w:rPr>
                <w:rFonts w:ascii="Adelle Sans;sans-serif" w:hAnsi="Adelle Sans;sans-serif"/>
                <w:b/>
                <w:color w:val="000000"/>
                <w:sz w:val="12"/>
              </w:rPr>
              <w:t>(2)</w:t>
            </w:r>
          </w:p>
        </w:tc>
        <w:tc>
          <w:tcPr>
            <w:tcW w:w="7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delle Sans;sans-serif" w:hAnsi="Adelle Sans;sans-serif"/>
                <w:b/>
                <w:color w:val="000000"/>
                <w:sz w:val="18"/>
              </w:rPr>
            </w:pPr>
            <w:r>
              <w:rPr>
                <w:rFonts w:ascii="Adelle Sans;sans-serif" w:hAnsi="Adelle Sans;sans-serif"/>
                <w:b/>
                <w:color w:val="000000"/>
                <w:sz w:val="18"/>
              </w:rPr>
              <w:t>GAAP Amounts as Reported</w:t>
            </w:r>
          </w:p>
        </w:tc>
        <w:tc>
          <w:tcPr>
            <w:tcW w:w="1234" w:type="dxa"/>
            <w:gridSpan w:val="6"/>
            <w:tcBorders/>
          </w:tcPr>
          <w:p>
            <w:pPr>
              <w:pStyle w:val="TableContents"/>
              <w:bidi w:val="0"/>
              <w:spacing w:before="0" w:after="283"/>
              <w:jc w:val="left"/>
              <w:rPr>
                <w:sz w:val="4"/>
                <w:szCs w:val="4"/>
              </w:rPr>
            </w:pPr>
            <w:r>
              <w:rPr>
                <w:sz w:val="4"/>
                <w:szCs w:val="4"/>
              </w:rPr>
            </w:r>
          </w:p>
        </w:tc>
      </w:tr>
      <w:tr>
        <w:trPr/>
        <w:tc>
          <w:tcPr>
            <w:tcW w:w="1452" w:type="dxa"/>
            <w:gridSpan w:val="3"/>
            <w:tcBorders/>
            <w:vAlign w:val="center"/>
          </w:tcPr>
          <w:p>
            <w:pPr>
              <w:pStyle w:val="TableContents"/>
              <w:bidi w:val="0"/>
              <w:spacing w:before="0" w:after="283"/>
              <w:jc w:val="left"/>
              <w:rPr>
                <w:sz w:val="4"/>
                <w:szCs w:val="4"/>
              </w:rPr>
            </w:pPr>
            <w:r>
              <w:rPr>
                <w:sz w:val="4"/>
                <w:szCs w:val="4"/>
              </w:rPr>
            </w:r>
          </w:p>
        </w:tc>
        <w:tc>
          <w:tcPr>
            <w:tcW w:w="1648" w:type="dxa"/>
            <w:gridSpan w:val="3"/>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537" w:type="dxa"/>
            <w:tcBorders/>
            <w:vAlign w:val="center"/>
          </w:tcPr>
          <w:p>
            <w:pPr>
              <w:pStyle w:val="TableContents"/>
              <w:bidi w:val="0"/>
              <w:spacing w:before="0" w:after="283"/>
              <w:jc w:val="left"/>
              <w:rPr>
                <w:sz w:val="4"/>
                <w:szCs w:val="4"/>
              </w:rPr>
            </w:pPr>
            <w:r>
              <w:rPr>
                <w:sz w:val="4"/>
                <w:szCs w:val="4"/>
              </w:rPr>
            </w:r>
          </w:p>
        </w:tc>
        <w:tc>
          <w:tcPr>
            <w:tcW w:w="1758" w:type="dxa"/>
            <w:tcBorders/>
            <w:vAlign w:val="center"/>
          </w:tcPr>
          <w:p>
            <w:pPr>
              <w:pStyle w:val="TableContents"/>
              <w:bidi w:val="0"/>
              <w:spacing w:before="0" w:after="283"/>
              <w:jc w:val="left"/>
              <w:rPr>
                <w:sz w:val="4"/>
                <w:szCs w:val="4"/>
              </w:rPr>
            </w:pPr>
            <w:r>
              <w:rPr>
                <w:sz w:val="4"/>
                <w:szCs w:val="4"/>
              </w:rPr>
            </w:r>
          </w:p>
        </w:tc>
        <w:tc>
          <w:tcPr>
            <w:tcW w:w="729" w:type="dxa"/>
            <w:gridSpan w:val="3"/>
            <w:tcBorders/>
            <w:vAlign w:val="center"/>
          </w:tcPr>
          <w:p>
            <w:pPr>
              <w:pStyle w:val="TableContents"/>
              <w:bidi w:val="0"/>
              <w:spacing w:before="0" w:after="283"/>
              <w:jc w:val="left"/>
              <w:rPr>
                <w:sz w:val="4"/>
                <w:szCs w:val="4"/>
              </w:rPr>
            </w:pPr>
            <w:r>
              <w:rPr>
                <w:sz w:val="4"/>
                <w:szCs w:val="4"/>
              </w:rPr>
            </w:r>
          </w:p>
        </w:tc>
        <w:tc>
          <w:tcPr>
            <w:tcW w:w="16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7" w:type="dxa"/>
            <w:gridSpan w:val="3"/>
            <w:tcBorders/>
            <w:vAlign w:val="center"/>
          </w:tcPr>
          <w:p>
            <w:pPr>
              <w:pStyle w:val="TableContents"/>
              <w:bidi w:val="0"/>
              <w:spacing w:before="0" w:after="283"/>
              <w:jc w:val="left"/>
              <w:rPr>
                <w:sz w:val="4"/>
                <w:szCs w:val="4"/>
              </w:rPr>
            </w:pPr>
            <w:r>
              <w:rPr>
                <w:sz w:val="4"/>
                <w:szCs w:val="4"/>
              </w:rPr>
            </w:r>
          </w:p>
        </w:tc>
      </w:tr>
      <w:tr>
        <w:trPr/>
        <w:tc>
          <w:tcPr>
            <w:tcW w:w="145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6" w:type="dxa"/>
            <w:gridSpan w:val="9"/>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Adelle Sans;sans-serif" w:hAnsi="Adelle Sans;sans-serif"/>
                <w:b w:val="false"/>
                <w:color w:val="000000"/>
                <w:sz w:val="18"/>
              </w:rPr>
            </w:pPr>
            <w:r>
              <w:rPr>
                <w:rFonts w:ascii="Adelle Sans;sans-serif" w:hAnsi="Adelle Sans;sans-serif"/>
                <w:b w:val="false"/>
                <w:color w:val="000000"/>
                <w:sz w:val="18"/>
              </w:rPr>
              <w:t>(in US $ millions)</w:t>
            </w:r>
          </w:p>
        </w:tc>
        <w:tc>
          <w:tcPr>
            <w:tcW w:w="2897" w:type="dxa"/>
            <w:gridSpan w:val="9"/>
            <w:tcBorders/>
          </w:tcPr>
          <w:p>
            <w:pPr>
              <w:pStyle w:val="TableContents"/>
              <w:bidi w:val="0"/>
              <w:spacing w:before="0" w:after="283"/>
              <w:jc w:val="left"/>
              <w:rPr>
                <w:sz w:val="4"/>
                <w:szCs w:val="4"/>
              </w:rPr>
            </w:pPr>
            <w:r>
              <w:rPr>
                <w:sz w:val="4"/>
                <w:szCs w:val="4"/>
              </w:rPr>
            </w:r>
          </w:p>
        </w:tc>
      </w:tr>
      <w:tr>
        <w:trPr/>
        <w:tc>
          <w:tcPr>
            <w:tcW w:w="1452" w:type="dxa"/>
            <w:gridSpan w:val="3"/>
            <w:tcBorders/>
            <w:shd w:fill="F7F7F7" w:val="clear"/>
            <w:tcMar>
              <w:top w:w="0" w:type="dxa"/>
              <w:left w:w="0" w:type="dxa"/>
              <w:bottom w:w="0" w:type="dxa"/>
              <w:right w:w="0" w:type="dxa"/>
            </w:tcMar>
            <w:vAlign w:val="center"/>
          </w:tcPr>
          <w:p>
            <w:pPr>
              <w:pStyle w:val="TableContents"/>
              <w:bidi w:val="0"/>
              <w:spacing w:lineRule="auto" w:line="240" w:before="0" w:after="283"/>
              <w:jc w:val="left"/>
              <w:rPr>
                <w:rFonts w:ascii="Adelle Sans;sans-serif" w:hAnsi="Adelle Sans;sans-serif"/>
                <w:b w:val="false"/>
                <w:color w:val="000000"/>
                <w:sz w:val="18"/>
              </w:rPr>
            </w:pPr>
            <w:r>
              <w:rPr>
                <w:rFonts w:ascii="Adelle Sans;sans-serif" w:hAnsi="Adelle Sans;sans-serif"/>
                <w:b w:val="false"/>
                <w:color w:val="000000"/>
                <w:sz w:val="18"/>
              </w:rPr>
              <w:t>Revenues</w:t>
            </w:r>
          </w:p>
        </w:tc>
        <w:tc>
          <w:tcPr>
            <w:tcW w:w="1148" w:type="dxa"/>
            <w:gridSpan w:val="2"/>
            <w:tcBorders/>
            <w:shd w:fill="F7F7F7"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3,583 </w:t>
            </w:r>
          </w:p>
        </w:tc>
        <w:tc>
          <w:tcPr>
            <w:tcW w:w="500" w:type="dxa"/>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537" w:type="dxa"/>
            <w:tcBorders/>
            <w:vAlign w:val="center"/>
          </w:tcPr>
          <w:p>
            <w:pPr>
              <w:pStyle w:val="TableContents"/>
              <w:bidi w:val="0"/>
              <w:spacing w:before="0" w:after="283"/>
              <w:jc w:val="left"/>
              <w:rPr>
                <w:sz w:val="4"/>
                <w:szCs w:val="4"/>
              </w:rPr>
            </w:pPr>
            <w:r>
              <w:rPr>
                <w:sz w:val="4"/>
                <w:szCs w:val="4"/>
              </w:rPr>
            </w:r>
          </w:p>
        </w:tc>
        <w:tc>
          <w:tcPr>
            <w:tcW w:w="1758" w:type="dxa"/>
            <w:tcBorders/>
            <w:vAlign w:val="center"/>
          </w:tcPr>
          <w:p>
            <w:pPr>
              <w:pStyle w:val="TableContents"/>
              <w:bidi w:val="0"/>
              <w:spacing w:before="0" w:after="283"/>
              <w:jc w:val="left"/>
              <w:rPr>
                <w:sz w:val="4"/>
                <w:szCs w:val="4"/>
              </w:rPr>
            </w:pPr>
            <w:r>
              <w:rPr>
                <w:sz w:val="4"/>
                <w:szCs w:val="4"/>
              </w:rPr>
            </w:r>
          </w:p>
        </w:tc>
        <w:tc>
          <w:tcPr>
            <w:tcW w:w="545" w:type="dxa"/>
            <w:gridSpan w:val="2"/>
            <w:tcBorders/>
            <w:shd w:fill="F7F7F7"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(16)</w:t>
            </w:r>
          </w:p>
        </w:tc>
        <w:tc>
          <w:tcPr>
            <w:tcW w:w="184" w:type="dxa"/>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7F7F7"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3,567 </w:t>
            </w:r>
          </w:p>
        </w:tc>
        <w:tc>
          <w:tcPr>
            <w:tcW w:w="551" w:type="dxa"/>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 w:type="dxa"/>
            <w:gridSpan w:val="2"/>
            <w:tcBorders/>
            <w:shd w:fill="F7F7F7"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2,680 </w:t>
            </w:r>
          </w:p>
        </w:tc>
        <w:tc>
          <w:tcPr>
            <w:tcW w:w="164" w:type="dxa"/>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delle Sans;sans-serif" w:hAnsi="Adelle Sans;sans-serif"/>
                <w:b w:val="false"/>
                <w:color w:val="000000"/>
                <w:sz w:val="18"/>
              </w:rPr>
            </w:pPr>
            <w:r>
              <w:rPr>
                <w:rFonts w:ascii="Adelle Sans;sans-serif" w:hAnsi="Adelle Sans;sans-serif"/>
                <w:b w:val="false"/>
                <w:color w:val="000000"/>
                <w:sz w:val="18"/>
              </w:rPr>
              <w:t>Cost of revenues</w:t>
            </w:r>
          </w:p>
        </w:tc>
        <w:tc>
          <w:tcPr>
            <w:tcW w:w="11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(1,875)</w:t>
            </w:r>
          </w:p>
        </w:tc>
        <w:tc>
          <w:tcPr>
            <w:tcW w:w="5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537" w:type="dxa"/>
            <w:tcBorders/>
            <w:vAlign w:val="center"/>
          </w:tcPr>
          <w:p>
            <w:pPr>
              <w:pStyle w:val="TableContents"/>
              <w:bidi w:val="0"/>
              <w:spacing w:before="0" w:after="283"/>
              <w:jc w:val="left"/>
              <w:rPr>
                <w:sz w:val="4"/>
                <w:szCs w:val="4"/>
              </w:rPr>
            </w:pPr>
            <w:r>
              <w:rPr>
                <w:sz w:val="4"/>
                <w:szCs w:val="4"/>
              </w:rPr>
            </w:r>
          </w:p>
        </w:tc>
        <w:tc>
          <w:tcPr>
            <w:tcW w:w="1758" w:type="dxa"/>
            <w:tcBorders/>
            <w:vAlign w:val="center"/>
          </w:tcPr>
          <w:p>
            <w:pPr>
              <w:pStyle w:val="TableContents"/>
              <w:bidi w:val="0"/>
              <w:spacing w:before="0" w:after="283"/>
              <w:jc w:val="left"/>
              <w:rPr>
                <w:sz w:val="4"/>
                <w:szCs w:val="4"/>
              </w:rPr>
            </w:pPr>
            <w:r>
              <w:rPr>
                <w:sz w:val="4"/>
                <w:szCs w:val="4"/>
              </w:rPr>
            </w:r>
          </w:p>
        </w:tc>
        <w:tc>
          <w:tcPr>
            <w:tcW w:w="5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4 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(1,871)</w:t>
            </w:r>
          </w:p>
        </w:tc>
        <w:tc>
          <w:tcPr>
            <w:tcW w:w="5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(1,378)</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2" w:type="dxa"/>
            <w:gridSpan w:val="3"/>
            <w:tcBorders/>
            <w:shd w:fill="F7F7F7" w:val="clear"/>
            <w:tcMar>
              <w:top w:w="0" w:type="dxa"/>
              <w:left w:w="0" w:type="dxa"/>
              <w:bottom w:w="0" w:type="dxa"/>
              <w:right w:w="0" w:type="dxa"/>
            </w:tcMar>
            <w:vAlign w:val="center"/>
          </w:tcPr>
          <w:p>
            <w:pPr>
              <w:pStyle w:val="TableContents"/>
              <w:bidi w:val="0"/>
              <w:spacing w:lineRule="auto" w:line="240" w:before="0" w:after="283"/>
              <w:jc w:val="left"/>
              <w:rPr>
                <w:rFonts w:ascii="Adelle Sans;sans-serif" w:hAnsi="Adelle Sans;sans-serif"/>
                <w:b w:val="false"/>
                <w:color w:val="000000"/>
                <w:sz w:val="18"/>
              </w:rPr>
            </w:pPr>
            <w:r>
              <w:rPr>
                <w:rFonts w:ascii="Adelle Sans;sans-serif" w:hAnsi="Adelle Sans;sans-serif"/>
                <w:b w:val="false"/>
                <w:color w:val="000000"/>
                <w:sz w:val="18"/>
              </w:rPr>
              <w:t>Operating expenses</w:t>
            </w:r>
          </w:p>
        </w:tc>
        <w:tc>
          <w:tcPr>
            <w:tcW w:w="1148" w:type="dxa"/>
            <w:gridSpan w:val="2"/>
            <w:tcBorders/>
            <w:shd w:fill="F7F7F7"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(1,220)</w:t>
            </w:r>
          </w:p>
        </w:tc>
        <w:tc>
          <w:tcPr>
            <w:tcW w:w="500" w:type="dxa"/>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537" w:type="dxa"/>
            <w:tcBorders/>
            <w:vAlign w:val="center"/>
          </w:tcPr>
          <w:p>
            <w:pPr>
              <w:pStyle w:val="TableContents"/>
              <w:bidi w:val="0"/>
              <w:spacing w:before="0" w:after="283"/>
              <w:jc w:val="left"/>
              <w:rPr>
                <w:sz w:val="4"/>
                <w:szCs w:val="4"/>
              </w:rPr>
            </w:pPr>
            <w:r>
              <w:rPr>
                <w:sz w:val="4"/>
                <w:szCs w:val="4"/>
              </w:rPr>
            </w:r>
          </w:p>
        </w:tc>
        <w:tc>
          <w:tcPr>
            <w:tcW w:w="1758" w:type="dxa"/>
            <w:tcBorders/>
            <w:vAlign w:val="center"/>
          </w:tcPr>
          <w:p>
            <w:pPr>
              <w:pStyle w:val="TableContents"/>
              <w:bidi w:val="0"/>
              <w:spacing w:before="0" w:after="283"/>
              <w:jc w:val="left"/>
              <w:rPr>
                <w:sz w:val="4"/>
                <w:szCs w:val="4"/>
              </w:rPr>
            </w:pPr>
            <w:r>
              <w:rPr>
                <w:sz w:val="4"/>
                <w:szCs w:val="4"/>
              </w:rPr>
            </w:r>
          </w:p>
        </w:tc>
        <w:tc>
          <w:tcPr>
            <w:tcW w:w="545" w:type="dxa"/>
            <w:gridSpan w:val="2"/>
            <w:tcBorders/>
            <w:shd w:fill="F7F7F7"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1 </w:t>
            </w:r>
          </w:p>
        </w:tc>
        <w:tc>
          <w:tcPr>
            <w:tcW w:w="184" w:type="dxa"/>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7F7F7"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(1,219)</w:t>
            </w:r>
          </w:p>
        </w:tc>
        <w:tc>
          <w:tcPr>
            <w:tcW w:w="551" w:type="dxa"/>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 w:type="dxa"/>
            <w:gridSpan w:val="2"/>
            <w:tcBorders/>
            <w:shd w:fill="F7F7F7"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(1,011)</w:t>
            </w:r>
          </w:p>
        </w:tc>
        <w:tc>
          <w:tcPr>
            <w:tcW w:w="164" w:type="dxa"/>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delle Sans;sans-serif" w:hAnsi="Adelle Sans;sans-serif"/>
                <w:b w:val="false"/>
                <w:color w:val="000000"/>
                <w:sz w:val="18"/>
              </w:rPr>
            </w:pPr>
            <w:r>
              <w:rPr>
                <w:rFonts w:ascii="Adelle Sans;sans-serif" w:hAnsi="Adelle Sans;sans-serif"/>
                <w:b w:val="false"/>
                <w:color w:val="000000"/>
                <w:sz w:val="18"/>
              </w:rPr>
              <w:t>Income from operations</w:t>
            </w:r>
          </w:p>
        </w:tc>
        <w:tc>
          <w:tcPr>
            <w:tcW w:w="114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488 </w:t>
            </w:r>
          </w:p>
        </w:tc>
        <w:tc>
          <w:tcPr>
            <w:tcW w:w="50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537" w:type="dxa"/>
            <w:tcBorders/>
            <w:vAlign w:val="center"/>
          </w:tcPr>
          <w:p>
            <w:pPr>
              <w:pStyle w:val="TableContents"/>
              <w:bidi w:val="0"/>
              <w:spacing w:before="0" w:after="283"/>
              <w:jc w:val="left"/>
              <w:rPr>
                <w:sz w:val="4"/>
                <w:szCs w:val="4"/>
              </w:rPr>
            </w:pPr>
            <w:r>
              <w:rPr>
                <w:sz w:val="4"/>
                <w:szCs w:val="4"/>
              </w:rPr>
            </w:r>
          </w:p>
        </w:tc>
        <w:tc>
          <w:tcPr>
            <w:tcW w:w="1758" w:type="dxa"/>
            <w:tcBorders/>
            <w:vAlign w:val="center"/>
          </w:tcPr>
          <w:p>
            <w:pPr>
              <w:pStyle w:val="TableContents"/>
              <w:bidi w:val="0"/>
              <w:spacing w:before="0" w:after="283"/>
              <w:jc w:val="left"/>
              <w:rPr>
                <w:sz w:val="4"/>
                <w:szCs w:val="4"/>
              </w:rPr>
            </w:pPr>
            <w:r>
              <w:rPr>
                <w:sz w:val="4"/>
                <w:szCs w:val="4"/>
              </w:rPr>
            </w:r>
          </w:p>
        </w:tc>
        <w:tc>
          <w:tcPr>
            <w:tcW w:w="54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(11)</w:t>
            </w:r>
          </w:p>
        </w:tc>
        <w:tc>
          <w:tcPr>
            <w:tcW w:w="18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477 </w:t>
            </w:r>
          </w:p>
        </w:tc>
        <w:tc>
          <w:tcPr>
            <w:tcW w:w="55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291 </w:t>
            </w:r>
          </w:p>
        </w:tc>
        <w:tc>
          <w:tcPr>
            <w:tcW w:w="16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2" w:type="dxa"/>
            <w:gridSpan w:val="3"/>
            <w:tcBorders/>
            <w:vAlign w:val="center"/>
          </w:tcPr>
          <w:p>
            <w:pPr>
              <w:pStyle w:val="TableContents"/>
              <w:bidi w:val="0"/>
              <w:spacing w:before="0" w:after="283"/>
              <w:jc w:val="left"/>
              <w:rPr>
                <w:sz w:val="4"/>
                <w:szCs w:val="4"/>
              </w:rPr>
            </w:pPr>
            <w:r>
              <w:rPr>
                <w:sz w:val="4"/>
                <w:szCs w:val="4"/>
              </w:rPr>
            </w:r>
          </w:p>
        </w:tc>
        <w:tc>
          <w:tcPr>
            <w:tcW w:w="1648" w:type="dxa"/>
            <w:gridSpan w:val="3"/>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537" w:type="dxa"/>
            <w:tcBorders/>
            <w:vAlign w:val="center"/>
          </w:tcPr>
          <w:p>
            <w:pPr>
              <w:pStyle w:val="TableContents"/>
              <w:bidi w:val="0"/>
              <w:spacing w:before="0" w:after="283"/>
              <w:jc w:val="left"/>
              <w:rPr>
                <w:sz w:val="4"/>
                <w:szCs w:val="4"/>
              </w:rPr>
            </w:pPr>
            <w:r>
              <w:rPr>
                <w:sz w:val="4"/>
                <w:szCs w:val="4"/>
              </w:rPr>
            </w:r>
          </w:p>
        </w:tc>
        <w:tc>
          <w:tcPr>
            <w:tcW w:w="1758" w:type="dxa"/>
            <w:tcBorders/>
            <w:vAlign w:val="center"/>
          </w:tcPr>
          <w:p>
            <w:pPr>
              <w:pStyle w:val="TableContents"/>
              <w:bidi w:val="0"/>
              <w:spacing w:before="0" w:after="283"/>
              <w:jc w:val="left"/>
              <w:rPr>
                <w:sz w:val="4"/>
                <w:szCs w:val="4"/>
              </w:rPr>
            </w:pPr>
            <w:r>
              <w:rPr>
                <w:sz w:val="4"/>
                <w:szCs w:val="4"/>
              </w:rPr>
            </w:r>
          </w:p>
        </w:tc>
        <w:tc>
          <w:tcPr>
            <w:tcW w:w="729" w:type="dxa"/>
            <w:gridSpan w:val="3"/>
            <w:tcBorders/>
            <w:vAlign w:val="center"/>
          </w:tcPr>
          <w:p>
            <w:pPr>
              <w:pStyle w:val="TableContents"/>
              <w:bidi w:val="0"/>
              <w:spacing w:before="0" w:after="283"/>
              <w:jc w:val="left"/>
              <w:rPr>
                <w:sz w:val="4"/>
                <w:szCs w:val="4"/>
              </w:rPr>
            </w:pPr>
            <w:r>
              <w:rPr>
                <w:sz w:val="4"/>
                <w:szCs w:val="4"/>
              </w:rPr>
            </w:r>
          </w:p>
        </w:tc>
        <w:tc>
          <w:tcPr>
            <w:tcW w:w="16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7" w:type="dxa"/>
            <w:gridSpan w:val="3"/>
            <w:tcBorders/>
            <w:vAlign w:val="center"/>
          </w:tcPr>
          <w:p>
            <w:pPr>
              <w:pStyle w:val="TableContents"/>
              <w:bidi w:val="0"/>
              <w:spacing w:before="0" w:after="283"/>
              <w:jc w:val="left"/>
              <w:rPr>
                <w:sz w:val="4"/>
                <w:szCs w:val="4"/>
              </w:rPr>
            </w:pPr>
            <w:r>
              <w:rPr>
                <w:sz w:val="4"/>
                <w:szCs w:val="4"/>
              </w:rPr>
            </w:r>
          </w:p>
        </w:tc>
      </w:tr>
      <w:tr>
        <w:trPr/>
        <w:tc>
          <w:tcPr>
            <w:tcW w:w="1452" w:type="dxa"/>
            <w:gridSpan w:val="3"/>
            <w:tcBorders/>
            <w:vAlign w:val="center"/>
          </w:tcPr>
          <w:p>
            <w:pPr>
              <w:pStyle w:val="TableContents"/>
              <w:bidi w:val="0"/>
              <w:spacing w:before="0" w:after="283"/>
              <w:jc w:val="left"/>
              <w:rPr>
                <w:sz w:val="4"/>
                <w:szCs w:val="4"/>
              </w:rPr>
            </w:pPr>
            <w:r>
              <w:rPr>
                <w:sz w:val="4"/>
                <w:szCs w:val="4"/>
              </w:rPr>
            </w:r>
          </w:p>
        </w:tc>
        <w:tc>
          <w:tcPr>
            <w:tcW w:w="1648" w:type="dxa"/>
            <w:gridSpan w:val="3"/>
            <w:tcBorders/>
            <w:vAlign w:val="center"/>
          </w:tcPr>
          <w:p>
            <w:pPr>
              <w:pStyle w:val="TableContents"/>
              <w:bidi w:val="0"/>
              <w:spacing w:before="0" w:after="283"/>
              <w:jc w:val="left"/>
              <w:rPr>
                <w:sz w:val="4"/>
                <w:szCs w:val="4"/>
              </w:rPr>
            </w:pPr>
            <w:r>
              <w:rPr>
                <w:sz w:val="4"/>
                <w:szCs w:val="4"/>
              </w:rPr>
            </w:r>
          </w:p>
        </w:tc>
        <w:tc>
          <w:tcPr>
            <w:tcW w:w="7105" w:type="dxa"/>
            <w:gridSpan w:val="15"/>
            <w:tcBorders/>
          </w:tcPr>
          <w:p>
            <w:pPr>
              <w:pStyle w:val="TableContents"/>
              <w:bidi w:val="0"/>
              <w:spacing w:before="0" w:after="283"/>
              <w:jc w:val="left"/>
              <w:rPr>
                <w:sz w:val="4"/>
                <w:szCs w:val="4"/>
              </w:rPr>
            </w:pPr>
            <w:r>
              <w:rPr>
                <w:sz w:val="4"/>
                <w:szCs w:val="4"/>
              </w:rPr>
            </w:r>
          </w:p>
        </w:tc>
      </w:tr>
      <w:tr>
        <w:trPr/>
        <w:tc>
          <w:tcPr>
            <w:tcW w:w="1452" w:type="dxa"/>
            <w:gridSpan w:val="3"/>
            <w:tcBorders/>
            <w:vAlign w:val="center"/>
          </w:tcPr>
          <w:p>
            <w:pPr>
              <w:pStyle w:val="TableContents"/>
              <w:bidi w:val="0"/>
              <w:spacing w:before="0" w:after="283"/>
              <w:jc w:val="left"/>
              <w:rPr>
                <w:sz w:val="4"/>
                <w:szCs w:val="4"/>
              </w:rPr>
            </w:pPr>
            <w:r>
              <w:rPr>
                <w:sz w:val="4"/>
                <w:szCs w:val="4"/>
              </w:rPr>
            </w:r>
          </w:p>
        </w:tc>
        <w:tc>
          <w:tcPr>
            <w:tcW w:w="1648" w:type="dxa"/>
            <w:gridSpan w:val="3"/>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537" w:type="dxa"/>
            <w:tcBorders/>
            <w:vAlign w:val="center"/>
          </w:tcPr>
          <w:p>
            <w:pPr>
              <w:pStyle w:val="TableContents"/>
              <w:bidi w:val="0"/>
              <w:spacing w:before="0" w:after="283"/>
              <w:jc w:val="left"/>
              <w:rPr>
                <w:sz w:val="4"/>
                <w:szCs w:val="4"/>
              </w:rPr>
            </w:pPr>
            <w:r>
              <w:rPr>
                <w:sz w:val="4"/>
                <w:szCs w:val="4"/>
              </w:rPr>
            </w:r>
          </w:p>
        </w:tc>
        <w:tc>
          <w:tcPr>
            <w:tcW w:w="5384" w:type="dxa"/>
            <w:gridSpan w:val="13"/>
            <w:tcBorders/>
          </w:tcPr>
          <w:p>
            <w:pPr>
              <w:pStyle w:val="TableContents"/>
              <w:bidi w:val="0"/>
              <w:spacing w:before="0" w:after="283"/>
              <w:jc w:val="left"/>
              <w:rPr>
                <w:sz w:val="4"/>
                <w:szCs w:val="4"/>
              </w:rPr>
            </w:pPr>
            <w:r>
              <w:rPr>
                <w:sz w:val="4"/>
                <w:szCs w:val="4"/>
              </w:rPr>
            </w:r>
          </w:p>
        </w:tc>
      </w:tr>
      <w:tr>
        <w:trPr/>
        <w:tc>
          <w:tcPr>
            <w:tcW w:w="1452" w:type="dxa"/>
            <w:gridSpan w:val="3"/>
            <w:tcBorders/>
            <w:vAlign w:val="center"/>
          </w:tcPr>
          <w:p>
            <w:pPr>
              <w:pStyle w:val="TableContents"/>
              <w:bidi w:val="0"/>
              <w:spacing w:before="0" w:after="283"/>
              <w:jc w:val="left"/>
              <w:rPr>
                <w:sz w:val="4"/>
                <w:szCs w:val="4"/>
              </w:rPr>
            </w:pPr>
            <w:r>
              <w:rPr>
                <w:sz w:val="4"/>
                <w:szCs w:val="4"/>
              </w:rPr>
            </w:r>
          </w:p>
        </w:tc>
        <w:tc>
          <w:tcPr>
            <w:tcW w:w="1648" w:type="dxa"/>
            <w:gridSpan w:val="3"/>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537" w:type="dxa"/>
            <w:tcBorders/>
            <w:vAlign w:val="center"/>
          </w:tcPr>
          <w:p>
            <w:pPr>
              <w:pStyle w:val="TableContents"/>
              <w:bidi w:val="0"/>
              <w:spacing w:before="0" w:after="283"/>
              <w:jc w:val="left"/>
              <w:rPr>
                <w:sz w:val="4"/>
                <w:szCs w:val="4"/>
              </w:rPr>
            </w:pPr>
            <w:r>
              <w:rPr>
                <w:sz w:val="4"/>
                <w:szCs w:val="4"/>
              </w:rPr>
            </w:r>
          </w:p>
        </w:tc>
        <w:tc>
          <w:tcPr>
            <w:tcW w:w="1758" w:type="dxa"/>
            <w:tcBorders/>
            <w:vAlign w:val="center"/>
          </w:tcPr>
          <w:p>
            <w:pPr>
              <w:pStyle w:val="TableContents"/>
              <w:bidi w:val="0"/>
              <w:spacing w:before="0" w:after="283"/>
              <w:jc w:val="left"/>
              <w:rPr>
                <w:sz w:val="4"/>
                <w:szCs w:val="4"/>
              </w:rPr>
            </w:pPr>
            <w:r>
              <w:rPr>
                <w:sz w:val="4"/>
                <w:szCs w:val="4"/>
              </w:rPr>
            </w:r>
          </w:p>
        </w:tc>
        <w:tc>
          <w:tcPr>
            <w:tcW w:w="729" w:type="dxa"/>
            <w:gridSpan w:val="3"/>
            <w:tcBorders/>
            <w:vAlign w:val="center"/>
          </w:tcPr>
          <w:p>
            <w:pPr>
              <w:pStyle w:val="TableContents"/>
              <w:bidi w:val="0"/>
              <w:spacing w:before="0" w:after="283"/>
              <w:jc w:val="left"/>
              <w:rPr>
                <w:sz w:val="4"/>
                <w:szCs w:val="4"/>
              </w:rPr>
            </w:pPr>
            <w:r>
              <w:rPr>
                <w:sz w:val="4"/>
                <w:szCs w:val="4"/>
              </w:rPr>
            </w:r>
          </w:p>
        </w:tc>
        <w:tc>
          <w:tcPr>
            <w:tcW w:w="1663" w:type="dxa"/>
            <w:gridSpan w:val="3"/>
            <w:tcBorders/>
            <w:vAlign w:val="center"/>
          </w:tcPr>
          <w:p>
            <w:pPr>
              <w:pStyle w:val="TableContents"/>
              <w:bidi w:val="0"/>
              <w:spacing w:before="0" w:after="283"/>
              <w:jc w:val="left"/>
              <w:rPr>
                <w:sz w:val="4"/>
                <w:szCs w:val="4"/>
              </w:rPr>
            </w:pPr>
            <w:r>
              <w:rPr>
                <w:sz w:val="4"/>
                <w:szCs w:val="4"/>
              </w:rPr>
            </w:r>
          </w:p>
        </w:tc>
        <w:tc>
          <w:tcPr>
            <w:tcW w:w="1234" w:type="dxa"/>
            <w:gridSpan w:val="6"/>
            <w:tcBorders/>
          </w:tcPr>
          <w:p>
            <w:pPr>
              <w:pStyle w:val="TableContents"/>
              <w:bidi w:val="0"/>
              <w:spacing w:before="0" w:after="283"/>
              <w:jc w:val="left"/>
              <w:rPr>
                <w:sz w:val="4"/>
                <w:szCs w:val="4"/>
              </w:rPr>
            </w:pPr>
            <w:r>
              <w:rPr>
                <w:sz w:val="4"/>
                <w:szCs w:val="4"/>
              </w:rPr>
            </w:r>
          </w:p>
        </w:tc>
      </w:tr>
      <w:tr>
        <w:trPr/>
        <w:tc>
          <w:tcPr>
            <w:tcW w:w="1452" w:type="dxa"/>
            <w:gridSpan w:val="3"/>
            <w:tcBorders/>
            <w:vAlign w:val="center"/>
          </w:tcPr>
          <w:p>
            <w:pPr>
              <w:pStyle w:val="TableContents"/>
              <w:bidi w:val="0"/>
              <w:spacing w:before="0" w:after="283"/>
              <w:jc w:val="left"/>
              <w:rPr>
                <w:sz w:val="4"/>
                <w:szCs w:val="4"/>
              </w:rPr>
            </w:pPr>
            <w:r>
              <w:rPr>
                <w:sz w:val="4"/>
                <w:szCs w:val="4"/>
              </w:rPr>
            </w:r>
          </w:p>
        </w:tc>
        <w:tc>
          <w:tcPr>
            <w:tcW w:w="1648" w:type="dxa"/>
            <w:gridSpan w:val="3"/>
            <w:tcBorders/>
            <w:vAlign w:val="center"/>
          </w:tcPr>
          <w:p>
            <w:pPr>
              <w:pStyle w:val="TableContents"/>
              <w:bidi w:val="0"/>
              <w:spacing w:before="0" w:after="283"/>
              <w:jc w:val="left"/>
              <w:rPr>
                <w:sz w:val="4"/>
                <w:szCs w:val="4"/>
              </w:rPr>
            </w:pPr>
            <w:r>
              <w:rPr>
                <w:sz w:val="4"/>
                <w:szCs w:val="4"/>
              </w:rPr>
            </w:r>
          </w:p>
        </w:tc>
        <w:tc>
          <w:tcPr>
            <w:tcW w:w="7105" w:type="dxa"/>
            <w:gridSpan w:val="15"/>
            <w:tcBorders/>
          </w:tcPr>
          <w:p>
            <w:pPr>
              <w:pStyle w:val="TableContents"/>
              <w:bidi w:val="0"/>
              <w:spacing w:before="0" w:after="283"/>
              <w:jc w:val="left"/>
              <w:rPr>
                <w:sz w:val="4"/>
                <w:szCs w:val="4"/>
              </w:rPr>
            </w:pPr>
            <w:r>
              <w:rPr>
                <w:sz w:val="4"/>
                <w:szCs w:val="4"/>
              </w:rPr>
            </w:r>
          </w:p>
        </w:tc>
      </w:tr>
      <w:tr>
        <w:trPr/>
        <w:tc>
          <w:tcPr>
            <w:tcW w:w="1452" w:type="dxa"/>
            <w:gridSpan w:val="3"/>
            <w:tcBorders/>
            <w:vAlign w:val="center"/>
          </w:tcPr>
          <w:p>
            <w:pPr>
              <w:pStyle w:val="TableContents"/>
              <w:bidi w:val="0"/>
              <w:spacing w:before="0" w:after="283"/>
              <w:jc w:val="left"/>
              <w:rPr>
                <w:sz w:val="4"/>
                <w:szCs w:val="4"/>
              </w:rPr>
            </w:pPr>
            <w:r>
              <w:rPr>
                <w:sz w:val="4"/>
                <w:szCs w:val="4"/>
              </w:rPr>
            </w:r>
          </w:p>
        </w:tc>
        <w:tc>
          <w:tcPr>
            <w:tcW w:w="1648" w:type="dxa"/>
            <w:gridSpan w:val="3"/>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537" w:type="dxa"/>
            <w:tcBorders/>
            <w:vAlign w:val="center"/>
          </w:tcPr>
          <w:p>
            <w:pPr>
              <w:pStyle w:val="TableContents"/>
              <w:bidi w:val="0"/>
              <w:spacing w:before="0" w:after="283"/>
              <w:jc w:val="left"/>
              <w:rPr>
                <w:sz w:val="4"/>
                <w:szCs w:val="4"/>
              </w:rPr>
            </w:pPr>
            <w:r>
              <w:rPr>
                <w:sz w:val="4"/>
                <w:szCs w:val="4"/>
              </w:rPr>
            </w:r>
          </w:p>
        </w:tc>
        <w:tc>
          <w:tcPr>
            <w:tcW w:w="1758" w:type="dxa"/>
            <w:tcBorders/>
            <w:vAlign w:val="center"/>
          </w:tcPr>
          <w:p>
            <w:pPr>
              <w:pStyle w:val="TableContents"/>
              <w:bidi w:val="0"/>
              <w:spacing w:before="0" w:after="283"/>
              <w:jc w:val="left"/>
              <w:rPr>
                <w:sz w:val="4"/>
                <w:szCs w:val="4"/>
              </w:rPr>
            </w:pPr>
            <w:r>
              <w:rPr>
                <w:sz w:val="4"/>
                <w:szCs w:val="4"/>
              </w:rPr>
            </w:r>
          </w:p>
        </w:tc>
        <w:tc>
          <w:tcPr>
            <w:tcW w:w="729" w:type="dxa"/>
            <w:gridSpan w:val="3"/>
            <w:tcBorders/>
            <w:vAlign w:val="center"/>
          </w:tcPr>
          <w:p>
            <w:pPr>
              <w:pStyle w:val="TableContents"/>
              <w:bidi w:val="0"/>
              <w:spacing w:before="0" w:after="283"/>
              <w:jc w:val="left"/>
              <w:rPr>
                <w:sz w:val="4"/>
                <w:szCs w:val="4"/>
              </w:rPr>
            </w:pPr>
            <w:r>
              <w:rPr>
                <w:sz w:val="4"/>
                <w:szCs w:val="4"/>
              </w:rPr>
            </w:r>
          </w:p>
        </w:tc>
        <w:tc>
          <w:tcPr>
            <w:tcW w:w="16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7" w:type="dxa"/>
            <w:gridSpan w:val="3"/>
            <w:tcBorders/>
            <w:vAlign w:val="center"/>
          </w:tcPr>
          <w:p>
            <w:pPr>
              <w:pStyle w:val="TableContents"/>
              <w:bidi w:val="0"/>
              <w:spacing w:before="0" w:after="283"/>
              <w:jc w:val="left"/>
              <w:rPr>
                <w:sz w:val="4"/>
                <w:szCs w:val="4"/>
              </w:rPr>
            </w:pPr>
            <w:r>
              <w:rPr>
                <w:sz w:val="4"/>
                <w:szCs w:val="4"/>
              </w:rPr>
            </w:r>
          </w:p>
        </w:tc>
      </w:tr>
      <w:tr>
        <w:trPr/>
        <w:tc>
          <w:tcPr>
            <w:tcW w:w="1452" w:type="dxa"/>
            <w:gridSpan w:val="3"/>
            <w:tcBorders/>
            <w:vAlign w:val="center"/>
          </w:tcPr>
          <w:p>
            <w:pPr>
              <w:pStyle w:val="TableContents"/>
              <w:bidi w:val="0"/>
              <w:spacing w:before="0" w:after="283"/>
              <w:jc w:val="left"/>
              <w:rPr>
                <w:sz w:val="4"/>
                <w:szCs w:val="4"/>
              </w:rPr>
            </w:pPr>
            <w:r>
              <w:rPr>
                <w:sz w:val="4"/>
                <w:szCs w:val="4"/>
              </w:rPr>
            </w:r>
          </w:p>
        </w:tc>
        <w:tc>
          <w:tcPr>
            <w:tcW w:w="1648" w:type="dxa"/>
            <w:gridSpan w:val="3"/>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537" w:type="dxa"/>
            <w:tcBorders/>
            <w:vAlign w:val="center"/>
          </w:tcPr>
          <w:p>
            <w:pPr>
              <w:pStyle w:val="TableContents"/>
              <w:bidi w:val="0"/>
              <w:spacing w:before="0" w:after="283"/>
              <w:jc w:val="left"/>
              <w:rPr>
                <w:sz w:val="4"/>
                <w:szCs w:val="4"/>
              </w:rPr>
            </w:pPr>
            <w:r>
              <w:rPr>
                <w:sz w:val="4"/>
                <w:szCs w:val="4"/>
              </w:rPr>
            </w:r>
          </w:p>
        </w:tc>
        <w:tc>
          <w:tcPr>
            <w:tcW w:w="1758" w:type="dxa"/>
            <w:tcBorders/>
            <w:vAlign w:val="center"/>
          </w:tcPr>
          <w:p>
            <w:pPr>
              <w:pStyle w:val="TableContents"/>
              <w:bidi w:val="0"/>
              <w:spacing w:before="0" w:after="283"/>
              <w:jc w:val="left"/>
              <w:rPr>
                <w:sz w:val="4"/>
                <w:szCs w:val="4"/>
              </w:rPr>
            </w:pPr>
            <w:r>
              <w:rPr>
                <w:sz w:val="4"/>
                <w:szCs w:val="4"/>
              </w:rPr>
            </w:r>
          </w:p>
        </w:tc>
        <w:tc>
          <w:tcPr>
            <w:tcW w:w="729" w:type="dxa"/>
            <w:gridSpan w:val="3"/>
            <w:tcBorders/>
            <w:vAlign w:val="center"/>
          </w:tcPr>
          <w:p>
            <w:pPr>
              <w:pStyle w:val="TableContents"/>
              <w:bidi w:val="0"/>
              <w:spacing w:before="0" w:after="283"/>
              <w:jc w:val="left"/>
              <w:rPr>
                <w:sz w:val="4"/>
                <w:szCs w:val="4"/>
              </w:rPr>
            </w:pPr>
            <w:r>
              <w:rPr>
                <w:sz w:val="4"/>
                <w:szCs w:val="4"/>
              </w:rPr>
            </w:r>
          </w:p>
        </w:tc>
        <w:tc>
          <w:tcPr>
            <w:tcW w:w="16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7" w:type="dxa"/>
            <w:gridSpan w:val="3"/>
            <w:tcBorders/>
            <w:vAlign w:val="center"/>
          </w:tcPr>
          <w:p>
            <w:pPr>
              <w:pStyle w:val="TableContents"/>
              <w:bidi w:val="0"/>
              <w:spacing w:before="0" w:after="283"/>
              <w:jc w:val="left"/>
              <w:rPr>
                <w:sz w:val="4"/>
                <w:szCs w:val="4"/>
              </w:rPr>
            </w:pPr>
            <w:r>
              <w:rPr>
                <w:sz w:val="4"/>
                <w:szCs w:val="4"/>
              </w:rPr>
            </w:r>
          </w:p>
        </w:tc>
      </w:tr>
      <w:tr>
        <w:trPr/>
        <w:tc>
          <w:tcPr>
            <w:tcW w:w="1452" w:type="dxa"/>
            <w:gridSpan w:val="3"/>
            <w:tcBorders/>
            <w:vAlign w:val="center"/>
          </w:tcPr>
          <w:p>
            <w:pPr>
              <w:pStyle w:val="TableContents"/>
              <w:bidi w:val="0"/>
              <w:spacing w:before="0" w:after="283"/>
              <w:jc w:val="left"/>
              <w:rPr>
                <w:sz w:val="4"/>
                <w:szCs w:val="4"/>
              </w:rPr>
            </w:pPr>
            <w:r>
              <w:rPr>
                <w:sz w:val="4"/>
                <w:szCs w:val="4"/>
              </w:rPr>
            </w:r>
          </w:p>
        </w:tc>
        <w:tc>
          <w:tcPr>
            <w:tcW w:w="1648" w:type="dxa"/>
            <w:gridSpan w:val="3"/>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537" w:type="dxa"/>
            <w:tcBorders/>
            <w:vAlign w:val="center"/>
          </w:tcPr>
          <w:p>
            <w:pPr>
              <w:pStyle w:val="TableContents"/>
              <w:bidi w:val="0"/>
              <w:spacing w:before="0" w:after="283"/>
              <w:jc w:val="left"/>
              <w:rPr>
                <w:sz w:val="4"/>
                <w:szCs w:val="4"/>
              </w:rPr>
            </w:pPr>
            <w:r>
              <w:rPr>
                <w:sz w:val="4"/>
                <w:szCs w:val="4"/>
              </w:rPr>
            </w:r>
          </w:p>
        </w:tc>
        <w:tc>
          <w:tcPr>
            <w:tcW w:w="1758" w:type="dxa"/>
            <w:tcBorders/>
            <w:vAlign w:val="center"/>
          </w:tcPr>
          <w:p>
            <w:pPr>
              <w:pStyle w:val="TableContents"/>
              <w:bidi w:val="0"/>
              <w:spacing w:before="0" w:after="283"/>
              <w:jc w:val="left"/>
              <w:rPr>
                <w:sz w:val="4"/>
                <w:szCs w:val="4"/>
              </w:rPr>
            </w:pPr>
            <w:r>
              <w:rPr>
                <w:sz w:val="4"/>
                <w:szCs w:val="4"/>
              </w:rPr>
            </w:r>
          </w:p>
        </w:tc>
        <w:tc>
          <w:tcPr>
            <w:tcW w:w="729" w:type="dxa"/>
            <w:gridSpan w:val="3"/>
            <w:tcBorders/>
            <w:vAlign w:val="center"/>
          </w:tcPr>
          <w:p>
            <w:pPr>
              <w:pStyle w:val="TableContents"/>
              <w:bidi w:val="0"/>
              <w:spacing w:before="0" w:after="283"/>
              <w:jc w:val="left"/>
              <w:rPr>
                <w:sz w:val="4"/>
                <w:szCs w:val="4"/>
              </w:rPr>
            </w:pPr>
            <w:r>
              <w:rPr>
                <w:sz w:val="4"/>
                <w:szCs w:val="4"/>
              </w:rPr>
            </w:r>
          </w:p>
        </w:tc>
        <w:tc>
          <w:tcPr>
            <w:tcW w:w="16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7" w:type="dxa"/>
            <w:gridSpan w:val="3"/>
            <w:tcBorders/>
            <w:vAlign w:val="center"/>
          </w:tcPr>
          <w:p>
            <w:pPr>
              <w:pStyle w:val="TableContents"/>
              <w:bidi w:val="0"/>
              <w:spacing w:before="0" w:after="283"/>
              <w:jc w:val="left"/>
              <w:rPr>
                <w:sz w:val="4"/>
                <w:szCs w:val="4"/>
              </w:rPr>
            </w:pPr>
            <w:r>
              <w:rPr>
                <w:sz w:val="4"/>
                <w:szCs w:val="4"/>
              </w:rPr>
            </w:r>
          </w:p>
        </w:tc>
      </w:tr>
      <w:tr>
        <w:trPr/>
        <w:tc>
          <w:tcPr>
            <w:tcW w:w="1452" w:type="dxa"/>
            <w:gridSpan w:val="3"/>
            <w:tcBorders/>
            <w:vAlign w:val="center"/>
          </w:tcPr>
          <w:p>
            <w:pPr>
              <w:pStyle w:val="TableContents"/>
              <w:bidi w:val="0"/>
              <w:spacing w:before="0" w:after="283"/>
              <w:jc w:val="left"/>
              <w:rPr>
                <w:sz w:val="4"/>
                <w:szCs w:val="4"/>
              </w:rPr>
            </w:pPr>
            <w:r>
              <w:rPr>
                <w:sz w:val="4"/>
                <w:szCs w:val="4"/>
              </w:rPr>
            </w:r>
          </w:p>
        </w:tc>
        <w:tc>
          <w:tcPr>
            <w:tcW w:w="1648" w:type="dxa"/>
            <w:gridSpan w:val="3"/>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537" w:type="dxa"/>
            <w:tcBorders/>
            <w:vAlign w:val="center"/>
          </w:tcPr>
          <w:p>
            <w:pPr>
              <w:pStyle w:val="TableContents"/>
              <w:bidi w:val="0"/>
              <w:spacing w:before="0" w:after="283"/>
              <w:jc w:val="left"/>
              <w:rPr>
                <w:sz w:val="4"/>
                <w:szCs w:val="4"/>
              </w:rPr>
            </w:pPr>
            <w:r>
              <w:rPr>
                <w:sz w:val="4"/>
                <w:szCs w:val="4"/>
              </w:rPr>
            </w:r>
          </w:p>
        </w:tc>
        <w:tc>
          <w:tcPr>
            <w:tcW w:w="1758" w:type="dxa"/>
            <w:tcBorders/>
            <w:vAlign w:val="center"/>
          </w:tcPr>
          <w:p>
            <w:pPr>
              <w:pStyle w:val="TableContents"/>
              <w:bidi w:val="0"/>
              <w:spacing w:before="0" w:after="283"/>
              <w:jc w:val="left"/>
              <w:rPr>
                <w:sz w:val="4"/>
                <w:szCs w:val="4"/>
              </w:rPr>
            </w:pPr>
            <w:r>
              <w:rPr>
                <w:sz w:val="4"/>
                <w:szCs w:val="4"/>
              </w:rPr>
            </w:r>
          </w:p>
        </w:tc>
        <w:tc>
          <w:tcPr>
            <w:tcW w:w="729" w:type="dxa"/>
            <w:gridSpan w:val="3"/>
            <w:tcBorders/>
            <w:vAlign w:val="center"/>
          </w:tcPr>
          <w:p>
            <w:pPr>
              <w:pStyle w:val="TableContents"/>
              <w:bidi w:val="0"/>
              <w:spacing w:before="0" w:after="283"/>
              <w:jc w:val="left"/>
              <w:rPr>
                <w:sz w:val="4"/>
                <w:szCs w:val="4"/>
              </w:rPr>
            </w:pPr>
            <w:r>
              <w:rPr>
                <w:sz w:val="4"/>
                <w:szCs w:val="4"/>
              </w:rPr>
            </w:r>
          </w:p>
        </w:tc>
        <w:tc>
          <w:tcPr>
            <w:tcW w:w="16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7" w:type="dxa"/>
            <w:gridSpan w:val="3"/>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60"/>
        <w:gridCol w:w="447"/>
        <w:gridCol w:w="450"/>
        <w:gridCol w:w="671"/>
        <w:gridCol w:w="492"/>
        <w:gridCol w:w="493"/>
        <w:gridCol w:w="176"/>
        <w:gridCol w:w="1542"/>
        <w:gridCol w:w="1768"/>
        <w:gridCol w:w="316"/>
        <w:gridCol w:w="211"/>
        <w:gridCol w:w="176"/>
        <w:gridCol w:w="566"/>
        <w:gridCol w:w="552"/>
        <w:gridCol w:w="553"/>
        <w:gridCol w:w="109"/>
        <w:gridCol w:w="109"/>
        <w:gridCol w:w="109"/>
        <w:gridCol w:w="371"/>
        <w:gridCol w:w="372"/>
        <w:gridCol w:w="162"/>
      </w:tblGrid>
      <w:tr>
        <w:trPr/>
        <w:tc>
          <w:tcPr>
            <w:tcW w:w="560"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493"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542" w:type="dxa"/>
            <w:tcBorders/>
            <w:vAlign w:val="center"/>
          </w:tcPr>
          <w:p>
            <w:pPr>
              <w:pStyle w:val="TableContents"/>
              <w:bidi w:val="0"/>
              <w:spacing w:before="0" w:after="283"/>
              <w:jc w:val="left"/>
              <w:rPr>
                <w:sz w:val="4"/>
                <w:szCs w:val="4"/>
              </w:rPr>
            </w:pPr>
            <w:r>
              <w:rPr>
                <w:sz w:val="4"/>
                <w:szCs w:val="4"/>
              </w:rPr>
            </w:r>
          </w:p>
        </w:tc>
        <w:tc>
          <w:tcPr>
            <w:tcW w:w="1768"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4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delle Sans;sans-serif" w:hAnsi="Adelle Sans;sans-serif"/>
                <w:b/>
                <w:color w:val="000000"/>
                <w:sz w:val="18"/>
              </w:rPr>
            </w:pPr>
            <w:r>
              <w:rPr>
                <w:rFonts w:ascii="Adelle Sans;sans-serif" w:hAnsi="Adelle Sans;sans-serif"/>
                <w:b/>
                <w:color w:val="000000"/>
                <w:sz w:val="18"/>
              </w:rPr>
              <w:t>Six months ended June 30,</w:t>
            </w:r>
          </w:p>
        </w:tc>
        <w:tc>
          <w:tcPr>
            <w:tcW w:w="2903" w:type="dxa"/>
            <w:gridSpan w:val="9"/>
            <w:tcBorders/>
          </w:tcPr>
          <w:p>
            <w:pPr>
              <w:pStyle w:val="TableContents"/>
              <w:bidi w:val="0"/>
              <w:spacing w:before="0" w:after="283"/>
              <w:jc w:val="left"/>
              <w:rPr>
                <w:sz w:val="4"/>
                <w:szCs w:val="4"/>
              </w:rPr>
            </w:pPr>
            <w:r>
              <w:rPr>
                <w:sz w:val="4"/>
                <w:szCs w:val="4"/>
              </w:rPr>
            </w:r>
          </w:p>
        </w:tc>
      </w:tr>
      <w:tr>
        <w:trPr/>
        <w:tc>
          <w:tcPr>
            <w:tcW w:w="14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4" w:type="dxa"/>
            <w:gridSpan w:val="5"/>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delle Sans;sans-serif" w:hAnsi="Adelle Sans;sans-serif"/>
                <w:b/>
                <w:color w:val="000000"/>
                <w:sz w:val="18"/>
              </w:rPr>
            </w:pPr>
            <w:r>
              <w:rPr>
                <w:rFonts w:ascii="Adelle Sans;sans-serif" w:hAnsi="Adelle Sans;sans-serif"/>
                <w:b/>
                <w:color w:val="000000"/>
                <w:sz w:val="18"/>
              </w:rPr>
              <w:t>2026</w:t>
            </w:r>
          </w:p>
        </w:tc>
        <w:tc>
          <w:tcPr>
            <w:tcW w:w="1768"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delle Sans;sans-serif" w:hAnsi="Adelle Sans;sans-serif"/>
                <w:b/>
                <w:color w:val="000000"/>
                <w:sz w:val="18"/>
              </w:rPr>
            </w:pPr>
            <w:r>
              <w:rPr>
                <w:rFonts w:ascii="Adelle Sans;sans-serif" w:hAnsi="Adelle Sans;sans-serif"/>
                <w:b/>
                <w:color w:val="000000"/>
                <w:sz w:val="18"/>
              </w:rPr>
              <w:t>2025</w:t>
            </w:r>
          </w:p>
        </w:tc>
        <w:tc>
          <w:tcPr>
            <w:tcW w:w="2903" w:type="dxa"/>
            <w:gridSpan w:val="9"/>
            <w:tcBorders/>
          </w:tcPr>
          <w:p>
            <w:pPr>
              <w:pStyle w:val="TableContents"/>
              <w:bidi w:val="0"/>
              <w:spacing w:before="0" w:after="283"/>
              <w:jc w:val="left"/>
              <w:rPr>
                <w:sz w:val="4"/>
                <w:szCs w:val="4"/>
              </w:rPr>
            </w:pPr>
            <w:r>
              <w:rPr>
                <w:sz w:val="4"/>
                <w:szCs w:val="4"/>
              </w:rPr>
            </w:r>
          </w:p>
        </w:tc>
      </w:tr>
      <w:tr>
        <w:trPr/>
        <w:tc>
          <w:tcPr>
            <w:tcW w:w="14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delle Sans;sans-serif" w:hAnsi="Adelle Sans;sans-serif"/>
                <w:b/>
                <w:color w:val="000000"/>
                <w:sz w:val="18"/>
              </w:rPr>
            </w:pPr>
            <w:r>
              <w:rPr>
                <w:rFonts w:ascii="Adelle Sans;sans-serif" w:hAnsi="Adelle Sans;sans-serif"/>
                <w:b/>
                <w:color w:val="000000"/>
                <w:sz w:val="18"/>
              </w:rPr>
              <w:t>GAAP Amounts as Reported</w:t>
            </w:r>
          </w:p>
        </w:tc>
        <w:tc>
          <w:tcPr>
            <w:tcW w:w="176" w:type="dxa"/>
            <w:tcBorders/>
            <w:vAlign w:val="center"/>
          </w:tcPr>
          <w:p>
            <w:pPr>
              <w:pStyle w:val="TableContents"/>
              <w:bidi w:val="0"/>
              <w:spacing w:before="0" w:after="283"/>
              <w:jc w:val="left"/>
              <w:rPr>
                <w:sz w:val="4"/>
                <w:szCs w:val="4"/>
              </w:rPr>
            </w:pPr>
            <w:r>
              <w:rPr>
                <w:sz w:val="4"/>
                <w:szCs w:val="4"/>
              </w:rPr>
            </w:r>
          </w:p>
        </w:tc>
        <w:tc>
          <w:tcPr>
            <w:tcW w:w="1542"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pPr>
            <w:r>
              <w:rPr>
                <w:rFonts w:ascii="Adelle Sans;sans-serif" w:hAnsi="Adelle Sans;sans-serif"/>
                <w:b/>
                <w:color w:val="000000"/>
                <w:sz w:val="18"/>
              </w:rPr>
              <w:t>Exchange Rate Effect</w:t>
            </w:r>
            <w:r>
              <w:rPr>
                <w:rFonts w:ascii="Adelle Sans;sans-serif" w:hAnsi="Adelle Sans;sans-serif"/>
                <w:b/>
                <w:color w:val="000000"/>
                <w:sz w:val="12"/>
              </w:rPr>
              <w:t>(1)</w:t>
            </w:r>
          </w:p>
        </w:tc>
        <w:tc>
          <w:tcPr>
            <w:tcW w:w="1768"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pPr>
            <w:r>
              <w:rPr>
                <w:rFonts w:ascii="Adelle Sans;sans-serif" w:hAnsi="Adelle Sans;sans-serif"/>
                <w:b/>
                <w:color w:val="000000"/>
                <w:sz w:val="18"/>
              </w:rPr>
              <w:t>At Prior Period Effective Rates</w:t>
            </w:r>
            <w:r>
              <w:rPr>
                <w:rFonts w:ascii="Adelle Sans;sans-serif" w:hAnsi="Adelle Sans;sans-serif"/>
                <w:b/>
                <w:color w:val="000000"/>
                <w:sz w:val="12"/>
              </w:rPr>
              <w:t>(2)</w:t>
            </w:r>
          </w:p>
        </w:tc>
        <w:tc>
          <w:tcPr>
            <w:tcW w:w="7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delle Sans;sans-serif" w:hAnsi="Adelle Sans;sans-serif"/>
                <w:b/>
                <w:color w:val="000000"/>
                <w:sz w:val="18"/>
              </w:rPr>
            </w:pPr>
            <w:r>
              <w:rPr>
                <w:rFonts w:ascii="Adelle Sans;sans-serif" w:hAnsi="Adelle Sans;sans-serif"/>
                <w:b/>
                <w:color w:val="000000"/>
                <w:sz w:val="18"/>
              </w:rPr>
              <w:t>GAAP Amounts as Reported</w:t>
            </w:r>
          </w:p>
        </w:tc>
        <w:tc>
          <w:tcPr>
            <w:tcW w:w="1232" w:type="dxa"/>
            <w:gridSpan w:val="6"/>
            <w:tcBorders/>
          </w:tcPr>
          <w:p>
            <w:pPr>
              <w:pStyle w:val="TableContents"/>
              <w:bidi w:val="0"/>
              <w:spacing w:before="0" w:after="283"/>
              <w:jc w:val="left"/>
              <w:rPr>
                <w:sz w:val="4"/>
                <w:szCs w:val="4"/>
              </w:rPr>
            </w:pPr>
            <w:r>
              <w:rPr>
                <w:sz w:val="4"/>
                <w:szCs w:val="4"/>
              </w:rPr>
            </w:r>
          </w:p>
        </w:tc>
      </w:tr>
      <w:tr>
        <w:trPr/>
        <w:tc>
          <w:tcPr>
            <w:tcW w:w="1457" w:type="dxa"/>
            <w:gridSpan w:val="3"/>
            <w:tcBorders/>
            <w:vAlign w:val="center"/>
          </w:tcPr>
          <w:p>
            <w:pPr>
              <w:pStyle w:val="TableContents"/>
              <w:bidi w:val="0"/>
              <w:spacing w:before="0" w:after="283"/>
              <w:jc w:val="left"/>
              <w:rPr>
                <w:sz w:val="4"/>
                <w:szCs w:val="4"/>
              </w:rPr>
            </w:pPr>
            <w:r>
              <w:rPr>
                <w:sz w:val="4"/>
                <w:szCs w:val="4"/>
              </w:rPr>
            </w:r>
          </w:p>
        </w:tc>
        <w:tc>
          <w:tcPr>
            <w:tcW w:w="1656" w:type="dxa"/>
            <w:gridSpan w:val="3"/>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542" w:type="dxa"/>
            <w:tcBorders/>
            <w:vAlign w:val="center"/>
          </w:tcPr>
          <w:p>
            <w:pPr>
              <w:pStyle w:val="TableContents"/>
              <w:bidi w:val="0"/>
              <w:spacing w:before="0" w:after="283"/>
              <w:jc w:val="left"/>
              <w:rPr>
                <w:sz w:val="4"/>
                <w:szCs w:val="4"/>
              </w:rPr>
            </w:pPr>
            <w:r>
              <w:rPr>
                <w:sz w:val="4"/>
                <w:szCs w:val="4"/>
              </w:rPr>
            </w:r>
          </w:p>
        </w:tc>
        <w:tc>
          <w:tcPr>
            <w:tcW w:w="1768" w:type="dxa"/>
            <w:tcBorders/>
            <w:vAlign w:val="center"/>
          </w:tcPr>
          <w:p>
            <w:pPr>
              <w:pStyle w:val="TableContents"/>
              <w:bidi w:val="0"/>
              <w:spacing w:before="0" w:after="283"/>
              <w:jc w:val="left"/>
              <w:rPr>
                <w:sz w:val="4"/>
                <w:szCs w:val="4"/>
              </w:rPr>
            </w:pPr>
            <w:r>
              <w:rPr>
                <w:sz w:val="4"/>
                <w:szCs w:val="4"/>
              </w:rPr>
            </w:r>
          </w:p>
        </w:tc>
        <w:tc>
          <w:tcPr>
            <w:tcW w:w="703" w:type="dxa"/>
            <w:gridSpan w:val="3"/>
            <w:tcBorders/>
            <w:vAlign w:val="center"/>
          </w:tcPr>
          <w:p>
            <w:pPr>
              <w:pStyle w:val="TableContents"/>
              <w:bidi w:val="0"/>
              <w:spacing w:before="0" w:after="283"/>
              <w:jc w:val="left"/>
              <w:rPr>
                <w:sz w:val="4"/>
                <w:szCs w:val="4"/>
              </w:rPr>
            </w:pPr>
            <w:r>
              <w:rPr>
                <w:sz w:val="4"/>
                <w:szCs w:val="4"/>
              </w:rPr>
            </w:r>
          </w:p>
        </w:tc>
        <w:tc>
          <w:tcPr>
            <w:tcW w:w="16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5" w:type="dxa"/>
            <w:gridSpan w:val="3"/>
            <w:tcBorders/>
            <w:vAlign w:val="center"/>
          </w:tcPr>
          <w:p>
            <w:pPr>
              <w:pStyle w:val="TableContents"/>
              <w:bidi w:val="0"/>
              <w:spacing w:before="0" w:after="283"/>
              <w:jc w:val="left"/>
              <w:rPr>
                <w:sz w:val="4"/>
                <w:szCs w:val="4"/>
              </w:rPr>
            </w:pPr>
            <w:r>
              <w:rPr>
                <w:sz w:val="4"/>
                <w:szCs w:val="4"/>
              </w:rPr>
            </w:r>
          </w:p>
        </w:tc>
      </w:tr>
      <w:tr>
        <w:trPr/>
        <w:tc>
          <w:tcPr>
            <w:tcW w:w="145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5" w:type="dxa"/>
            <w:gridSpan w:val="9"/>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Adelle Sans;sans-serif" w:hAnsi="Adelle Sans;sans-serif"/>
                <w:b w:val="false"/>
                <w:color w:val="000000"/>
                <w:sz w:val="18"/>
              </w:rPr>
            </w:pPr>
            <w:r>
              <w:rPr>
                <w:rFonts w:ascii="Adelle Sans;sans-serif" w:hAnsi="Adelle Sans;sans-serif"/>
                <w:b w:val="false"/>
                <w:color w:val="000000"/>
                <w:sz w:val="18"/>
              </w:rPr>
              <w:t>(in US $ millions)</w:t>
            </w:r>
          </w:p>
        </w:tc>
        <w:tc>
          <w:tcPr>
            <w:tcW w:w="2903" w:type="dxa"/>
            <w:gridSpan w:val="9"/>
            <w:tcBorders/>
          </w:tcPr>
          <w:p>
            <w:pPr>
              <w:pStyle w:val="TableContents"/>
              <w:bidi w:val="0"/>
              <w:spacing w:before="0" w:after="283"/>
              <w:jc w:val="left"/>
              <w:rPr>
                <w:sz w:val="4"/>
                <w:szCs w:val="4"/>
              </w:rPr>
            </w:pPr>
            <w:r>
              <w:rPr>
                <w:sz w:val="4"/>
                <w:szCs w:val="4"/>
              </w:rPr>
            </w:r>
          </w:p>
        </w:tc>
      </w:tr>
      <w:tr>
        <w:trPr/>
        <w:tc>
          <w:tcPr>
            <w:tcW w:w="1457" w:type="dxa"/>
            <w:gridSpan w:val="3"/>
            <w:tcBorders/>
            <w:shd w:fill="F7F7F7" w:val="clear"/>
            <w:tcMar>
              <w:top w:w="0" w:type="dxa"/>
              <w:left w:w="0" w:type="dxa"/>
              <w:bottom w:w="0" w:type="dxa"/>
              <w:right w:w="0" w:type="dxa"/>
            </w:tcMar>
            <w:vAlign w:val="center"/>
          </w:tcPr>
          <w:p>
            <w:pPr>
              <w:pStyle w:val="TableContents"/>
              <w:bidi w:val="0"/>
              <w:spacing w:lineRule="auto" w:line="240" w:before="0" w:after="283"/>
              <w:jc w:val="left"/>
              <w:rPr>
                <w:rFonts w:ascii="Adelle Sans;sans-serif" w:hAnsi="Adelle Sans;sans-serif"/>
                <w:b w:val="false"/>
                <w:color w:val="000000"/>
                <w:sz w:val="18"/>
              </w:rPr>
            </w:pPr>
            <w:r>
              <w:rPr>
                <w:rFonts w:ascii="Adelle Sans;sans-serif" w:hAnsi="Adelle Sans;sans-serif"/>
                <w:b w:val="false"/>
                <w:color w:val="000000"/>
                <w:sz w:val="18"/>
              </w:rPr>
              <w:t>Revenues</w:t>
            </w:r>
          </w:p>
        </w:tc>
        <w:tc>
          <w:tcPr>
            <w:tcW w:w="1163" w:type="dxa"/>
            <w:gridSpan w:val="2"/>
            <w:tcBorders/>
            <w:shd w:fill="F7F7F7"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6,753 </w:t>
            </w:r>
          </w:p>
        </w:tc>
        <w:tc>
          <w:tcPr>
            <w:tcW w:w="493" w:type="dxa"/>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542" w:type="dxa"/>
            <w:tcBorders/>
            <w:vAlign w:val="center"/>
          </w:tcPr>
          <w:p>
            <w:pPr>
              <w:pStyle w:val="TableContents"/>
              <w:bidi w:val="0"/>
              <w:spacing w:before="0" w:after="283"/>
              <w:jc w:val="left"/>
              <w:rPr>
                <w:sz w:val="4"/>
                <w:szCs w:val="4"/>
              </w:rPr>
            </w:pPr>
            <w:r>
              <w:rPr>
                <w:sz w:val="4"/>
                <w:szCs w:val="4"/>
              </w:rPr>
            </w:r>
          </w:p>
        </w:tc>
        <w:tc>
          <w:tcPr>
            <w:tcW w:w="1768" w:type="dxa"/>
            <w:tcBorders/>
            <w:vAlign w:val="center"/>
          </w:tcPr>
          <w:p>
            <w:pPr>
              <w:pStyle w:val="TableContents"/>
              <w:bidi w:val="0"/>
              <w:spacing w:before="0" w:after="283"/>
              <w:jc w:val="left"/>
              <w:rPr>
                <w:sz w:val="4"/>
                <w:szCs w:val="4"/>
              </w:rPr>
            </w:pPr>
            <w:r>
              <w:rPr>
                <w:sz w:val="4"/>
                <w:szCs w:val="4"/>
              </w:rPr>
            </w:r>
          </w:p>
        </w:tc>
        <w:tc>
          <w:tcPr>
            <w:tcW w:w="527" w:type="dxa"/>
            <w:gridSpan w:val="2"/>
            <w:tcBorders/>
            <w:shd w:fill="F7F7F7"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(70)</w:t>
            </w:r>
          </w:p>
        </w:tc>
        <w:tc>
          <w:tcPr>
            <w:tcW w:w="176" w:type="dxa"/>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shd w:fill="F7F7F7"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6,683 </w:t>
            </w:r>
          </w:p>
        </w:tc>
        <w:tc>
          <w:tcPr>
            <w:tcW w:w="553" w:type="dxa"/>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 w:type="dxa"/>
            <w:gridSpan w:val="2"/>
            <w:tcBorders/>
            <w:shd w:fill="F7F7F7"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5,040 </w:t>
            </w:r>
          </w:p>
        </w:tc>
        <w:tc>
          <w:tcPr>
            <w:tcW w:w="162" w:type="dxa"/>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delle Sans;sans-serif" w:hAnsi="Adelle Sans;sans-serif"/>
                <w:b w:val="false"/>
                <w:color w:val="000000"/>
                <w:sz w:val="18"/>
              </w:rPr>
            </w:pPr>
            <w:r>
              <w:rPr>
                <w:rFonts w:ascii="Adelle Sans;sans-serif" w:hAnsi="Adelle Sans;sans-serif"/>
                <w:b w:val="false"/>
                <w:color w:val="000000"/>
                <w:sz w:val="18"/>
              </w:rPr>
              <w:t>Cost of revenues</w:t>
            </w:r>
          </w:p>
        </w:tc>
        <w:tc>
          <w:tcPr>
            <w:tcW w:w="11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(3,499)</w:t>
            </w:r>
          </w:p>
        </w:tc>
        <w:tc>
          <w:tcPr>
            <w:tcW w:w="4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542" w:type="dxa"/>
            <w:tcBorders/>
            <w:vAlign w:val="center"/>
          </w:tcPr>
          <w:p>
            <w:pPr>
              <w:pStyle w:val="TableContents"/>
              <w:bidi w:val="0"/>
              <w:spacing w:before="0" w:after="283"/>
              <w:jc w:val="left"/>
              <w:rPr>
                <w:sz w:val="4"/>
                <w:szCs w:val="4"/>
              </w:rPr>
            </w:pPr>
            <w:r>
              <w:rPr>
                <w:sz w:val="4"/>
                <w:szCs w:val="4"/>
              </w:rPr>
            </w:r>
          </w:p>
        </w:tc>
        <w:tc>
          <w:tcPr>
            <w:tcW w:w="1768" w:type="dxa"/>
            <w:tcBorders/>
            <w:vAlign w:val="center"/>
          </w:tcPr>
          <w:p>
            <w:pPr>
              <w:pStyle w:val="TableContents"/>
              <w:bidi w:val="0"/>
              <w:spacing w:before="0" w:after="283"/>
              <w:jc w:val="left"/>
              <w:rPr>
                <w:sz w:val="4"/>
                <w:szCs w:val="4"/>
              </w:rPr>
            </w:pPr>
            <w:r>
              <w:rPr>
                <w:sz w:val="4"/>
                <w:szCs w:val="4"/>
              </w:rPr>
            </w:r>
          </w:p>
        </w:tc>
        <w:tc>
          <w:tcPr>
            <w:tcW w:w="5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26 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(3,473)</w:t>
            </w:r>
          </w:p>
        </w:tc>
        <w:tc>
          <w:tcPr>
            <w:tcW w:w="5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(2,569)</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7" w:type="dxa"/>
            <w:gridSpan w:val="3"/>
            <w:tcBorders/>
            <w:shd w:fill="F7F7F7" w:val="clear"/>
            <w:tcMar>
              <w:top w:w="0" w:type="dxa"/>
              <w:left w:w="0" w:type="dxa"/>
              <w:bottom w:w="0" w:type="dxa"/>
              <w:right w:w="0" w:type="dxa"/>
            </w:tcMar>
            <w:vAlign w:val="center"/>
          </w:tcPr>
          <w:p>
            <w:pPr>
              <w:pStyle w:val="TableContents"/>
              <w:bidi w:val="0"/>
              <w:spacing w:lineRule="auto" w:line="240" w:before="0" w:after="283"/>
              <w:jc w:val="left"/>
              <w:rPr>
                <w:rFonts w:ascii="Adelle Sans;sans-serif" w:hAnsi="Adelle Sans;sans-serif"/>
                <w:b w:val="false"/>
                <w:color w:val="000000"/>
                <w:sz w:val="18"/>
              </w:rPr>
            </w:pPr>
            <w:r>
              <w:rPr>
                <w:rFonts w:ascii="Adelle Sans;sans-serif" w:hAnsi="Adelle Sans;sans-serif"/>
                <w:b w:val="false"/>
                <w:color w:val="000000"/>
                <w:sz w:val="18"/>
              </w:rPr>
              <w:t>Operating expenses</w:t>
            </w:r>
          </w:p>
        </w:tc>
        <w:tc>
          <w:tcPr>
            <w:tcW w:w="1163" w:type="dxa"/>
            <w:gridSpan w:val="2"/>
            <w:tcBorders/>
            <w:shd w:fill="F7F7F7"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(2,384)</w:t>
            </w:r>
          </w:p>
        </w:tc>
        <w:tc>
          <w:tcPr>
            <w:tcW w:w="493" w:type="dxa"/>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542" w:type="dxa"/>
            <w:tcBorders/>
            <w:vAlign w:val="center"/>
          </w:tcPr>
          <w:p>
            <w:pPr>
              <w:pStyle w:val="TableContents"/>
              <w:bidi w:val="0"/>
              <w:spacing w:before="0" w:after="283"/>
              <w:jc w:val="left"/>
              <w:rPr>
                <w:sz w:val="4"/>
                <w:szCs w:val="4"/>
              </w:rPr>
            </w:pPr>
            <w:r>
              <w:rPr>
                <w:sz w:val="4"/>
                <w:szCs w:val="4"/>
              </w:rPr>
            </w:r>
          </w:p>
        </w:tc>
        <w:tc>
          <w:tcPr>
            <w:tcW w:w="1768" w:type="dxa"/>
            <w:tcBorders/>
            <w:vAlign w:val="center"/>
          </w:tcPr>
          <w:p>
            <w:pPr>
              <w:pStyle w:val="TableContents"/>
              <w:bidi w:val="0"/>
              <w:spacing w:before="0" w:after="283"/>
              <w:jc w:val="left"/>
              <w:rPr>
                <w:sz w:val="4"/>
                <w:szCs w:val="4"/>
              </w:rPr>
            </w:pPr>
            <w:r>
              <w:rPr>
                <w:sz w:val="4"/>
                <w:szCs w:val="4"/>
              </w:rPr>
            </w:r>
          </w:p>
        </w:tc>
        <w:tc>
          <w:tcPr>
            <w:tcW w:w="527" w:type="dxa"/>
            <w:gridSpan w:val="2"/>
            <w:tcBorders/>
            <w:shd w:fill="F7F7F7"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12 </w:t>
            </w:r>
          </w:p>
        </w:tc>
        <w:tc>
          <w:tcPr>
            <w:tcW w:w="176" w:type="dxa"/>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shd w:fill="F7F7F7"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(2,372)</w:t>
            </w:r>
          </w:p>
        </w:tc>
        <w:tc>
          <w:tcPr>
            <w:tcW w:w="553" w:type="dxa"/>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 w:type="dxa"/>
            <w:gridSpan w:val="2"/>
            <w:tcBorders/>
            <w:shd w:fill="F7F7F7"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(1,977)</w:t>
            </w:r>
          </w:p>
        </w:tc>
        <w:tc>
          <w:tcPr>
            <w:tcW w:w="162" w:type="dxa"/>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delle Sans;sans-serif" w:hAnsi="Adelle Sans;sans-serif"/>
                <w:b w:val="false"/>
                <w:color w:val="000000"/>
                <w:sz w:val="18"/>
              </w:rPr>
            </w:pPr>
            <w:r>
              <w:rPr>
                <w:rFonts w:ascii="Adelle Sans;sans-serif" w:hAnsi="Adelle Sans;sans-serif"/>
                <w:b w:val="false"/>
                <w:color w:val="000000"/>
                <w:sz w:val="18"/>
              </w:rPr>
              <w:t>Income from operations</w:t>
            </w:r>
          </w:p>
        </w:tc>
        <w:tc>
          <w:tcPr>
            <w:tcW w:w="116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870 </w:t>
            </w:r>
          </w:p>
        </w:tc>
        <w:tc>
          <w:tcPr>
            <w:tcW w:w="49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542" w:type="dxa"/>
            <w:tcBorders/>
            <w:vAlign w:val="center"/>
          </w:tcPr>
          <w:p>
            <w:pPr>
              <w:pStyle w:val="TableContents"/>
              <w:bidi w:val="0"/>
              <w:spacing w:before="0" w:after="283"/>
              <w:jc w:val="left"/>
              <w:rPr>
                <w:sz w:val="4"/>
                <w:szCs w:val="4"/>
              </w:rPr>
            </w:pPr>
            <w:r>
              <w:rPr>
                <w:sz w:val="4"/>
                <w:szCs w:val="4"/>
              </w:rPr>
            </w:r>
          </w:p>
        </w:tc>
        <w:tc>
          <w:tcPr>
            <w:tcW w:w="1768" w:type="dxa"/>
            <w:tcBorders/>
            <w:vAlign w:val="center"/>
          </w:tcPr>
          <w:p>
            <w:pPr>
              <w:pStyle w:val="TableContents"/>
              <w:bidi w:val="0"/>
              <w:spacing w:before="0" w:after="283"/>
              <w:jc w:val="left"/>
              <w:rPr>
                <w:sz w:val="4"/>
                <w:szCs w:val="4"/>
              </w:rPr>
            </w:pPr>
            <w:r>
              <w:rPr>
                <w:sz w:val="4"/>
                <w:szCs w:val="4"/>
              </w:rPr>
            </w:r>
          </w:p>
        </w:tc>
        <w:tc>
          <w:tcPr>
            <w:tcW w:w="5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(32)</w:t>
            </w:r>
          </w:p>
        </w:tc>
        <w:tc>
          <w:tcPr>
            <w:tcW w:w="17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838 </w:t>
            </w:r>
          </w:p>
        </w:tc>
        <w:tc>
          <w:tcPr>
            <w:tcW w:w="55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494 </w:t>
            </w:r>
          </w:p>
        </w:tc>
        <w:tc>
          <w:tcPr>
            <w:tcW w:w="16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7" w:type="dxa"/>
            <w:gridSpan w:val="3"/>
            <w:tcBorders/>
            <w:vAlign w:val="center"/>
          </w:tcPr>
          <w:p>
            <w:pPr>
              <w:pStyle w:val="TableContents"/>
              <w:bidi w:val="0"/>
              <w:spacing w:before="0" w:after="283"/>
              <w:jc w:val="left"/>
              <w:rPr>
                <w:sz w:val="4"/>
                <w:szCs w:val="4"/>
              </w:rPr>
            </w:pPr>
            <w:r>
              <w:rPr>
                <w:sz w:val="4"/>
                <w:szCs w:val="4"/>
              </w:rPr>
            </w:r>
          </w:p>
        </w:tc>
        <w:tc>
          <w:tcPr>
            <w:tcW w:w="1656" w:type="dxa"/>
            <w:gridSpan w:val="3"/>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542" w:type="dxa"/>
            <w:tcBorders/>
            <w:vAlign w:val="center"/>
          </w:tcPr>
          <w:p>
            <w:pPr>
              <w:pStyle w:val="TableContents"/>
              <w:bidi w:val="0"/>
              <w:spacing w:before="0" w:after="283"/>
              <w:jc w:val="left"/>
              <w:rPr>
                <w:sz w:val="4"/>
                <w:szCs w:val="4"/>
              </w:rPr>
            </w:pPr>
            <w:r>
              <w:rPr>
                <w:sz w:val="4"/>
                <w:szCs w:val="4"/>
              </w:rPr>
            </w:r>
          </w:p>
        </w:tc>
        <w:tc>
          <w:tcPr>
            <w:tcW w:w="1768" w:type="dxa"/>
            <w:tcBorders/>
            <w:vAlign w:val="center"/>
          </w:tcPr>
          <w:p>
            <w:pPr>
              <w:pStyle w:val="TableContents"/>
              <w:bidi w:val="0"/>
              <w:spacing w:before="0" w:after="283"/>
              <w:jc w:val="left"/>
              <w:rPr>
                <w:sz w:val="4"/>
                <w:szCs w:val="4"/>
              </w:rPr>
            </w:pPr>
            <w:r>
              <w:rPr>
                <w:sz w:val="4"/>
                <w:szCs w:val="4"/>
              </w:rPr>
            </w:r>
          </w:p>
        </w:tc>
        <w:tc>
          <w:tcPr>
            <w:tcW w:w="703" w:type="dxa"/>
            <w:gridSpan w:val="3"/>
            <w:tcBorders/>
            <w:vAlign w:val="center"/>
          </w:tcPr>
          <w:p>
            <w:pPr>
              <w:pStyle w:val="TableContents"/>
              <w:bidi w:val="0"/>
              <w:spacing w:before="0" w:after="283"/>
              <w:jc w:val="left"/>
              <w:rPr>
                <w:sz w:val="4"/>
                <w:szCs w:val="4"/>
              </w:rPr>
            </w:pPr>
            <w:r>
              <w:rPr>
                <w:sz w:val="4"/>
                <w:szCs w:val="4"/>
              </w:rPr>
            </w:r>
          </w:p>
        </w:tc>
        <w:tc>
          <w:tcPr>
            <w:tcW w:w="16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5" w:type="dxa"/>
            <w:gridSpan w:val="3"/>
            <w:tcBorders/>
            <w:vAlign w:val="center"/>
          </w:tcPr>
          <w:p>
            <w:pPr>
              <w:pStyle w:val="TableContents"/>
              <w:bidi w:val="0"/>
              <w:spacing w:before="0" w:after="283"/>
              <w:jc w:val="left"/>
              <w:rPr>
                <w:sz w:val="4"/>
                <w:szCs w:val="4"/>
              </w:rPr>
            </w:pPr>
            <w:r>
              <w:rPr>
                <w:sz w:val="4"/>
                <w:szCs w:val="4"/>
              </w:rPr>
            </w:r>
          </w:p>
        </w:tc>
      </w:tr>
      <w:tr>
        <w:trPr/>
        <w:tc>
          <w:tcPr>
            <w:tcW w:w="1457" w:type="dxa"/>
            <w:gridSpan w:val="3"/>
            <w:tcBorders/>
            <w:vAlign w:val="center"/>
          </w:tcPr>
          <w:p>
            <w:pPr>
              <w:pStyle w:val="TableContents"/>
              <w:bidi w:val="0"/>
              <w:spacing w:before="0" w:after="283"/>
              <w:jc w:val="left"/>
              <w:rPr>
                <w:sz w:val="4"/>
                <w:szCs w:val="4"/>
              </w:rPr>
            </w:pPr>
            <w:r>
              <w:rPr>
                <w:sz w:val="4"/>
                <w:szCs w:val="4"/>
              </w:rPr>
            </w:r>
          </w:p>
        </w:tc>
        <w:tc>
          <w:tcPr>
            <w:tcW w:w="1656" w:type="dxa"/>
            <w:gridSpan w:val="3"/>
            <w:tcBorders/>
            <w:vAlign w:val="center"/>
          </w:tcPr>
          <w:p>
            <w:pPr>
              <w:pStyle w:val="TableContents"/>
              <w:bidi w:val="0"/>
              <w:spacing w:before="0" w:after="283"/>
              <w:jc w:val="left"/>
              <w:rPr>
                <w:sz w:val="4"/>
                <w:szCs w:val="4"/>
              </w:rPr>
            </w:pPr>
            <w:r>
              <w:rPr>
                <w:sz w:val="4"/>
                <w:szCs w:val="4"/>
              </w:rPr>
            </w:r>
          </w:p>
        </w:tc>
        <w:tc>
          <w:tcPr>
            <w:tcW w:w="7092" w:type="dxa"/>
            <w:gridSpan w:val="15"/>
            <w:tcBorders/>
          </w:tcPr>
          <w:p>
            <w:pPr>
              <w:pStyle w:val="TableContents"/>
              <w:bidi w:val="0"/>
              <w:spacing w:before="0" w:after="283"/>
              <w:jc w:val="left"/>
              <w:rPr>
                <w:sz w:val="4"/>
                <w:szCs w:val="4"/>
              </w:rPr>
            </w:pPr>
            <w:r>
              <w:rPr>
                <w:sz w:val="4"/>
                <w:szCs w:val="4"/>
              </w:rPr>
            </w:r>
          </w:p>
        </w:tc>
      </w:tr>
      <w:tr>
        <w:trPr/>
        <w:tc>
          <w:tcPr>
            <w:tcW w:w="1457" w:type="dxa"/>
            <w:gridSpan w:val="3"/>
            <w:tcBorders/>
            <w:vAlign w:val="center"/>
          </w:tcPr>
          <w:p>
            <w:pPr>
              <w:pStyle w:val="TableContents"/>
              <w:bidi w:val="0"/>
              <w:spacing w:before="0" w:after="283"/>
              <w:jc w:val="left"/>
              <w:rPr>
                <w:sz w:val="4"/>
                <w:szCs w:val="4"/>
              </w:rPr>
            </w:pPr>
            <w:r>
              <w:rPr>
                <w:sz w:val="4"/>
                <w:szCs w:val="4"/>
              </w:rPr>
            </w:r>
          </w:p>
        </w:tc>
        <w:tc>
          <w:tcPr>
            <w:tcW w:w="1656" w:type="dxa"/>
            <w:gridSpan w:val="3"/>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542" w:type="dxa"/>
            <w:tcBorders/>
            <w:vAlign w:val="center"/>
          </w:tcPr>
          <w:p>
            <w:pPr>
              <w:pStyle w:val="TableContents"/>
              <w:bidi w:val="0"/>
              <w:spacing w:before="0" w:after="283"/>
              <w:jc w:val="left"/>
              <w:rPr>
                <w:sz w:val="4"/>
                <w:szCs w:val="4"/>
              </w:rPr>
            </w:pPr>
            <w:r>
              <w:rPr>
                <w:sz w:val="4"/>
                <w:szCs w:val="4"/>
              </w:rPr>
            </w:r>
          </w:p>
        </w:tc>
        <w:tc>
          <w:tcPr>
            <w:tcW w:w="5374" w:type="dxa"/>
            <w:gridSpan w:val="13"/>
            <w:tcBorders/>
          </w:tcPr>
          <w:p>
            <w:pPr>
              <w:pStyle w:val="TableContents"/>
              <w:bidi w:val="0"/>
              <w:spacing w:before="0" w:after="283"/>
              <w:jc w:val="left"/>
              <w:rPr>
                <w:sz w:val="4"/>
                <w:szCs w:val="4"/>
              </w:rPr>
            </w:pPr>
            <w:r>
              <w:rPr>
                <w:sz w:val="4"/>
                <w:szCs w:val="4"/>
              </w:rPr>
            </w:r>
          </w:p>
        </w:tc>
      </w:tr>
      <w:tr>
        <w:trPr/>
        <w:tc>
          <w:tcPr>
            <w:tcW w:w="1457" w:type="dxa"/>
            <w:gridSpan w:val="3"/>
            <w:tcBorders/>
            <w:vAlign w:val="center"/>
          </w:tcPr>
          <w:p>
            <w:pPr>
              <w:pStyle w:val="TableContents"/>
              <w:bidi w:val="0"/>
              <w:spacing w:before="0" w:after="283"/>
              <w:jc w:val="left"/>
              <w:rPr>
                <w:sz w:val="4"/>
                <w:szCs w:val="4"/>
              </w:rPr>
            </w:pPr>
            <w:r>
              <w:rPr>
                <w:sz w:val="4"/>
                <w:szCs w:val="4"/>
              </w:rPr>
            </w:r>
          </w:p>
        </w:tc>
        <w:tc>
          <w:tcPr>
            <w:tcW w:w="1656" w:type="dxa"/>
            <w:gridSpan w:val="3"/>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542" w:type="dxa"/>
            <w:tcBorders/>
            <w:vAlign w:val="center"/>
          </w:tcPr>
          <w:p>
            <w:pPr>
              <w:pStyle w:val="TableContents"/>
              <w:bidi w:val="0"/>
              <w:spacing w:before="0" w:after="283"/>
              <w:jc w:val="left"/>
              <w:rPr>
                <w:sz w:val="4"/>
                <w:szCs w:val="4"/>
              </w:rPr>
            </w:pPr>
            <w:r>
              <w:rPr>
                <w:sz w:val="4"/>
                <w:szCs w:val="4"/>
              </w:rPr>
            </w:r>
          </w:p>
        </w:tc>
        <w:tc>
          <w:tcPr>
            <w:tcW w:w="1768" w:type="dxa"/>
            <w:tcBorders/>
            <w:vAlign w:val="center"/>
          </w:tcPr>
          <w:p>
            <w:pPr>
              <w:pStyle w:val="TableContents"/>
              <w:bidi w:val="0"/>
              <w:spacing w:before="0" w:after="283"/>
              <w:jc w:val="left"/>
              <w:rPr>
                <w:sz w:val="4"/>
                <w:szCs w:val="4"/>
              </w:rPr>
            </w:pPr>
            <w:r>
              <w:rPr>
                <w:sz w:val="4"/>
                <w:szCs w:val="4"/>
              </w:rPr>
            </w:r>
          </w:p>
        </w:tc>
        <w:tc>
          <w:tcPr>
            <w:tcW w:w="703" w:type="dxa"/>
            <w:gridSpan w:val="3"/>
            <w:tcBorders/>
            <w:vAlign w:val="center"/>
          </w:tcPr>
          <w:p>
            <w:pPr>
              <w:pStyle w:val="TableContents"/>
              <w:bidi w:val="0"/>
              <w:spacing w:before="0" w:after="283"/>
              <w:jc w:val="left"/>
              <w:rPr>
                <w:sz w:val="4"/>
                <w:szCs w:val="4"/>
              </w:rPr>
            </w:pPr>
            <w:r>
              <w:rPr>
                <w:sz w:val="4"/>
                <w:szCs w:val="4"/>
              </w:rPr>
            </w:r>
          </w:p>
        </w:tc>
        <w:tc>
          <w:tcPr>
            <w:tcW w:w="1671" w:type="dxa"/>
            <w:gridSpan w:val="3"/>
            <w:tcBorders/>
            <w:vAlign w:val="center"/>
          </w:tcPr>
          <w:p>
            <w:pPr>
              <w:pStyle w:val="TableContents"/>
              <w:bidi w:val="0"/>
              <w:spacing w:before="0" w:after="283"/>
              <w:jc w:val="left"/>
              <w:rPr>
                <w:sz w:val="4"/>
                <w:szCs w:val="4"/>
              </w:rPr>
            </w:pPr>
            <w:r>
              <w:rPr>
                <w:sz w:val="4"/>
                <w:szCs w:val="4"/>
              </w:rPr>
            </w:r>
          </w:p>
        </w:tc>
        <w:tc>
          <w:tcPr>
            <w:tcW w:w="1232" w:type="dxa"/>
            <w:gridSpan w:val="6"/>
            <w:tcBorders/>
          </w:tcPr>
          <w:p>
            <w:pPr>
              <w:pStyle w:val="TableContents"/>
              <w:bidi w:val="0"/>
              <w:spacing w:before="0" w:after="283"/>
              <w:jc w:val="left"/>
              <w:rPr>
                <w:sz w:val="4"/>
                <w:szCs w:val="4"/>
              </w:rPr>
            </w:pPr>
            <w:r>
              <w:rPr>
                <w:sz w:val="4"/>
                <w:szCs w:val="4"/>
              </w:rPr>
            </w:r>
          </w:p>
        </w:tc>
      </w:tr>
      <w:tr>
        <w:trPr/>
        <w:tc>
          <w:tcPr>
            <w:tcW w:w="1457" w:type="dxa"/>
            <w:gridSpan w:val="3"/>
            <w:tcBorders/>
            <w:vAlign w:val="center"/>
          </w:tcPr>
          <w:p>
            <w:pPr>
              <w:pStyle w:val="TableContents"/>
              <w:bidi w:val="0"/>
              <w:spacing w:before="0" w:after="283"/>
              <w:jc w:val="left"/>
              <w:rPr>
                <w:sz w:val="4"/>
                <w:szCs w:val="4"/>
              </w:rPr>
            </w:pPr>
            <w:r>
              <w:rPr>
                <w:sz w:val="4"/>
                <w:szCs w:val="4"/>
              </w:rPr>
            </w:r>
          </w:p>
        </w:tc>
        <w:tc>
          <w:tcPr>
            <w:tcW w:w="1656" w:type="dxa"/>
            <w:gridSpan w:val="3"/>
            <w:tcBorders/>
            <w:vAlign w:val="center"/>
          </w:tcPr>
          <w:p>
            <w:pPr>
              <w:pStyle w:val="TableContents"/>
              <w:bidi w:val="0"/>
              <w:spacing w:before="0" w:after="283"/>
              <w:jc w:val="left"/>
              <w:rPr>
                <w:sz w:val="4"/>
                <w:szCs w:val="4"/>
              </w:rPr>
            </w:pPr>
            <w:r>
              <w:rPr>
                <w:sz w:val="4"/>
                <w:szCs w:val="4"/>
              </w:rPr>
            </w:r>
          </w:p>
        </w:tc>
        <w:tc>
          <w:tcPr>
            <w:tcW w:w="7092" w:type="dxa"/>
            <w:gridSpan w:val="15"/>
            <w:tcBorders/>
          </w:tcPr>
          <w:p>
            <w:pPr>
              <w:pStyle w:val="TableContents"/>
              <w:bidi w:val="0"/>
              <w:spacing w:before="0" w:after="283"/>
              <w:jc w:val="left"/>
              <w:rPr>
                <w:sz w:val="4"/>
                <w:szCs w:val="4"/>
              </w:rPr>
            </w:pPr>
            <w:r>
              <w:rPr>
                <w:sz w:val="4"/>
                <w:szCs w:val="4"/>
              </w:rPr>
            </w:r>
          </w:p>
        </w:tc>
      </w:tr>
      <w:tr>
        <w:trPr/>
        <w:tc>
          <w:tcPr>
            <w:tcW w:w="1457" w:type="dxa"/>
            <w:gridSpan w:val="3"/>
            <w:tcBorders/>
            <w:vAlign w:val="center"/>
          </w:tcPr>
          <w:p>
            <w:pPr>
              <w:pStyle w:val="TableContents"/>
              <w:bidi w:val="0"/>
              <w:spacing w:before="0" w:after="283"/>
              <w:jc w:val="left"/>
              <w:rPr>
                <w:sz w:val="4"/>
                <w:szCs w:val="4"/>
              </w:rPr>
            </w:pPr>
            <w:r>
              <w:rPr>
                <w:sz w:val="4"/>
                <w:szCs w:val="4"/>
              </w:rPr>
            </w:r>
          </w:p>
        </w:tc>
        <w:tc>
          <w:tcPr>
            <w:tcW w:w="1656" w:type="dxa"/>
            <w:gridSpan w:val="3"/>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542" w:type="dxa"/>
            <w:tcBorders/>
            <w:vAlign w:val="center"/>
          </w:tcPr>
          <w:p>
            <w:pPr>
              <w:pStyle w:val="TableContents"/>
              <w:bidi w:val="0"/>
              <w:spacing w:before="0" w:after="283"/>
              <w:jc w:val="left"/>
              <w:rPr>
                <w:sz w:val="4"/>
                <w:szCs w:val="4"/>
              </w:rPr>
            </w:pPr>
            <w:r>
              <w:rPr>
                <w:sz w:val="4"/>
                <w:szCs w:val="4"/>
              </w:rPr>
            </w:r>
          </w:p>
        </w:tc>
        <w:tc>
          <w:tcPr>
            <w:tcW w:w="1768" w:type="dxa"/>
            <w:tcBorders/>
            <w:vAlign w:val="center"/>
          </w:tcPr>
          <w:p>
            <w:pPr>
              <w:pStyle w:val="TableContents"/>
              <w:bidi w:val="0"/>
              <w:spacing w:before="0" w:after="283"/>
              <w:jc w:val="left"/>
              <w:rPr>
                <w:sz w:val="4"/>
                <w:szCs w:val="4"/>
              </w:rPr>
            </w:pPr>
            <w:r>
              <w:rPr>
                <w:sz w:val="4"/>
                <w:szCs w:val="4"/>
              </w:rPr>
            </w:r>
          </w:p>
        </w:tc>
        <w:tc>
          <w:tcPr>
            <w:tcW w:w="703" w:type="dxa"/>
            <w:gridSpan w:val="3"/>
            <w:tcBorders/>
            <w:vAlign w:val="center"/>
          </w:tcPr>
          <w:p>
            <w:pPr>
              <w:pStyle w:val="TableContents"/>
              <w:bidi w:val="0"/>
              <w:spacing w:before="0" w:after="283"/>
              <w:jc w:val="left"/>
              <w:rPr>
                <w:sz w:val="4"/>
                <w:szCs w:val="4"/>
              </w:rPr>
            </w:pPr>
            <w:r>
              <w:rPr>
                <w:sz w:val="4"/>
                <w:szCs w:val="4"/>
              </w:rPr>
            </w:r>
          </w:p>
        </w:tc>
        <w:tc>
          <w:tcPr>
            <w:tcW w:w="16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5" w:type="dxa"/>
            <w:gridSpan w:val="3"/>
            <w:tcBorders/>
            <w:vAlign w:val="center"/>
          </w:tcPr>
          <w:p>
            <w:pPr>
              <w:pStyle w:val="TableContents"/>
              <w:bidi w:val="0"/>
              <w:spacing w:before="0" w:after="283"/>
              <w:jc w:val="left"/>
              <w:rPr>
                <w:sz w:val="4"/>
                <w:szCs w:val="4"/>
              </w:rPr>
            </w:pPr>
            <w:r>
              <w:rPr>
                <w:sz w:val="4"/>
                <w:szCs w:val="4"/>
              </w:rPr>
            </w:r>
          </w:p>
        </w:tc>
      </w:tr>
      <w:tr>
        <w:trPr/>
        <w:tc>
          <w:tcPr>
            <w:tcW w:w="1457" w:type="dxa"/>
            <w:gridSpan w:val="3"/>
            <w:tcBorders/>
            <w:vAlign w:val="center"/>
          </w:tcPr>
          <w:p>
            <w:pPr>
              <w:pStyle w:val="TableContents"/>
              <w:bidi w:val="0"/>
              <w:spacing w:before="0" w:after="283"/>
              <w:jc w:val="left"/>
              <w:rPr>
                <w:sz w:val="4"/>
                <w:szCs w:val="4"/>
              </w:rPr>
            </w:pPr>
            <w:r>
              <w:rPr>
                <w:sz w:val="4"/>
                <w:szCs w:val="4"/>
              </w:rPr>
            </w:r>
          </w:p>
        </w:tc>
        <w:tc>
          <w:tcPr>
            <w:tcW w:w="1656" w:type="dxa"/>
            <w:gridSpan w:val="3"/>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542" w:type="dxa"/>
            <w:tcBorders/>
            <w:vAlign w:val="center"/>
          </w:tcPr>
          <w:p>
            <w:pPr>
              <w:pStyle w:val="TableContents"/>
              <w:bidi w:val="0"/>
              <w:spacing w:before="0" w:after="283"/>
              <w:jc w:val="left"/>
              <w:rPr>
                <w:sz w:val="4"/>
                <w:szCs w:val="4"/>
              </w:rPr>
            </w:pPr>
            <w:r>
              <w:rPr>
                <w:sz w:val="4"/>
                <w:szCs w:val="4"/>
              </w:rPr>
            </w:r>
          </w:p>
        </w:tc>
        <w:tc>
          <w:tcPr>
            <w:tcW w:w="1768" w:type="dxa"/>
            <w:tcBorders/>
            <w:vAlign w:val="center"/>
          </w:tcPr>
          <w:p>
            <w:pPr>
              <w:pStyle w:val="TableContents"/>
              <w:bidi w:val="0"/>
              <w:spacing w:before="0" w:after="283"/>
              <w:jc w:val="left"/>
              <w:rPr>
                <w:sz w:val="4"/>
                <w:szCs w:val="4"/>
              </w:rPr>
            </w:pPr>
            <w:r>
              <w:rPr>
                <w:sz w:val="4"/>
                <w:szCs w:val="4"/>
              </w:rPr>
            </w:r>
          </w:p>
        </w:tc>
        <w:tc>
          <w:tcPr>
            <w:tcW w:w="703" w:type="dxa"/>
            <w:gridSpan w:val="3"/>
            <w:tcBorders/>
            <w:vAlign w:val="center"/>
          </w:tcPr>
          <w:p>
            <w:pPr>
              <w:pStyle w:val="TableContents"/>
              <w:bidi w:val="0"/>
              <w:spacing w:before="0" w:after="283"/>
              <w:jc w:val="left"/>
              <w:rPr>
                <w:sz w:val="4"/>
                <w:szCs w:val="4"/>
              </w:rPr>
            </w:pPr>
            <w:r>
              <w:rPr>
                <w:sz w:val="4"/>
                <w:szCs w:val="4"/>
              </w:rPr>
            </w:r>
          </w:p>
        </w:tc>
        <w:tc>
          <w:tcPr>
            <w:tcW w:w="16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5" w:type="dxa"/>
            <w:gridSpan w:val="3"/>
            <w:tcBorders/>
            <w:vAlign w:val="center"/>
          </w:tcPr>
          <w:p>
            <w:pPr>
              <w:pStyle w:val="TableContents"/>
              <w:bidi w:val="0"/>
              <w:spacing w:before="0" w:after="283"/>
              <w:jc w:val="left"/>
              <w:rPr>
                <w:sz w:val="4"/>
                <w:szCs w:val="4"/>
              </w:rPr>
            </w:pPr>
            <w:r>
              <w:rPr>
                <w:sz w:val="4"/>
                <w:szCs w:val="4"/>
              </w:rPr>
            </w:r>
          </w:p>
        </w:tc>
      </w:tr>
      <w:tr>
        <w:trPr/>
        <w:tc>
          <w:tcPr>
            <w:tcW w:w="1457" w:type="dxa"/>
            <w:gridSpan w:val="3"/>
            <w:tcBorders/>
            <w:vAlign w:val="center"/>
          </w:tcPr>
          <w:p>
            <w:pPr>
              <w:pStyle w:val="TableContents"/>
              <w:bidi w:val="0"/>
              <w:spacing w:before="0" w:after="283"/>
              <w:jc w:val="left"/>
              <w:rPr>
                <w:sz w:val="4"/>
                <w:szCs w:val="4"/>
              </w:rPr>
            </w:pPr>
            <w:r>
              <w:rPr>
                <w:sz w:val="4"/>
                <w:szCs w:val="4"/>
              </w:rPr>
            </w:r>
          </w:p>
        </w:tc>
        <w:tc>
          <w:tcPr>
            <w:tcW w:w="1656" w:type="dxa"/>
            <w:gridSpan w:val="3"/>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542" w:type="dxa"/>
            <w:tcBorders/>
            <w:vAlign w:val="center"/>
          </w:tcPr>
          <w:p>
            <w:pPr>
              <w:pStyle w:val="TableContents"/>
              <w:bidi w:val="0"/>
              <w:spacing w:before="0" w:after="283"/>
              <w:jc w:val="left"/>
              <w:rPr>
                <w:sz w:val="4"/>
                <w:szCs w:val="4"/>
              </w:rPr>
            </w:pPr>
            <w:r>
              <w:rPr>
                <w:sz w:val="4"/>
                <w:szCs w:val="4"/>
              </w:rPr>
            </w:r>
          </w:p>
        </w:tc>
        <w:tc>
          <w:tcPr>
            <w:tcW w:w="1768" w:type="dxa"/>
            <w:tcBorders/>
            <w:vAlign w:val="center"/>
          </w:tcPr>
          <w:p>
            <w:pPr>
              <w:pStyle w:val="TableContents"/>
              <w:bidi w:val="0"/>
              <w:spacing w:before="0" w:after="283"/>
              <w:jc w:val="left"/>
              <w:rPr>
                <w:sz w:val="4"/>
                <w:szCs w:val="4"/>
              </w:rPr>
            </w:pPr>
            <w:r>
              <w:rPr>
                <w:sz w:val="4"/>
                <w:szCs w:val="4"/>
              </w:rPr>
            </w:r>
          </w:p>
        </w:tc>
        <w:tc>
          <w:tcPr>
            <w:tcW w:w="703" w:type="dxa"/>
            <w:gridSpan w:val="3"/>
            <w:tcBorders/>
            <w:vAlign w:val="center"/>
          </w:tcPr>
          <w:p>
            <w:pPr>
              <w:pStyle w:val="TableContents"/>
              <w:bidi w:val="0"/>
              <w:spacing w:before="0" w:after="283"/>
              <w:jc w:val="left"/>
              <w:rPr>
                <w:sz w:val="4"/>
                <w:szCs w:val="4"/>
              </w:rPr>
            </w:pPr>
            <w:r>
              <w:rPr>
                <w:sz w:val="4"/>
                <w:szCs w:val="4"/>
              </w:rPr>
            </w:r>
          </w:p>
        </w:tc>
        <w:tc>
          <w:tcPr>
            <w:tcW w:w="16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5" w:type="dxa"/>
            <w:gridSpan w:val="3"/>
            <w:tcBorders/>
            <w:vAlign w:val="center"/>
          </w:tcPr>
          <w:p>
            <w:pPr>
              <w:pStyle w:val="TableContents"/>
              <w:bidi w:val="0"/>
              <w:spacing w:before="0" w:after="283"/>
              <w:jc w:val="left"/>
              <w:rPr>
                <w:sz w:val="4"/>
                <w:szCs w:val="4"/>
              </w:rPr>
            </w:pPr>
            <w:r>
              <w:rPr>
                <w:sz w:val="4"/>
                <w:szCs w:val="4"/>
              </w:rPr>
            </w:r>
          </w:p>
        </w:tc>
      </w:tr>
      <w:tr>
        <w:trPr/>
        <w:tc>
          <w:tcPr>
            <w:tcW w:w="1457" w:type="dxa"/>
            <w:gridSpan w:val="3"/>
            <w:tcBorders/>
            <w:vAlign w:val="center"/>
          </w:tcPr>
          <w:p>
            <w:pPr>
              <w:pStyle w:val="TableContents"/>
              <w:bidi w:val="0"/>
              <w:spacing w:before="0" w:after="283"/>
              <w:jc w:val="left"/>
              <w:rPr>
                <w:sz w:val="4"/>
                <w:szCs w:val="4"/>
              </w:rPr>
            </w:pPr>
            <w:r>
              <w:rPr>
                <w:sz w:val="4"/>
                <w:szCs w:val="4"/>
              </w:rPr>
            </w:r>
          </w:p>
        </w:tc>
        <w:tc>
          <w:tcPr>
            <w:tcW w:w="1656" w:type="dxa"/>
            <w:gridSpan w:val="3"/>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542" w:type="dxa"/>
            <w:tcBorders/>
            <w:vAlign w:val="center"/>
          </w:tcPr>
          <w:p>
            <w:pPr>
              <w:pStyle w:val="TableContents"/>
              <w:bidi w:val="0"/>
              <w:spacing w:before="0" w:after="283"/>
              <w:jc w:val="left"/>
              <w:rPr>
                <w:sz w:val="4"/>
                <w:szCs w:val="4"/>
              </w:rPr>
            </w:pPr>
            <w:r>
              <w:rPr>
                <w:sz w:val="4"/>
                <w:szCs w:val="4"/>
              </w:rPr>
            </w:r>
          </w:p>
        </w:tc>
        <w:tc>
          <w:tcPr>
            <w:tcW w:w="1768" w:type="dxa"/>
            <w:tcBorders/>
            <w:vAlign w:val="center"/>
          </w:tcPr>
          <w:p>
            <w:pPr>
              <w:pStyle w:val="TableContents"/>
              <w:bidi w:val="0"/>
              <w:spacing w:before="0" w:after="283"/>
              <w:jc w:val="left"/>
              <w:rPr>
                <w:sz w:val="4"/>
                <w:szCs w:val="4"/>
              </w:rPr>
            </w:pPr>
            <w:r>
              <w:rPr>
                <w:sz w:val="4"/>
                <w:szCs w:val="4"/>
              </w:rPr>
            </w:r>
          </w:p>
        </w:tc>
        <w:tc>
          <w:tcPr>
            <w:tcW w:w="703" w:type="dxa"/>
            <w:gridSpan w:val="3"/>
            <w:tcBorders/>
            <w:vAlign w:val="center"/>
          </w:tcPr>
          <w:p>
            <w:pPr>
              <w:pStyle w:val="TableContents"/>
              <w:bidi w:val="0"/>
              <w:spacing w:before="0" w:after="283"/>
              <w:jc w:val="left"/>
              <w:rPr>
                <w:sz w:val="4"/>
                <w:szCs w:val="4"/>
              </w:rPr>
            </w:pPr>
            <w:r>
              <w:rPr>
                <w:sz w:val="4"/>
                <w:szCs w:val="4"/>
              </w:rPr>
            </w:r>
          </w:p>
        </w:tc>
        <w:tc>
          <w:tcPr>
            <w:tcW w:w="16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5"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jc w:val="both"/>
        <w:rPr/>
      </w:pPr>
      <w:bookmarkStart w:id="115" w:name="i1fa47b30616147ddbf4d9062c7a03e31"/>
      <w:bookmarkEnd w:id="115"/>
      <w:r>
        <w:rPr>
          <w:rFonts w:ascii="Adelle Sans Light;sans-serif" w:hAnsi="Adelle Sans Light;sans-serif"/>
          <w:b w:val="false"/>
          <w:color w:val="000000"/>
          <w:sz w:val="10"/>
        </w:rPr>
        <w:t xml:space="preserve">(1) </w:t>
      </w:r>
      <w:r>
        <w:rPr>
          <w:rFonts w:ascii="Adelle Sans Light;sans-serif" w:hAnsi="Adelle Sans Light;sans-serif"/>
          <w:b w:val="false"/>
          <w:color w:val="000000"/>
          <w:sz w:val="16"/>
        </w:rPr>
        <w:t>Represents the increase or decrease in GAAP amounts reported resulting from using the comparative period's effective foreign exchange rates. The exchange rate effect is primarily driven by fluctuations in EUR, AUD, GBP, and CAD foreign exchange rates.</w:t>
      </w:r>
    </w:p>
    <w:p>
      <w:pPr>
        <w:pStyle w:val="TextBody"/>
        <w:bidi w:val="0"/>
        <w:spacing w:lineRule="auto" w:line="288" w:before="0" w:after="160"/>
        <w:jc w:val="both"/>
        <w:rPr/>
      </w:pPr>
      <w:bookmarkStart w:id="116" w:name="i231f883faafb4c678f1c506bc657512d"/>
      <w:bookmarkEnd w:id="116"/>
      <w:r>
        <w:rPr>
          <w:rFonts w:ascii="Adelle Sans Light;sans-serif" w:hAnsi="Adelle Sans Light;sans-serif"/>
          <w:b w:val="false"/>
          <w:color w:val="000000"/>
          <w:sz w:val="10"/>
        </w:rPr>
        <w:t xml:space="preserve">(2) </w:t>
      </w:r>
      <w:r>
        <w:rPr>
          <w:rFonts w:ascii="Adelle Sans Light;sans-serif" w:hAnsi="Adelle Sans Light;sans-serif"/>
          <w:b w:val="false"/>
          <w:color w:val="000000"/>
          <w:sz w:val="16"/>
        </w:rPr>
        <w:t>Represents the outcome that would have resulted if the comparative period's effective foreign exchange rates are applied to the current reporting period.</w:t>
      </w:r>
    </w:p>
    <w:p>
      <w:pPr>
        <w:pStyle w:val="TextBody"/>
        <w:bidi w:val="0"/>
        <w:spacing w:lineRule="auto" w:line="288" w:before="0" w:after="200"/>
        <w:jc w:val="both"/>
        <w:rPr>
          <w:rFonts w:ascii="Adelle Sans Light;sans-serif" w:hAnsi="Adelle Sans Light;sans-serif"/>
          <w:b w:val="false"/>
          <w:color w:val="000000"/>
          <w:sz w:val="20"/>
        </w:rPr>
      </w:pPr>
      <w:r>
        <w:rPr>
          <w:rFonts w:ascii="Adelle Sans Light;sans-serif" w:hAnsi="Adelle Sans Light;sans-serif"/>
          <w:b w:val="false"/>
          <w:color w:val="000000"/>
          <w:sz w:val="20"/>
        </w:rPr>
        <w:t>This effect of foreign exchange rates on our condensed consolidated statements of operations and comprehensive income disclosure is a supplement to our condensed consolidated financial statements, which are prepared and presented in accordance with U.S. GAAP. We have provided the above non-GAAP disclosure as we believe it presents a clear comparison of our period to period operating results by removing the impact of fluctuations in foreign exchange rates and to assist investors in understanding our financial and operating performance. Non-GAAP financial measures are not recognized measures for financial statement presentation under U.S. GAAP, do not have standardized meanings and may not be comparable to similar measures presented by other public companies. Such non-GAAP financial measures should be considered as a supplement to, and not as a substitute for, or superior to, the corresponding measures calculated in accordance with U.S. GAAP.</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7955"/>
                <wp:effectExtent l="0" t="0" r="0" b="0"/>
                <wp:wrapNone/>
                <wp:docPr id="43" name="Frame42"/>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200"/>
                              <w:jc w:val="center"/>
                              <w:rPr>
                                <w:rFonts w:ascii="Adelle Sans Light;sans-serif" w:hAnsi="Adelle Sans Light;sans-serif"/>
                                <w:b w:val="false"/>
                                <w:color w:val="000000"/>
                                <w:sz w:val="20"/>
                              </w:rPr>
                            </w:pPr>
                            <w:r>
                              <w:rPr>
                                <w:rFonts w:ascii="Adelle Sans Light;sans-serif" w:hAnsi="Adelle Sans Light;sans-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Adelle Sans Light;sans-serif" w:hAnsi="Adelle Sans Light;sans-serif"/>
                          <w:b w:val="false"/>
                          <w:color w:val="000000"/>
                          <w:sz w:val="20"/>
                        </w:rPr>
                      </w:pPr>
                      <w:r>
                        <w:rPr>
                          <w:rFonts w:ascii="Adelle Sans Light;sans-serif" w:hAnsi="Adelle Sans Light;sans-serif"/>
                          <w:b w:val="false"/>
                          <w:color w:val="000000"/>
                          <w:sz w:val="20"/>
                        </w:rPr>
                        <w:t>42</w:t>
                      </w:r>
                    </w:p>
                  </w:txbxContent>
                </v:textbox>
                <w10:wrap type="none"/>
              </v:rect>
            </w:pict>
          </mc:Fallback>
        </mc:AlternateContent>
      </w:r>
    </w:p>
    <w:p>
      <w:pPr>
        <w:pStyle w:val="TextBody"/>
        <w:bidi w:val="0"/>
        <w:spacing w:lineRule="auto" w:line="288" w:before="0" w:after="200"/>
        <w:jc w:val="both"/>
        <w:rPr/>
      </w:pPr>
      <w:hyperlink w:anchor="iccccf23fa31e44f0aa82c99ca0859db8_7">
        <w:r>
          <w:rPr>
            <w:rStyle w:val="InternetLink"/>
            <w:rFonts w:ascii="Adelle Sans Light;sans-serif" w:hAnsi="Adelle Sans Light;sans-serif"/>
            <w:b w:val="false"/>
            <w:color w:val="0000FF"/>
            <w:sz w:val="20"/>
            <w:u w:val="single"/>
          </w:rPr>
          <w:t>Table of Contents</w:t>
        </w:r>
      </w:hyperlink>
    </w:p>
    <w:p>
      <w:pPr>
        <w:pStyle w:val="TextBody"/>
        <w:bidi w:val="0"/>
        <w:spacing w:lineRule="auto" w:line="288" w:before="0" w:after="200"/>
        <w:jc w:val="both"/>
        <w:rPr>
          <w:rFonts w:ascii="Adelle Sans Light;sans-serif" w:hAnsi="Adelle Sans Light;sans-serif"/>
          <w:b w:val="false"/>
          <w:color w:val="000000"/>
          <w:sz w:val="20"/>
        </w:rPr>
      </w:pPr>
      <w:r>
        <w:rPr>
          <w:rFonts w:ascii="Adelle Sans Light;sans-serif" w:hAnsi="Adelle Sans Light;sans-serif"/>
          <w:b w:val="false"/>
          <w:color w:val="000000"/>
          <w:sz w:val="20"/>
        </w:rPr>
        <w:t>The following table summarizes the effects on revenues, cost of revenues, operating expenses and income from operations of a 10% strengthening of all foreign currencies the Company transacts in versus the USD without considering the impact of the Company's hedging activities and factoring in any potential changes in demand for the Company's solutions as a result of fluctuations in exchange rates:</w:t>
      </w:r>
    </w:p>
    <w:tbl>
      <w:tblPr>
        <w:tblW w:w="10205" w:type="dxa"/>
        <w:jc w:val="left"/>
        <w:tblInd w:w="0" w:type="dxa"/>
        <w:tblLayout w:type="fixed"/>
        <w:tblCellMar>
          <w:top w:w="28" w:type="dxa"/>
          <w:left w:w="28" w:type="dxa"/>
          <w:bottom w:w="28" w:type="dxa"/>
          <w:right w:w="28" w:type="dxa"/>
        </w:tblCellMar>
      </w:tblPr>
      <w:tblGrid>
        <w:gridCol w:w="515"/>
        <w:gridCol w:w="399"/>
        <w:gridCol w:w="402"/>
        <w:gridCol w:w="497"/>
        <w:gridCol w:w="480"/>
        <w:gridCol w:w="481"/>
        <w:gridCol w:w="474"/>
        <w:gridCol w:w="474"/>
        <w:gridCol w:w="475"/>
        <w:gridCol w:w="558"/>
        <w:gridCol w:w="375"/>
        <w:gridCol w:w="376"/>
        <w:gridCol w:w="114"/>
        <w:gridCol w:w="114"/>
        <w:gridCol w:w="114"/>
        <w:gridCol w:w="497"/>
        <w:gridCol w:w="480"/>
        <w:gridCol w:w="481"/>
        <w:gridCol w:w="474"/>
        <w:gridCol w:w="474"/>
        <w:gridCol w:w="475"/>
        <w:gridCol w:w="558"/>
        <w:gridCol w:w="375"/>
        <w:gridCol w:w="376"/>
        <w:gridCol w:w="167"/>
      </w:tblGrid>
      <w:tr>
        <w:trPr/>
        <w:tc>
          <w:tcPr>
            <w:tcW w:w="515"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13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2"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delle Sans;sans-serif" w:hAnsi="Adelle Sans;sans-serif"/>
                <w:b/>
                <w:color w:val="000000"/>
                <w:sz w:val="18"/>
              </w:rPr>
            </w:pPr>
            <w:r>
              <w:rPr>
                <w:rFonts w:ascii="Adelle Sans;sans-serif" w:hAnsi="Adelle Sans;sans-serif"/>
                <w:b/>
                <w:color w:val="000000"/>
                <w:sz w:val="18"/>
              </w:rPr>
              <w:t>Six months ended June 30,</w:t>
            </w:r>
          </w:p>
        </w:tc>
        <w:tc>
          <w:tcPr>
            <w:tcW w:w="167" w:type="dxa"/>
            <w:tcBorders/>
            <w:vAlign w:val="center"/>
          </w:tcPr>
          <w:p>
            <w:pPr>
              <w:pStyle w:val="TableContents"/>
              <w:bidi w:val="0"/>
              <w:spacing w:before="0" w:after="283"/>
              <w:jc w:val="left"/>
              <w:rPr>
                <w:sz w:val="4"/>
                <w:szCs w:val="4"/>
              </w:rPr>
            </w:pPr>
            <w:r>
              <w:rPr>
                <w:sz w:val="4"/>
                <w:szCs w:val="4"/>
              </w:rPr>
            </w:r>
          </w:p>
        </w:tc>
      </w:tr>
      <w:tr>
        <w:trPr/>
        <w:tc>
          <w:tcPr>
            <w:tcW w:w="13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0"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delle Sans;sans-serif" w:hAnsi="Adelle Sans;sans-serif"/>
                <w:b/>
                <w:color w:val="000000"/>
                <w:sz w:val="18"/>
              </w:rPr>
            </w:pPr>
            <w:r>
              <w:rPr>
                <w:rFonts w:ascii="Adelle Sans;sans-serif" w:hAnsi="Adelle Sans;sans-serif"/>
                <w:b/>
                <w:color w:val="000000"/>
                <w:sz w:val="18"/>
              </w:rPr>
              <w:t>2026</w:t>
            </w:r>
          </w:p>
        </w:tc>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0"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delle Sans;sans-serif" w:hAnsi="Adelle Sans;sans-serif"/>
                <w:b/>
                <w:color w:val="000000"/>
                <w:sz w:val="18"/>
              </w:rPr>
            </w:pPr>
            <w:r>
              <w:rPr>
                <w:rFonts w:ascii="Adelle Sans;sans-serif" w:hAnsi="Adelle Sans;sans-serif"/>
                <w:b/>
                <w:color w:val="000000"/>
                <w:sz w:val="18"/>
              </w:rPr>
              <w:t>2025</w:t>
            </w:r>
          </w:p>
        </w:tc>
        <w:tc>
          <w:tcPr>
            <w:tcW w:w="167" w:type="dxa"/>
            <w:tcBorders/>
            <w:vAlign w:val="center"/>
          </w:tcPr>
          <w:p>
            <w:pPr>
              <w:pStyle w:val="TableContents"/>
              <w:bidi w:val="0"/>
              <w:spacing w:before="0" w:after="283"/>
              <w:jc w:val="left"/>
              <w:rPr>
                <w:sz w:val="4"/>
                <w:szCs w:val="4"/>
              </w:rPr>
            </w:pPr>
            <w:r>
              <w:rPr>
                <w:sz w:val="4"/>
                <w:szCs w:val="4"/>
              </w:rPr>
            </w:r>
          </w:p>
        </w:tc>
      </w:tr>
      <w:tr>
        <w:trPr/>
        <w:tc>
          <w:tcPr>
            <w:tcW w:w="13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Adelle Sans;sans-serif" w:hAnsi="Adelle Sans;sans-serif"/>
                <w:b/>
                <w:color w:val="000000"/>
                <w:sz w:val="18"/>
              </w:rPr>
            </w:pPr>
            <w:r>
              <w:rPr>
                <w:rFonts w:ascii="Adelle Sans;sans-serif" w:hAnsi="Adelle Sans;sans-serif"/>
                <w:b/>
                <w:color w:val="000000"/>
                <w:sz w:val="18"/>
              </w:rPr>
              <w:t>GAAP Amounts As Reported</w:t>
            </w:r>
          </w:p>
        </w:tc>
        <w:tc>
          <w:tcPr>
            <w:tcW w:w="1423"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0"/>
              <w:jc w:val="center"/>
              <w:rPr/>
            </w:pPr>
            <w:r>
              <w:rPr>
                <w:rFonts w:ascii="Adelle Sans;sans-serif" w:hAnsi="Adelle Sans;sans-serif"/>
                <w:b/>
                <w:color w:val="000000"/>
                <w:sz w:val="18"/>
              </w:rPr>
              <w:t>Exchange Rate Effect</w:t>
            </w:r>
            <w:r>
              <w:rPr>
                <w:rFonts w:ascii="Adelle Sans;sans-serif" w:hAnsi="Adelle Sans;sans-serif"/>
                <w:b/>
                <w:color w:val="000000"/>
                <w:sz w:val="12"/>
              </w:rPr>
              <w:t>(1)(2)</w:t>
            </w:r>
          </w:p>
        </w:tc>
        <w:tc>
          <w:tcPr>
            <w:tcW w:w="1309"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0"/>
              <w:jc w:val="center"/>
              <w:rPr/>
            </w:pPr>
            <w:r>
              <w:rPr>
                <w:rFonts w:ascii="Adelle Sans;sans-serif" w:hAnsi="Adelle Sans;sans-serif"/>
                <w:b/>
                <w:color w:val="000000"/>
                <w:sz w:val="18"/>
              </w:rPr>
              <w:t>At 10% Stronger Rates</w:t>
            </w:r>
            <w:r>
              <w:rPr>
                <w:rFonts w:ascii="Adelle Sans;sans-serif" w:hAnsi="Adelle Sans;sans-serif"/>
                <w:b/>
                <w:color w:val="000000"/>
                <w:sz w:val="12"/>
              </w:rPr>
              <w:t>(3)</w:t>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Adelle Sans;sans-serif" w:hAnsi="Adelle Sans;sans-serif"/>
                <w:b/>
                <w:color w:val="000000"/>
                <w:sz w:val="18"/>
              </w:rPr>
            </w:pPr>
            <w:r>
              <w:rPr>
                <w:rFonts w:ascii="Adelle Sans;sans-serif" w:hAnsi="Adelle Sans;sans-serif"/>
                <w:b/>
                <w:color w:val="000000"/>
                <w:sz w:val="18"/>
              </w:rPr>
              <w:t>GAAP Amounts As Reported</w:t>
            </w:r>
          </w:p>
        </w:tc>
        <w:tc>
          <w:tcPr>
            <w:tcW w:w="1423"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0"/>
              <w:jc w:val="center"/>
              <w:rPr/>
            </w:pPr>
            <w:r>
              <w:rPr>
                <w:rFonts w:ascii="Adelle Sans;sans-serif" w:hAnsi="Adelle Sans;sans-serif"/>
                <w:b/>
                <w:color w:val="000000"/>
                <w:sz w:val="18"/>
              </w:rPr>
              <w:t>Exchange Rate Effect</w:t>
            </w:r>
            <w:r>
              <w:rPr>
                <w:rFonts w:ascii="Adelle Sans;sans-serif" w:hAnsi="Adelle Sans;sans-serif"/>
                <w:b/>
                <w:color w:val="000000"/>
                <w:sz w:val="12"/>
              </w:rPr>
              <w:t>(1)(2)</w:t>
            </w:r>
          </w:p>
        </w:tc>
        <w:tc>
          <w:tcPr>
            <w:tcW w:w="1309"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0"/>
              <w:jc w:val="center"/>
              <w:rPr/>
            </w:pPr>
            <w:r>
              <w:rPr>
                <w:rFonts w:ascii="Adelle Sans;sans-serif" w:hAnsi="Adelle Sans;sans-serif"/>
                <w:b/>
                <w:color w:val="000000"/>
                <w:sz w:val="18"/>
              </w:rPr>
              <w:t>At 10% Stronger Rates</w:t>
            </w:r>
            <w:r>
              <w:rPr>
                <w:rFonts w:ascii="Adelle Sans;sans-serif" w:hAnsi="Adelle Sans;sans-serif"/>
                <w:b/>
                <w:color w:val="000000"/>
                <w:sz w:val="12"/>
              </w:rPr>
              <w:t>(3)</w:t>
            </w:r>
          </w:p>
        </w:tc>
        <w:tc>
          <w:tcPr>
            <w:tcW w:w="167" w:type="dxa"/>
            <w:tcBorders/>
            <w:vAlign w:val="center"/>
          </w:tcPr>
          <w:p>
            <w:pPr>
              <w:pStyle w:val="TableContents"/>
              <w:bidi w:val="0"/>
              <w:spacing w:before="0" w:after="283"/>
              <w:jc w:val="left"/>
              <w:rPr>
                <w:sz w:val="4"/>
                <w:szCs w:val="4"/>
              </w:rPr>
            </w:pPr>
            <w:r>
              <w:rPr>
                <w:sz w:val="4"/>
                <w:szCs w:val="4"/>
              </w:rPr>
            </w:r>
          </w:p>
        </w:tc>
      </w:tr>
      <w:tr>
        <w:trPr/>
        <w:tc>
          <w:tcPr>
            <w:tcW w:w="131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2" w:type="dxa"/>
            <w:gridSpan w:val="21"/>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delle Sans;sans-serif" w:hAnsi="Adelle Sans;sans-serif"/>
                <w:b w:val="false"/>
                <w:color w:val="000000"/>
                <w:sz w:val="18"/>
              </w:rPr>
            </w:pPr>
            <w:r>
              <w:rPr>
                <w:rFonts w:ascii="Adelle Sans;sans-serif" w:hAnsi="Adelle Sans;sans-serif"/>
                <w:b w:val="false"/>
                <w:color w:val="000000"/>
                <w:sz w:val="18"/>
              </w:rPr>
              <w:t>(in US $ millions)</w:t>
            </w:r>
          </w:p>
        </w:tc>
        <w:tc>
          <w:tcPr>
            <w:tcW w:w="167" w:type="dxa"/>
            <w:tcBorders/>
          </w:tcPr>
          <w:p>
            <w:pPr>
              <w:pStyle w:val="TableContents"/>
              <w:bidi w:val="0"/>
              <w:spacing w:before="0" w:after="283"/>
              <w:jc w:val="left"/>
              <w:rPr>
                <w:sz w:val="4"/>
                <w:szCs w:val="4"/>
              </w:rPr>
            </w:pPr>
            <w:r>
              <w:rPr>
                <w:sz w:val="4"/>
                <w:szCs w:val="4"/>
              </w:rPr>
            </w:r>
          </w:p>
        </w:tc>
      </w:tr>
      <w:tr>
        <w:trPr/>
        <w:tc>
          <w:tcPr>
            <w:tcW w:w="1316" w:type="dxa"/>
            <w:gridSpan w:val="3"/>
            <w:tcBorders/>
            <w:shd w:fill="F7F7F7" w:val="clear"/>
            <w:tcMar>
              <w:top w:w="0" w:type="dxa"/>
              <w:left w:w="0" w:type="dxa"/>
              <w:bottom w:w="0" w:type="dxa"/>
              <w:right w:w="0" w:type="dxa"/>
            </w:tcMar>
            <w:vAlign w:val="center"/>
          </w:tcPr>
          <w:p>
            <w:pPr>
              <w:pStyle w:val="TableContents"/>
              <w:bidi w:val="0"/>
              <w:spacing w:lineRule="auto" w:line="240" w:before="0" w:after="283"/>
              <w:jc w:val="left"/>
              <w:rPr>
                <w:rFonts w:ascii="Adelle Sans;sans-serif" w:hAnsi="Adelle Sans;sans-serif"/>
                <w:b w:val="false"/>
                <w:color w:val="000000"/>
                <w:sz w:val="18"/>
              </w:rPr>
            </w:pPr>
            <w:r>
              <w:rPr>
                <w:rFonts w:ascii="Adelle Sans;sans-serif" w:hAnsi="Adelle Sans;sans-serif"/>
                <w:b w:val="false"/>
                <w:color w:val="000000"/>
                <w:sz w:val="18"/>
              </w:rPr>
              <w:t>Revenues</w:t>
            </w:r>
          </w:p>
        </w:tc>
        <w:tc>
          <w:tcPr>
            <w:tcW w:w="977" w:type="dxa"/>
            <w:gridSpan w:val="2"/>
            <w:tcBorders/>
            <w:shd w:fill="F7F7F7"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6,753 </w:t>
            </w:r>
          </w:p>
        </w:tc>
        <w:tc>
          <w:tcPr>
            <w:tcW w:w="481" w:type="dxa"/>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shd w:fill="F7F7F7"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163 </w:t>
            </w:r>
          </w:p>
        </w:tc>
        <w:tc>
          <w:tcPr>
            <w:tcW w:w="475" w:type="dxa"/>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F7F7F7"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6,916 </w:t>
            </w:r>
          </w:p>
        </w:tc>
        <w:tc>
          <w:tcPr>
            <w:tcW w:w="376" w:type="dxa"/>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7F7F7"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5,040 </w:t>
            </w:r>
          </w:p>
        </w:tc>
        <w:tc>
          <w:tcPr>
            <w:tcW w:w="481" w:type="dxa"/>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shd w:fill="F7F7F7"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113 </w:t>
            </w:r>
          </w:p>
        </w:tc>
        <w:tc>
          <w:tcPr>
            <w:tcW w:w="475" w:type="dxa"/>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F7F7F7"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5,153 </w:t>
            </w:r>
          </w:p>
        </w:tc>
        <w:tc>
          <w:tcPr>
            <w:tcW w:w="376" w:type="dxa"/>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13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delle Sans;sans-serif" w:hAnsi="Adelle Sans;sans-serif"/>
                <w:b w:val="false"/>
                <w:color w:val="000000"/>
                <w:sz w:val="18"/>
              </w:rPr>
            </w:pPr>
            <w:r>
              <w:rPr>
                <w:rFonts w:ascii="Adelle Sans;sans-serif" w:hAnsi="Adelle Sans;sans-serif"/>
                <w:b w:val="false"/>
                <w:color w:val="000000"/>
                <w:sz w:val="18"/>
              </w:rPr>
              <w:t>Cost of revenues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(3,499)</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(72)</w:t>
            </w:r>
          </w:p>
        </w:tc>
        <w:tc>
          <w:tcPr>
            <w:tcW w:w="4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(3,571)</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(2,569)</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(52)</w:t>
            </w:r>
          </w:p>
        </w:tc>
        <w:tc>
          <w:tcPr>
            <w:tcW w:w="4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(2,621)</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1316" w:type="dxa"/>
            <w:gridSpan w:val="3"/>
            <w:tcBorders/>
            <w:shd w:fill="F7F7F7" w:val="clear"/>
            <w:tcMar>
              <w:top w:w="0" w:type="dxa"/>
              <w:left w:w="0" w:type="dxa"/>
              <w:bottom w:w="0" w:type="dxa"/>
              <w:right w:w="0" w:type="dxa"/>
            </w:tcMar>
            <w:vAlign w:val="center"/>
          </w:tcPr>
          <w:p>
            <w:pPr>
              <w:pStyle w:val="TableContents"/>
              <w:bidi w:val="0"/>
              <w:spacing w:lineRule="auto" w:line="240" w:before="0" w:after="283"/>
              <w:jc w:val="left"/>
              <w:rPr>
                <w:rFonts w:ascii="Adelle Sans;sans-serif" w:hAnsi="Adelle Sans;sans-serif"/>
                <w:b w:val="false"/>
                <w:color w:val="000000"/>
                <w:sz w:val="18"/>
              </w:rPr>
            </w:pPr>
            <w:r>
              <w:rPr>
                <w:rFonts w:ascii="Adelle Sans;sans-serif" w:hAnsi="Adelle Sans;sans-serif"/>
                <w:b w:val="false"/>
                <w:color w:val="000000"/>
                <w:sz w:val="18"/>
              </w:rPr>
              <w:t>Operating expenses</w:t>
            </w:r>
          </w:p>
        </w:tc>
        <w:tc>
          <w:tcPr>
            <w:tcW w:w="977" w:type="dxa"/>
            <w:gridSpan w:val="2"/>
            <w:tcBorders/>
            <w:shd w:fill="F7F7F7"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(2,384)</w:t>
            </w:r>
          </w:p>
        </w:tc>
        <w:tc>
          <w:tcPr>
            <w:tcW w:w="481" w:type="dxa"/>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shd w:fill="F7F7F7"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(58)</w:t>
            </w:r>
          </w:p>
        </w:tc>
        <w:tc>
          <w:tcPr>
            <w:tcW w:w="475" w:type="dxa"/>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F7F7F7"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(2,442)</w:t>
            </w:r>
          </w:p>
        </w:tc>
        <w:tc>
          <w:tcPr>
            <w:tcW w:w="376" w:type="dxa"/>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7F7F7"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(1,977)</w:t>
            </w:r>
          </w:p>
        </w:tc>
        <w:tc>
          <w:tcPr>
            <w:tcW w:w="481" w:type="dxa"/>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shd w:fill="F7F7F7"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(55)</w:t>
            </w:r>
          </w:p>
        </w:tc>
        <w:tc>
          <w:tcPr>
            <w:tcW w:w="475" w:type="dxa"/>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F7F7F7"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(2,032)</w:t>
            </w:r>
          </w:p>
        </w:tc>
        <w:tc>
          <w:tcPr>
            <w:tcW w:w="376" w:type="dxa"/>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13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delle Sans;sans-serif" w:hAnsi="Adelle Sans;sans-serif"/>
                <w:b w:val="false"/>
                <w:color w:val="000000"/>
                <w:sz w:val="18"/>
              </w:rPr>
            </w:pPr>
            <w:r>
              <w:rPr>
                <w:rFonts w:ascii="Adelle Sans;sans-serif" w:hAnsi="Adelle Sans;sans-serif"/>
                <w:b w:val="false"/>
                <w:color w:val="000000"/>
                <w:sz w:val="18"/>
              </w:rPr>
              <w:t>Income from operations</w:t>
            </w:r>
          </w:p>
        </w:tc>
        <w:tc>
          <w:tcPr>
            <w:tcW w:w="97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870 </w:t>
            </w:r>
          </w:p>
        </w:tc>
        <w:tc>
          <w:tcPr>
            <w:tcW w:w="48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33 </w:t>
            </w:r>
          </w:p>
        </w:tc>
        <w:tc>
          <w:tcPr>
            <w:tcW w:w="47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903 </w:t>
            </w:r>
          </w:p>
        </w:tc>
        <w:tc>
          <w:tcPr>
            <w:tcW w:w="37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494 </w:t>
            </w:r>
          </w:p>
        </w:tc>
        <w:tc>
          <w:tcPr>
            <w:tcW w:w="48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6 </w:t>
            </w:r>
          </w:p>
        </w:tc>
        <w:tc>
          <w:tcPr>
            <w:tcW w:w="47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500 </w:t>
            </w:r>
          </w:p>
        </w:tc>
        <w:tc>
          <w:tcPr>
            <w:tcW w:w="37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jc w:val="both"/>
        <w:rPr/>
      </w:pPr>
      <w:bookmarkStart w:id="117" w:name="i4528148e929f451987175476c663e2cf"/>
      <w:bookmarkEnd w:id="117"/>
      <w:r>
        <w:rPr>
          <w:rFonts w:ascii="Adelle Sans Light;sans-serif" w:hAnsi="Adelle Sans Light;sans-serif"/>
          <w:b w:val="false"/>
          <w:color w:val="000000"/>
          <w:sz w:val="10"/>
        </w:rPr>
        <w:t xml:space="preserve">(1) </w:t>
      </w:r>
      <w:r>
        <w:rPr>
          <w:rFonts w:ascii="Adelle Sans Light;sans-serif" w:hAnsi="Adelle Sans Light;sans-serif"/>
          <w:b w:val="false"/>
          <w:color w:val="000000"/>
          <w:sz w:val="16"/>
        </w:rPr>
        <w:t>A 10% weakening of the foreign currencies versus the USD would have an equal and opposite impact on the Company's revenues, cost of revenues, operating expenses and income (loss) from operations as presented in the table.</w:t>
      </w:r>
    </w:p>
    <w:p>
      <w:pPr>
        <w:pStyle w:val="TextBody"/>
        <w:bidi w:val="0"/>
        <w:spacing w:lineRule="auto" w:line="288" w:before="0" w:after="160"/>
        <w:jc w:val="both"/>
        <w:rPr/>
      </w:pPr>
      <w:bookmarkStart w:id="118" w:name="i45ff7986a8af4c9783108e5538df0576"/>
      <w:bookmarkEnd w:id="118"/>
      <w:r>
        <w:rPr>
          <w:rFonts w:ascii="Adelle Sans Light;sans-serif" w:hAnsi="Adelle Sans Light;sans-serif"/>
          <w:b w:val="false"/>
          <w:color w:val="000000"/>
          <w:sz w:val="10"/>
        </w:rPr>
        <w:t xml:space="preserve">(2) </w:t>
      </w:r>
      <w:r>
        <w:rPr>
          <w:rFonts w:ascii="Adelle Sans Light;sans-serif" w:hAnsi="Adelle Sans Light;sans-serif"/>
          <w:b w:val="false"/>
          <w:color w:val="000000"/>
          <w:sz w:val="16"/>
        </w:rPr>
        <w:t>Represents the increase or decrease in GAAP amounts reported resulting from a 10% strengthening in foreign exchange rates relative to the USD.</w:t>
      </w:r>
    </w:p>
    <w:p>
      <w:pPr>
        <w:pStyle w:val="TextBody"/>
        <w:bidi w:val="0"/>
        <w:spacing w:lineRule="auto" w:line="288" w:before="0" w:after="160"/>
        <w:jc w:val="both"/>
        <w:rPr/>
      </w:pPr>
      <w:bookmarkStart w:id="119" w:name="i57d9f78b7fc44f889d3ef535612adcda"/>
      <w:bookmarkEnd w:id="119"/>
      <w:r>
        <w:rPr>
          <w:rFonts w:ascii="Adelle Sans Light;sans-serif" w:hAnsi="Adelle Sans Light;sans-serif"/>
          <w:b w:val="false"/>
          <w:color w:val="000000"/>
          <w:sz w:val="10"/>
        </w:rPr>
        <w:t xml:space="preserve">(3) </w:t>
      </w:r>
      <w:r>
        <w:rPr>
          <w:rFonts w:ascii="Adelle Sans Light;sans-serif" w:hAnsi="Adelle Sans Light;sans-serif"/>
          <w:b w:val="false"/>
          <w:color w:val="000000"/>
          <w:sz w:val="16"/>
        </w:rPr>
        <w:t>Represents the outcome that would have resulted had the foreign exchange rates relative to the USD in those periods been 10% stronger than they actually were, excluding the impact of our hedging program and without factoring in any potential changes in demand for the Company's solutions as a result of changes in exchange rates.</w:t>
      </w:r>
    </w:p>
    <w:p>
      <w:pPr>
        <w:pStyle w:val="TextBody"/>
        <w:bidi w:val="0"/>
        <w:spacing w:lineRule="auto" w:line="288" w:before="0" w:after="200"/>
        <w:jc w:val="both"/>
        <w:rPr>
          <w:rFonts w:ascii="Adelle Sans;sans-serif" w:hAnsi="Adelle Sans;sans-serif"/>
          <w:b/>
          <w:i/>
          <w:color w:val="000000"/>
          <w:sz w:val="20"/>
        </w:rPr>
      </w:pPr>
      <w:bookmarkStart w:id="120" w:name="idd446fc834e349c8aaee05bc49399ba0"/>
      <w:bookmarkEnd w:id="120"/>
      <w:r>
        <w:rPr>
          <w:rFonts w:ascii="Adelle Sans;sans-serif" w:hAnsi="Adelle Sans;sans-serif"/>
          <w:b/>
          <w:i/>
          <w:color w:val="000000"/>
          <w:sz w:val="20"/>
        </w:rPr>
        <w:t>Equity and Other Investments Risk</w:t>
      </w:r>
    </w:p>
    <w:p>
      <w:pPr>
        <w:pStyle w:val="TextBody"/>
        <w:bidi w:val="0"/>
        <w:spacing w:lineRule="auto" w:line="288" w:before="0" w:after="200"/>
        <w:jc w:val="both"/>
        <w:rPr>
          <w:rFonts w:ascii="Adelle Sans Light;sans-serif" w:hAnsi="Adelle Sans Light;sans-serif"/>
          <w:b w:val="false"/>
          <w:color w:val="000000"/>
          <w:sz w:val="20"/>
        </w:rPr>
      </w:pPr>
      <w:r>
        <w:rPr>
          <w:rFonts w:ascii="Adelle Sans Light;sans-serif" w:hAnsi="Adelle Sans Light;sans-serif"/>
          <w:b w:val="false"/>
          <w:color w:val="000000"/>
          <w:sz w:val="20"/>
        </w:rPr>
        <w:t xml:space="preserve">We hold equity and other investments that are subject to market-related risks that could substantially reduce or increase the fair value of our holdings. As of June 30, 2026, we had equity and other investments in public and private companies and our equity method investment totaled $5.4 billion. Our equity and other investments with readily determinable fair values, representing $2.7 billion of our investments as of June 30, 2026, are recorded at fair value, which is subject to market price volatility. Our equity investments in private companies, representing $1.6 billion of our investments as of June 30, 2026, are recorded using the measurement alternative and are assessed each reporting period for observable price changes and impairments, which may involve estimates and judgments given the lack of readily available market data. Certain equity investments in private companies are in the early stages of development and are inherently risky due to their lack of operational history. Our equity method investment in Flexport, representing $559 million of our investments as of June 30, 2026, is subject to market-related risks based on our share of income or loss, including amortization of the basis difference, from this investment which may cause volatility to our earnings. Our debt investments in convertible notes of private companies are recorded at fair value representing $587 million of our investments as of June 30, 2026, which are impacted by the underlying entities' valuations and interest rates. Our investment option derivative to purchase Series B common shares in Klaviyo, representing $9 million of our investments as of June 30, 2026, is impacted by market price volatility and interest rates. </w:t>
      </w:r>
    </w:p>
    <w:p>
      <w:pPr>
        <w:pStyle w:val="TextBody"/>
        <w:bidi w:val="0"/>
        <w:spacing w:lineRule="auto" w:line="288" w:before="0" w:after="200"/>
        <w:jc w:val="both"/>
        <w:rPr>
          <w:rFonts w:ascii="Adelle Sans Light;sans-serif" w:hAnsi="Adelle Sans Light;sans-serif"/>
          <w:b w:val="false"/>
          <w:color w:val="000000"/>
          <w:sz w:val="20"/>
        </w:rPr>
      </w:pPr>
      <w:r>
        <w:rPr>
          <w:rFonts w:ascii="Adelle Sans Light;sans-serif" w:hAnsi="Adelle Sans Light;sans-serif"/>
          <w:b w:val="false"/>
          <w:color w:val="000000"/>
          <w:sz w:val="20"/>
        </w:rPr>
        <w:t xml:space="preserve">Our marketable securities greater than one year, and less than 3 years, representing $525 million of our investments as of June 30, 2026, are recorded at carrying value and any changes in the fair value due to the interest rate are not recorded until the investment is sold as they are classified as "held to maturity". </w:t>
      </w:r>
    </w:p>
    <w:p>
      <w:pPr>
        <w:pStyle w:val="TextBody"/>
        <w:bidi w:val="0"/>
        <w:spacing w:lineRule="auto" w:line="288" w:before="0" w:after="200"/>
        <w:jc w:val="both"/>
        <w:rPr>
          <w:rFonts w:ascii="Adelle Sans Light;sans-serif" w:hAnsi="Adelle Sans Light;sans-serif"/>
          <w:b w:val="false"/>
          <w:color w:val="000000"/>
          <w:sz w:val="20"/>
        </w:rPr>
      </w:pPr>
      <w:r>
        <w:rPr>
          <w:rFonts w:ascii="Adelle Sans Light;sans-serif" w:hAnsi="Adelle Sans Light;sans-serif"/>
          <w:b w:val="false"/>
          <w:color w:val="000000"/>
          <w:sz w:val="20"/>
        </w:rPr>
        <w:t>The results from these changes may fluctuate from period to period and may cause volatility to our earnings as well as impact comparability of our results from period to period.</w:t>
      </w:r>
    </w:p>
    <w:p>
      <w:pPr>
        <w:pStyle w:val="TextBody"/>
        <w:bidi w:val="0"/>
        <w:spacing w:lineRule="auto" w:line="288" w:before="0" w:after="200"/>
        <w:jc w:val="left"/>
        <w:rPr>
          <w:rFonts w:ascii="Adelle Sans;sans-serif" w:hAnsi="Adelle Sans;sans-serif"/>
          <w:b/>
          <w:i/>
          <w:color w:val="000000"/>
          <w:sz w:val="20"/>
        </w:rPr>
      </w:pPr>
      <w:bookmarkStart w:id="121" w:name="i46b1fdfb50264ae185d6bba64c1eeaa6"/>
      <w:bookmarkEnd w:id="121"/>
      <w:r>
        <w:rPr>
          <w:rFonts w:ascii="Adelle Sans;sans-serif" w:hAnsi="Adelle Sans;sans-serif"/>
          <w:b/>
          <w:i/>
          <w:color w:val="000000"/>
          <w:sz w:val="20"/>
        </w:rPr>
        <w:t>Interest Rate Risk</w:t>
      </w:r>
    </w:p>
    <w:p>
      <w:pPr>
        <w:pStyle w:val="TextBody"/>
        <w:bidi w:val="0"/>
        <w:spacing w:lineRule="auto" w:line="288" w:before="0" w:after="200"/>
        <w:jc w:val="both"/>
        <w:rPr>
          <w:rFonts w:ascii="Adelle Sans Light;sans-serif" w:hAnsi="Adelle Sans Light;sans-serif"/>
          <w:b w:val="false"/>
          <w:color w:val="000000"/>
          <w:sz w:val="20"/>
        </w:rPr>
      </w:pPr>
      <w:r>
        <w:rPr>
          <w:rFonts w:ascii="Adelle Sans Light;sans-serif" w:hAnsi="Adelle Sans Light;sans-serif"/>
          <w:b w:val="false"/>
          <w:color w:val="000000"/>
          <w:sz w:val="20"/>
        </w:rPr>
        <w:t xml:space="preserve">We had cash, cash equivalents and marketable securities in our cash management program totaling $4.9 billion as of June 30, 2026. The cash and cash equivalents are held for operations and working capital purposes. Our investments within cash, cash equivalents and marketable securities are made for capital preservation purposes. We do not enter into these types of investments for trading or speculative purposes.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7955"/>
                <wp:effectExtent l="0" t="0" r="0" b="0"/>
                <wp:wrapNone/>
                <wp:docPr id="44" name="Frame43"/>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200"/>
                              <w:jc w:val="center"/>
                              <w:rPr>
                                <w:rFonts w:ascii="Adelle Sans Light;sans-serif" w:hAnsi="Adelle Sans Light;sans-serif"/>
                                <w:b w:val="false"/>
                                <w:color w:val="000000"/>
                                <w:sz w:val="20"/>
                              </w:rPr>
                            </w:pPr>
                            <w:r>
                              <w:rPr>
                                <w:rFonts w:ascii="Adelle Sans Light;sans-serif" w:hAnsi="Adelle Sans Light;sans-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Adelle Sans Light;sans-serif" w:hAnsi="Adelle Sans Light;sans-serif"/>
                          <w:b w:val="false"/>
                          <w:color w:val="000000"/>
                          <w:sz w:val="20"/>
                        </w:rPr>
                      </w:pPr>
                      <w:r>
                        <w:rPr>
                          <w:rFonts w:ascii="Adelle Sans Light;sans-serif" w:hAnsi="Adelle Sans Light;sans-serif"/>
                          <w:b w:val="false"/>
                          <w:color w:val="000000"/>
                          <w:sz w:val="20"/>
                        </w:rPr>
                        <w:t>43</w:t>
                      </w:r>
                    </w:p>
                  </w:txbxContent>
                </v:textbox>
                <w10:wrap type="none"/>
              </v:rect>
            </w:pict>
          </mc:Fallback>
        </mc:AlternateContent>
      </w:r>
    </w:p>
    <w:p>
      <w:pPr>
        <w:pStyle w:val="TextBody"/>
        <w:bidi w:val="0"/>
        <w:spacing w:lineRule="auto" w:line="288" w:before="0" w:after="200"/>
        <w:jc w:val="both"/>
        <w:rPr/>
      </w:pPr>
      <w:hyperlink w:anchor="iccccf23fa31e44f0aa82c99ca0859db8_7">
        <w:r>
          <w:rPr>
            <w:rStyle w:val="InternetLink"/>
            <w:rFonts w:ascii="Adelle Sans Light;sans-serif" w:hAnsi="Adelle Sans Light;sans-serif"/>
            <w:b w:val="false"/>
            <w:color w:val="0000FF"/>
            <w:sz w:val="20"/>
            <w:u w:val="single"/>
          </w:rPr>
          <w:t>Table of Contents</w:t>
        </w:r>
      </w:hyperlink>
    </w:p>
    <w:p>
      <w:pPr>
        <w:pStyle w:val="TextBody"/>
        <w:bidi w:val="0"/>
        <w:spacing w:lineRule="auto" w:line="288" w:before="0" w:after="200"/>
        <w:jc w:val="both"/>
        <w:rPr>
          <w:rFonts w:ascii="Adelle Sans Light;sans-serif" w:hAnsi="Adelle Sans Light;sans-serif"/>
          <w:b w:val="false"/>
          <w:color w:val="000000"/>
          <w:sz w:val="20"/>
        </w:rPr>
      </w:pPr>
      <w:r>
        <w:rPr>
          <w:rFonts w:ascii="Adelle Sans Light;sans-serif" w:hAnsi="Adelle Sans Light;sans-serif"/>
          <w:b w:val="false"/>
          <w:color w:val="000000"/>
          <w:sz w:val="20"/>
        </w:rPr>
        <w:t xml:space="preserve">Our cash equivalents and our portfolio of marketable securities are subject to market risk due to changes in interest rates. Fixed rate securities may have their market value adversely affected due to a rise in interest rates and macroeconomic conditions. Our future investment income may fall short of our expectations due to changes in interest rates or we may suffer losses in principal if we are forced to sell securities that decline in market value due to changes in interest rates. However, because we classify our debt securities as "held to maturity", no gains or losses are recognized due to changes in interest rates unless such securities are sold prior to maturity or declines in fair value are determined to be other than temporary. </w:t>
      </w:r>
    </w:p>
    <w:p>
      <w:pPr>
        <w:pStyle w:val="TextBody"/>
        <w:bidi w:val="0"/>
        <w:spacing w:lineRule="auto" w:line="288" w:before="0" w:after="200"/>
        <w:jc w:val="both"/>
        <w:rPr>
          <w:rFonts w:ascii="Adelle Sans Light;sans-serif" w:hAnsi="Adelle Sans Light;sans-serif"/>
          <w:b w:val="false"/>
          <w:color w:val="000000"/>
          <w:sz w:val="20"/>
        </w:rPr>
      </w:pPr>
      <w:r>
        <w:rPr>
          <w:rFonts w:ascii="Adelle Sans Light;sans-serif" w:hAnsi="Adelle Sans Light;sans-serif"/>
          <w:b w:val="false"/>
          <w:color w:val="000000"/>
          <w:sz w:val="20"/>
        </w:rPr>
        <w:t>The Company holds convertible notes in private companies. These investments are classified as available-for-sale debt securities, for which we have elected to account for under the fair value option. These investments are carried at fair value at each balance sheet date and any movements in the fair value are recognized in "Net income" in the condensed consolidated statements of operations and comprehensive income. The underlying entity's valuation includes inputs such as interest rates which impact the market value of the investment.</w:t>
      </w:r>
    </w:p>
    <w:p>
      <w:pPr>
        <w:pStyle w:val="TextBody"/>
        <w:bidi w:val="0"/>
        <w:spacing w:lineRule="auto" w:line="288" w:before="0" w:after="200"/>
        <w:jc w:val="left"/>
        <w:rPr>
          <w:rFonts w:ascii="Adelle Sans;sans-serif" w:hAnsi="Adelle Sans;sans-serif"/>
          <w:b/>
          <w:i/>
          <w:color w:val="000000"/>
          <w:sz w:val="20"/>
        </w:rPr>
      </w:pPr>
      <w:bookmarkStart w:id="122" w:name="iba9872bd8bdc4b999e1eca4684f37bde"/>
      <w:bookmarkEnd w:id="122"/>
      <w:r>
        <w:rPr>
          <w:rFonts w:ascii="Adelle Sans;sans-serif" w:hAnsi="Adelle Sans;sans-serif"/>
          <w:b/>
          <w:i/>
          <w:color w:val="000000"/>
          <w:sz w:val="20"/>
        </w:rPr>
        <w:t xml:space="preserve">Concentration of Credit Risk </w:t>
      </w:r>
    </w:p>
    <w:p>
      <w:pPr>
        <w:pStyle w:val="TextBody"/>
        <w:bidi w:val="0"/>
        <w:spacing w:lineRule="auto" w:line="288" w:before="0" w:after="200"/>
        <w:jc w:val="both"/>
        <w:rPr>
          <w:rFonts w:ascii="Adelle Sans Light;sans-serif" w:hAnsi="Adelle Sans Light;sans-serif"/>
          <w:b w:val="false"/>
          <w:color w:val="000000"/>
          <w:sz w:val="20"/>
        </w:rPr>
      </w:pPr>
      <w:r>
        <w:rPr>
          <w:rFonts w:ascii="Adelle Sans Light;sans-serif" w:hAnsi="Adelle Sans Light;sans-serif"/>
          <w:b w:val="false"/>
          <w:color w:val="000000"/>
          <w:sz w:val="20"/>
        </w:rPr>
        <w:t>The Company’s cash and cash equivalents, marketable securities, trade and other receivables, loans, merchant cash advances and foreign exchange derivative instruments subject the Company to concentrations of credit risk. Management mitigates this risk associated with cash and cash equivalents by making deposits and entering into foreign exchange derivative products only with large banks and financial institutions that are considered to be highly creditworthy. We limit the amount of credit exposure with any one financial institution and conduct timely evaluations of the credit worthiness of these financial institutions. Management mitigates the risks associated with marketable securities by adhering to its investment policy, which stipulates minimum rating requirements, maximum investment exposures and maximum maturities. Due to the Company’s diversified merchant base, there is no particular concentration of credit risk related to the Company’s trade and other receivables, loans receivable and merchant cash advances. Trade and other receivables, loans receivable and merchant cash advances are monitored on an ongoing basis to ensure timely collection of amounts. There are no receivables from individual merchants accounting for 10% or more of revenues or receivables.</w:t>
      </w:r>
    </w:p>
    <w:p>
      <w:pPr>
        <w:pStyle w:val="TextBody"/>
        <w:bidi w:val="0"/>
        <w:spacing w:lineRule="auto" w:line="288" w:before="0" w:after="200"/>
        <w:jc w:val="left"/>
        <w:rPr>
          <w:rFonts w:ascii="Adelle Sans;sans-serif" w:hAnsi="Adelle Sans;sans-serif"/>
          <w:b/>
          <w:i/>
          <w:color w:val="000000"/>
          <w:sz w:val="20"/>
        </w:rPr>
      </w:pPr>
      <w:bookmarkStart w:id="123" w:name="ida0b21b24c5a4dcc8293b3fd04afe1df"/>
      <w:bookmarkEnd w:id="123"/>
      <w:r>
        <w:rPr>
          <w:rFonts w:ascii="Adelle Sans;sans-serif" w:hAnsi="Adelle Sans;sans-serif"/>
          <w:b/>
          <w:i/>
          <w:color w:val="000000"/>
          <w:sz w:val="20"/>
        </w:rPr>
        <w:t>Inflation Risk</w:t>
      </w:r>
    </w:p>
    <w:p>
      <w:pPr>
        <w:pStyle w:val="TextBody"/>
        <w:bidi w:val="0"/>
        <w:spacing w:lineRule="auto" w:line="288" w:before="0" w:after="200"/>
        <w:jc w:val="both"/>
        <w:rPr>
          <w:rFonts w:ascii="Adelle Sans Light;sans-serif" w:hAnsi="Adelle Sans Light;sans-serif"/>
          <w:b w:val="false"/>
          <w:color w:val="000000"/>
          <w:sz w:val="20"/>
        </w:rPr>
      </w:pPr>
      <w:r>
        <w:rPr>
          <w:rFonts w:ascii="Adelle Sans Light;sans-serif" w:hAnsi="Adelle Sans Light;sans-serif"/>
          <w:b w:val="false"/>
          <w:color w:val="000000"/>
          <w:sz w:val="20"/>
        </w:rPr>
        <w:t>We are subject to inflation risk that could have a material effect on our business, financial condition or results of operations. If our costs were to become subject to significant inflationary pressures, we may not be able to fully offset such higher costs through price increases. Our inability or failure to do so could harm our business, financial condition and results of operations. Furthermore, our merchants are also subject to risks associated with inflationary pressures that could impact their business and financial condition. These pressures could subsequently result in impacts to our GMV and further affect our business, particularly if economic growth has slowed across many of the regions in which we operate.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left"/>
        <w:rPr>
          <w:rFonts w:ascii="Adelle Sans;sans-serif" w:hAnsi="Adelle Sans;sans-serif"/>
          <w:b/>
          <w:color w:val="000000"/>
          <w:sz w:val="20"/>
        </w:rPr>
      </w:pPr>
      <w:bookmarkStart w:id="124" w:name="i362d3c59461e4710a30f82796b5533e3"/>
      <w:bookmarkEnd w:id="124"/>
      <w:r>
        <w:rPr>
          <w:rFonts w:ascii="Adelle Sans;sans-serif" w:hAnsi="Adelle Sans;sans-serif"/>
          <w:b/>
          <w:color w:val="000000"/>
          <w:sz w:val="20"/>
        </w:rPr>
        <w:t>Item 4: Controls and Procedures</w:t>
      </w:r>
    </w:p>
    <w:p>
      <w:pPr>
        <w:pStyle w:val="TextBody"/>
        <w:bidi w:val="0"/>
        <w:spacing w:lineRule="auto" w:line="288" w:before="0" w:after="200"/>
        <w:jc w:val="both"/>
        <w:rPr>
          <w:rFonts w:ascii="Adelle Sans Light;sans-serif" w:hAnsi="Adelle Sans Light;sans-serif"/>
          <w:b w:val="false"/>
          <w:color w:val="000000"/>
          <w:sz w:val="20"/>
        </w:rPr>
      </w:pPr>
      <w:r>
        <w:rPr>
          <w:rFonts w:ascii="Adelle Sans Light;sans-serif" w:hAnsi="Adelle Sans Light;sans-serif"/>
          <w:b w:val="false"/>
          <w:color w:val="000000"/>
          <w:sz w:val="20"/>
        </w:rPr>
        <w:t>All control systems, no matter how well designed, have inherent limitations. Accordingly, even disclosure controls and procedures and internal controls over financial reporting determined to be effective can only provide reasonable assurance of achieving their control objectives with respect to financial statement preparation and presentation.</w:t>
      </w:r>
    </w:p>
    <w:p>
      <w:pPr>
        <w:pStyle w:val="TextBody"/>
        <w:bidi w:val="0"/>
        <w:spacing w:lineRule="auto" w:line="288" w:before="0" w:after="200"/>
        <w:jc w:val="left"/>
        <w:rPr>
          <w:rFonts w:ascii="Adelle Sans;sans-serif" w:hAnsi="Adelle Sans;sans-serif"/>
          <w:b/>
          <w:i/>
          <w:color w:val="000000"/>
          <w:sz w:val="20"/>
        </w:rPr>
      </w:pPr>
      <w:bookmarkStart w:id="125" w:name="icd296532c07f4cd280620f391b7a1d29"/>
      <w:bookmarkEnd w:id="125"/>
      <w:r>
        <w:rPr>
          <w:rFonts w:ascii="Adelle Sans;sans-serif" w:hAnsi="Adelle Sans;sans-serif"/>
          <w:b/>
          <w:i/>
          <w:color w:val="000000"/>
          <w:sz w:val="20"/>
        </w:rPr>
        <w:t>Evaluation of disclosure controls and procedures</w:t>
      </w:r>
    </w:p>
    <w:p>
      <w:pPr>
        <w:pStyle w:val="TextBody"/>
        <w:bidi w:val="0"/>
        <w:spacing w:lineRule="auto" w:line="288" w:before="0" w:after="200"/>
        <w:jc w:val="both"/>
        <w:rPr>
          <w:rFonts w:ascii="Adelle Sans Light;sans-serif" w:hAnsi="Adelle Sans Light;sans-serif"/>
          <w:b w:val="false"/>
          <w:color w:val="000000"/>
          <w:sz w:val="20"/>
        </w:rPr>
      </w:pPr>
      <w:r>
        <w:rPr>
          <w:rFonts w:ascii="Adelle Sans Light;sans-serif" w:hAnsi="Adelle Sans Light;sans-serif"/>
          <w:b w:val="false"/>
          <w:color w:val="000000"/>
          <w:sz w:val="20"/>
        </w:rPr>
        <w:t>Management of the Company, under the supervision of the Chief Executive Officer and Chief Financial Officer, is responsible for establishing and maintaining disclosure controls and procedures (as defined by the SEC) in Rule 13a-15(e) under the Exchange Act for the Company to ensure that material information relating to the Company, including its consolidated subsidiaries, that is required to be made known to the Chief Executive Officer and Chief Financial Officer by others within the Company and disclosed by the Company in reports filed or submitted by it under the Exchange Act is (i) recorded, processed, summarized and reported within the time periods specified in the SEC's rules and forms; and (ii) accumulated and communicated to the Company's management, including its Chief Executive Officer and Chief Financial Officer, to allow timely decisions regarding required disclosure.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7955"/>
                <wp:effectExtent l="0" t="0" r="0" b="0"/>
                <wp:wrapNone/>
                <wp:docPr id="45" name="Frame44"/>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200"/>
                              <w:jc w:val="center"/>
                              <w:rPr>
                                <w:rFonts w:ascii="Adelle Sans Light;sans-serif" w:hAnsi="Adelle Sans Light;sans-serif"/>
                                <w:b w:val="false"/>
                                <w:color w:val="000000"/>
                                <w:sz w:val="20"/>
                              </w:rPr>
                            </w:pPr>
                            <w:r>
                              <w:rPr>
                                <w:rFonts w:ascii="Adelle Sans Light;sans-serif" w:hAnsi="Adelle Sans Light;sans-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Adelle Sans Light;sans-serif" w:hAnsi="Adelle Sans Light;sans-serif"/>
                          <w:b w:val="false"/>
                          <w:color w:val="000000"/>
                          <w:sz w:val="20"/>
                        </w:rPr>
                      </w:pPr>
                      <w:r>
                        <w:rPr>
                          <w:rFonts w:ascii="Adelle Sans Light;sans-serif" w:hAnsi="Adelle Sans Light;sans-serif"/>
                          <w:b w:val="false"/>
                          <w:color w:val="000000"/>
                          <w:sz w:val="20"/>
                        </w:rPr>
                        <w:t>44</w:t>
                      </w:r>
                    </w:p>
                  </w:txbxContent>
                </v:textbox>
                <w10:wrap type="none"/>
              </v:rect>
            </w:pict>
          </mc:Fallback>
        </mc:AlternateContent>
      </w:r>
    </w:p>
    <w:p>
      <w:pPr>
        <w:pStyle w:val="TextBody"/>
        <w:bidi w:val="0"/>
        <w:spacing w:lineRule="auto" w:line="288" w:before="0" w:after="200"/>
        <w:jc w:val="both"/>
        <w:rPr/>
      </w:pPr>
      <w:hyperlink w:anchor="iccccf23fa31e44f0aa82c99ca0859db8_7">
        <w:r>
          <w:rPr>
            <w:rStyle w:val="InternetLink"/>
            <w:rFonts w:ascii="Adelle Sans Light;sans-serif" w:hAnsi="Adelle Sans Light;sans-serif"/>
            <w:b w:val="false"/>
            <w:color w:val="0000FF"/>
            <w:sz w:val="20"/>
            <w:u w:val="single"/>
          </w:rPr>
          <w:t>Table of Contents</w:t>
        </w:r>
      </w:hyperlink>
    </w:p>
    <w:p>
      <w:pPr>
        <w:pStyle w:val="TextBody"/>
        <w:bidi w:val="0"/>
        <w:spacing w:lineRule="auto" w:line="288" w:before="0" w:after="200"/>
        <w:jc w:val="both"/>
        <w:rPr>
          <w:rFonts w:ascii="Adelle Sans Light;sans-serif" w:hAnsi="Adelle Sans Light;sans-serif"/>
          <w:b w:val="false"/>
          <w:color w:val="000000"/>
          <w:sz w:val="20"/>
        </w:rPr>
      </w:pPr>
      <w:r>
        <w:rPr>
          <w:rFonts w:ascii="Adelle Sans Light;sans-serif" w:hAnsi="Adelle Sans Light;sans-serif"/>
          <w:b w:val="false"/>
          <w:color w:val="000000"/>
          <w:sz w:val="20"/>
        </w:rPr>
        <w:t>Management, including the Chief Executive Officer and Chief Financial Officer, have evaluated the effectiveness of the Company's disclosure controls and procedures and have concluded that the Company's disclosure controls and procedures were effective as of June 30, 2026.</w:t>
      </w:r>
    </w:p>
    <w:p>
      <w:pPr>
        <w:pStyle w:val="TextBody"/>
        <w:bidi w:val="0"/>
        <w:spacing w:lineRule="auto" w:line="288" w:before="0" w:after="200"/>
        <w:jc w:val="left"/>
        <w:rPr>
          <w:rFonts w:ascii="Adelle Sans;sans-serif" w:hAnsi="Adelle Sans;sans-serif"/>
          <w:b/>
          <w:i/>
          <w:color w:val="000000"/>
          <w:sz w:val="20"/>
        </w:rPr>
      </w:pPr>
      <w:bookmarkStart w:id="126" w:name="icda222a100aa42de929d4b04a0d6c8f2"/>
      <w:bookmarkEnd w:id="126"/>
      <w:r>
        <w:rPr>
          <w:rFonts w:ascii="Adelle Sans;sans-serif" w:hAnsi="Adelle Sans;sans-serif"/>
          <w:b/>
          <w:i/>
          <w:color w:val="000000"/>
          <w:sz w:val="20"/>
        </w:rPr>
        <w:t xml:space="preserve">Changes in internal control over financial reporting </w:t>
      </w:r>
    </w:p>
    <w:p>
      <w:pPr>
        <w:pStyle w:val="TextBody"/>
        <w:bidi w:val="0"/>
        <w:spacing w:lineRule="auto" w:line="288" w:before="0" w:after="200"/>
        <w:jc w:val="both"/>
        <w:rPr>
          <w:rFonts w:ascii="Adelle Sans Light;sans-serif" w:hAnsi="Adelle Sans Light;sans-serif"/>
          <w:b w:val="false"/>
          <w:color w:val="000000"/>
          <w:sz w:val="20"/>
        </w:rPr>
      </w:pPr>
      <w:r>
        <w:rPr>
          <w:rFonts w:ascii="Adelle Sans Light;sans-serif" w:hAnsi="Adelle Sans Light;sans-serif"/>
          <w:b w:val="false"/>
          <w:color w:val="000000"/>
          <w:sz w:val="20"/>
        </w:rPr>
        <w:t>There were no changes in our internal control over financial reporting (as defined in Exchange Act Rule 13a15(f)) identified in connection with the evaluation required by Exchange Act Rules 13a-15(d) or 15d-15(d) that occurred during our most recently completed fiscal quarter that have materially affected, or are reasonably likely to materially affect, our internal control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7955"/>
                <wp:effectExtent l="0" t="0" r="0" b="0"/>
                <wp:wrapNone/>
                <wp:docPr id="46" name="Frame45"/>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200"/>
                              <w:jc w:val="center"/>
                              <w:rPr>
                                <w:rFonts w:ascii="Adelle Sans Light;sans-serif" w:hAnsi="Adelle Sans Light;sans-serif"/>
                                <w:b w:val="false"/>
                                <w:color w:val="000000"/>
                                <w:sz w:val="20"/>
                              </w:rPr>
                            </w:pPr>
                            <w:r>
                              <w:rPr>
                                <w:rFonts w:ascii="Adelle Sans Light;sans-serif" w:hAnsi="Adelle Sans Light;sans-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Adelle Sans Light;sans-serif" w:hAnsi="Adelle Sans Light;sans-serif"/>
                          <w:b w:val="false"/>
                          <w:color w:val="000000"/>
                          <w:sz w:val="20"/>
                        </w:rPr>
                      </w:pPr>
                      <w:r>
                        <w:rPr>
                          <w:rFonts w:ascii="Adelle Sans Light;sans-serif" w:hAnsi="Adelle Sans Light;sans-serif"/>
                          <w:b w:val="false"/>
                          <w:color w:val="000000"/>
                          <w:sz w:val="20"/>
                        </w:rPr>
                        <w:t>45</w:t>
                      </w:r>
                    </w:p>
                  </w:txbxContent>
                </v:textbox>
                <w10:wrap type="none"/>
              </v:rect>
            </w:pict>
          </mc:Fallback>
        </mc:AlternateContent>
      </w:r>
    </w:p>
    <w:p>
      <w:pPr>
        <w:pStyle w:val="TextBody"/>
        <w:bidi w:val="0"/>
        <w:spacing w:lineRule="auto" w:line="288" w:before="0" w:after="200"/>
        <w:jc w:val="both"/>
        <w:rPr/>
      </w:pPr>
      <w:hyperlink w:anchor="iccccf23fa31e44f0aa82c99ca0859db8_7">
        <w:r>
          <w:rPr>
            <w:rStyle w:val="InternetLink"/>
            <w:rFonts w:ascii="Adelle Sans Light;sans-serif" w:hAnsi="Adelle Sans Light;sans-serif"/>
            <w:b w:val="false"/>
            <w:color w:val="0000FF"/>
            <w:sz w:val="20"/>
            <w:u w:val="single"/>
          </w:rPr>
          <w:t>Table of Contents</w:t>
        </w:r>
      </w:hyperlink>
    </w:p>
    <w:p>
      <w:pPr>
        <w:pStyle w:val="TextBody"/>
        <w:bidi w:val="0"/>
        <w:spacing w:lineRule="auto" w:line="288" w:before="200" w:after="200"/>
        <w:jc w:val="left"/>
        <w:rPr>
          <w:rFonts w:ascii="Adelle Sans;sans-serif" w:hAnsi="Adelle Sans;sans-serif"/>
          <w:b/>
          <w:color w:val="000000"/>
          <w:sz w:val="20"/>
        </w:rPr>
      </w:pPr>
      <w:bookmarkStart w:id="127" w:name="if5a2fc882a7c48298748d038b6ea82f3"/>
      <w:bookmarkEnd w:id="127"/>
      <w:r>
        <w:rPr>
          <w:rFonts w:ascii="Adelle Sans;sans-serif" w:hAnsi="Adelle Sans;sans-serif"/>
          <w:b/>
          <w:color w:val="000000"/>
          <w:sz w:val="20"/>
        </w:rPr>
        <w:t>PART II: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left"/>
        <w:rPr>
          <w:rFonts w:ascii="Adelle Sans;sans-serif" w:hAnsi="Adelle Sans;sans-serif"/>
          <w:b/>
          <w:color w:val="000000"/>
          <w:sz w:val="20"/>
        </w:rPr>
      </w:pPr>
      <w:bookmarkStart w:id="128" w:name="ia002cf949cd44541afee63e4fa7cb060"/>
      <w:bookmarkEnd w:id="128"/>
      <w:r>
        <w:rPr>
          <w:rFonts w:ascii="Adelle Sans;sans-serif" w:hAnsi="Adelle Sans;sans-serif"/>
          <w:b/>
          <w:color w:val="000000"/>
          <w:sz w:val="20"/>
        </w:rPr>
        <w:t>Item 1: Legal Proceedings</w:t>
      </w:r>
    </w:p>
    <w:p>
      <w:pPr>
        <w:pStyle w:val="TextBody"/>
        <w:bidi w:val="0"/>
        <w:spacing w:lineRule="auto" w:line="288" w:before="0" w:after="200"/>
        <w:jc w:val="both"/>
        <w:rPr>
          <w:rFonts w:ascii="Adelle Sans Light;sans-serif" w:hAnsi="Adelle Sans Light;sans-serif"/>
          <w:b w:val="false"/>
          <w:color w:val="000000"/>
          <w:sz w:val="20"/>
        </w:rPr>
      </w:pPr>
      <w:r>
        <w:rPr>
          <w:rFonts w:ascii="Adelle Sans Light;sans-serif" w:hAnsi="Adelle Sans Light;sans-serif"/>
          <w:b w:val="false"/>
          <w:color w:val="000000"/>
          <w:sz w:val="20"/>
        </w:rPr>
        <w:t>The information set forth under "Note 8— Contingencies — Litigation and Loss Contingencies" to the condensed consolidated financial statements included in Part I — Item 1 of this Quarterly Report on Form 10-Q is incorporated herein by reference.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left"/>
        <w:rPr>
          <w:rFonts w:ascii="Adelle Sans;sans-serif" w:hAnsi="Adelle Sans;sans-serif"/>
          <w:b/>
          <w:color w:val="000000"/>
          <w:sz w:val="20"/>
        </w:rPr>
      </w:pPr>
      <w:bookmarkStart w:id="129" w:name="id884f3d2dbaa4ae6ba24cba613beaaf9"/>
      <w:bookmarkEnd w:id="129"/>
      <w:r>
        <w:rPr>
          <w:rFonts w:ascii="Adelle Sans;sans-serif" w:hAnsi="Adelle Sans;sans-serif"/>
          <w:b/>
          <w:color w:val="000000"/>
          <w:sz w:val="20"/>
        </w:rPr>
        <w:t>Item 1A: Risk Factors</w:t>
      </w:r>
    </w:p>
    <w:p>
      <w:pPr>
        <w:pStyle w:val="TextBody"/>
        <w:bidi w:val="0"/>
        <w:spacing w:lineRule="auto" w:line="288" w:before="0" w:after="200"/>
        <w:jc w:val="both"/>
        <w:rPr>
          <w:rFonts w:ascii="Adelle Sans Light;sans-serif" w:hAnsi="Adelle Sans Light;sans-serif"/>
          <w:b w:val="false"/>
          <w:color w:val="000000"/>
          <w:sz w:val="20"/>
        </w:rPr>
      </w:pPr>
      <w:r>
        <w:rPr>
          <w:rFonts w:ascii="Adelle Sans Light;sans-serif" w:hAnsi="Adelle Sans Light;sans-serif"/>
          <w:b w:val="false"/>
          <w:color w:val="000000"/>
          <w:sz w:val="20"/>
        </w:rPr>
        <w:t>We are subject to various risks and uncertainties that may affect our business, results of operations and financial condition including, not limited to, those described in Part I — Item 1A "Risk Factors" in the Company's 2025 Form 10-K. Current global economic and geopolitical events and conditions may amplify many of these risks. These risks are not the only risks that may affect us. Additional risks that we are not aware of or do not believe are material at the time of this filing may also become important factors that adversely affect our business. There have been no material changes to the Company’s risk factors from those disclosed in the 2025 Form 10-K.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left"/>
        <w:rPr>
          <w:rFonts w:ascii="Adelle Sans;sans-serif" w:hAnsi="Adelle Sans;sans-serif"/>
          <w:b/>
          <w:color w:val="000000"/>
          <w:sz w:val="20"/>
        </w:rPr>
      </w:pPr>
      <w:bookmarkStart w:id="130" w:name="i88fb3b904cca4a2ca2da0d47af5d8465"/>
      <w:bookmarkEnd w:id="130"/>
      <w:r>
        <w:rPr>
          <w:rFonts w:ascii="Adelle Sans;sans-serif" w:hAnsi="Adelle Sans;sans-serif"/>
          <w:b/>
          <w:color w:val="000000"/>
          <w:sz w:val="20"/>
        </w:rPr>
        <w:t>Item 2: Unregistered Sales of Equity Securities and Use of Proceeds</w:t>
      </w:r>
    </w:p>
    <w:p>
      <w:pPr>
        <w:pStyle w:val="TextBody"/>
        <w:bidi w:val="0"/>
        <w:spacing w:lineRule="auto" w:line="288" w:before="0" w:after="200"/>
        <w:jc w:val="left"/>
        <w:rPr>
          <w:rFonts w:ascii="Adelle Sans;sans-serif" w:hAnsi="Adelle Sans;sans-serif"/>
          <w:b/>
          <w:i/>
          <w:color w:val="000000"/>
          <w:sz w:val="20"/>
        </w:rPr>
      </w:pPr>
      <w:bookmarkStart w:id="131" w:name="i5cc7ba82e27b43dd994ebe75faea737b"/>
      <w:bookmarkEnd w:id="131"/>
      <w:r>
        <w:rPr>
          <w:rFonts w:ascii="Adelle Sans;sans-serif" w:hAnsi="Adelle Sans;sans-serif"/>
          <w:b/>
          <w:i/>
          <w:color w:val="000000"/>
          <w:sz w:val="20"/>
        </w:rPr>
        <w:t>Issuer Purchases of Equity Securities</w:t>
      </w:r>
    </w:p>
    <w:p>
      <w:pPr>
        <w:pStyle w:val="TextBody"/>
        <w:bidi w:val="0"/>
        <w:spacing w:lineRule="auto" w:line="288" w:before="0" w:after="200"/>
        <w:jc w:val="both"/>
        <w:rPr>
          <w:rFonts w:ascii="Adelle Sans Light;sans-serif" w:hAnsi="Adelle Sans Light;sans-serif"/>
          <w:b w:val="false"/>
          <w:color w:val="000000"/>
          <w:sz w:val="20"/>
        </w:rPr>
      </w:pPr>
      <w:r>
        <w:rPr>
          <w:rFonts w:ascii="Adelle Sans Light;sans-serif" w:hAnsi="Adelle Sans Light;sans-serif"/>
          <w:b w:val="false"/>
          <w:color w:val="000000"/>
          <w:sz w:val="20"/>
        </w:rPr>
        <w:t>Share repurchase activity for the three months ended June 30, 2026 was as follows:</w:t>
      </w:r>
    </w:p>
    <w:tbl>
      <w:tblPr>
        <w:tblW w:w="10205" w:type="dxa"/>
        <w:jc w:val="left"/>
        <w:tblInd w:w="0" w:type="dxa"/>
        <w:tblLayout w:type="fixed"/>
        <w:tblCellMar>
          <w:top w:w="28" w:type="dxa"/>
          <w:left w:w="28" w:type="dxa"/>
          <w:bottom w:w="28" w:type="dxa"/>
          <w:right w:w="28" w:type="dxa"/>
        </w:tblCellMar>
      </w:tblPr>
      <w:tblGrid>
        <w:gridCol w:w="312"/>
        <w:gridCol w:w="274"/>
        <w:gridCol w:w="276"/>
        <w:gridCol w:w="109"/>
        <w:gridCol w:w="109"/>
        <w:gridCol w:w="109"/>
        <w:gridCol w:w="894"/>
        <w:gridCol w:w="491"/>
        <w:gridCol w:w="493"/>
        <w:gridCol w:w="109"/>
        <w:gridCol w:w="109"/>
        <w:gridCol w:w="109"/>
        <w:gridCol w:w="274"/>
        <w:gridCol w:w="1004"/>
        <w:gridCol w:w="132"/>
        <w:gridCol w:w="109"/>
        <w:gridCol w:w="109"/>
        <w:gridCol w:w="109"/>
        <w:gridCol w:w="1035"/>
        <w:gridCol w:w="676"/>
        <w:gridCol w:w="678"/>
        <w:gridCol w:w="109"/>
        <w:gridCol w:w="109"/>
        <w:gridCol w:w="109"/>
        <w:gridCol w:w="489"/>
        <w:gridCol w:w="1528"/>
        <w:gridCol w:w="341"/>
      </w:tblGrid>
      <w:tr>
        <w:trPr/>
        <w:tc>
          <w:tcPr>
            <w:tcW w:w="312"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94"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4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1004"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5"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1528"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r>
      <w:tr>
        <w:trPr/>
        <w:tc>
          <w:tcPr>
            <w:tcW w:w="86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delle Sans;sans-serif" w:hAnsi="Adelle Sans;sans-serif"/>
                <w:b/>
                <w:color w:val="000000"/>
                <w:sz w:val="18"/>
              </w:rPr>
            </w:pPr>
            <w:r>
              <w:rPr>
                <w:rFonts w:ascii="Adelle Sans;sans-serif" w:hAnsi="Adelle Sans;sans-serif"/>
                <w:b/>
                <w:color w:val="000000"/>
                <w:sz w:val="18"/>
              </w:rPr>
              <w:t>Period Ended</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878"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delle Sans;sans-serif" w:hAnsi="Adelle Sans;sans-serif"/>
                <w:b/>
                <w:color w:val="000000"/>
                <w:sz w:val="18"/>
              </w:rPr>
            </w:pPr>
            <w:r>
              <w:rPr>
                <w:rFonts w:ascii="Adelle Sans;sans-serif" w:hAnsi="Adelle Sans;sans-serif"/>
                <w:b/>
                <w:color w:val="000000"/>
                <w:sz w:val="18"/>
              </w:rPr>
              <w:t>Total Number of Shares Purchased</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pPr>
            <w:r>
              <w:rPr>
                <w:rFonts w:ascii="Adelle Sans;sans-serif" w:hAnsi="Adelle Sans;sans-serif"/>
                <w:b/>
                <w:color w:val="000000"/>
                <w:sz w:val="18"/>
              </w:rPr>
              <w:t>Average Price Paid per Share</w:t>
            </w:r>
            <w:r>
              <w:rPr>
                <w:rFonts w:ascii="Adelle Sans;sans-serif" w:hAnsi="Adelle Sans;sans-serif"/>
                <w:b/>
                <w:color w:val="000000"/>
                <w:sz w:val="12"/>
              </w:rPr>
              <w:t>(2)</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38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delle Sans;sans-serif" w:hAnsi="Adelle Sans;sans-serif"/>
                <w:b/>
                <w:color w:val="000000"/>
                <w:sz w:val="18"/>
              </w:rPr>
            </w:pPr>
            <w:r>
              <w:rPr>
                <w:rFonts w:ascii="Adelle Sans;sans-serif" w:hAnsi="Adelle Sans;sans-serif"/>
                <w:b/>
                <w:color w:val="000000"/>
                <w:sz w:val="18"/>
              </w:rPr>
              <w:t>Total Number of Shares Purchased as Part of Publicly Announced Programs</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358"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pPr>
            <w:r>
              <w:rPr>
                <w:rFonts w:ascii="Adelle Sans;sans-serif" w:hAnsi="Adelle Sans;sans-serif"/>
                <w:b/>
                <w:color w:val="000000"/>
                <w:sz w:val="18"/>
              </w:rPr>
              <w:t>Approximate Dollar Value of Shares that May Yet be Purchased Under the Programs</w:t>
            </w:r>
            <w:r>
              <w:rPr>
                <w:rFonts w:ascii="Adelle Sans;sans-serif" w:hAnsi="Adelle Sans;sans-serif"/>
                <w:b/>
                <w:color w:val="000000"/>
                <w:sz w:val="12"/>
              </w:rPr>
              <w:t>(1)</w:t>
            </w:r>
          </w:p>
        </w:tc>
      </w:tr>
      <w:tr>
        <w:trPr/>
        <w:tc>
          <w:tcPr>
            <w:tcW w:w="10205" w:type="dxa"/>
            <w:gridSpan w:val="27"/>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Adelle Sans;sans-serif" w:hAnsi="Adelle Sans;sans-serif"/>
                <w:b w:val="false"/>
                <w:color w:val="000000"/>
                <w:sz w:val="18"/>
              </w:rPr>
            </w:pPr>
            <w:r>
              <w:rPr>
                <w:rFonts w:ascii="Adelle Sans;sans-serif" w:hAnsi="Adelle Sans;sans-serif"/>
                <w:b w:val="false"/>
                <w:color w:val="000000"/>
                <w:sz w:val="18"/>
              </w:rPr>
              <w:t>(in US $ millions, except share and share price amounts)</w:t>
            </w:r>
          </w:p>
        </w:tc>
      </w:tr>
      <w:tr>
        <w:trPr/>
        <w:tc>
          <w:tcPr>
            <w:tcW w:w="862" w:type="dxa"/>
            <w:gridSpan w:val="3"/>
            <w:tcBorders/>
            <w:shd w:fill="F7F7F7" w:val="clear"/>
            <w:tcMar>
              <w:top w:w="0" w:type="dxa"/>
              <w:left w:w="0" w:type="dxa"/>
              <w:bottom w:w="0" w:type="dxa"/>
              <w:right w:w="0" w:type="dxa"/>
            </w:tcMar>
            <w:vAlign w:val="center"/>
          </w:tcPr>
          <w:p>
            <w:pPr>
              <w:pStyle w:val="TableContents"/>
              <w:bidi w:val="0"/>
              <w:spacing w:lineRule="auto" w:line="240" w:before="0" w:after="283"/>
              <w:jc w:val="left"/>
              <w:rPr>
                <w:rFonts w:ascii="Adelle Sans;sans-serif" w:hAnsi="Adelle Sans;sans-serif"/>
                <w:b w:val="false"/>
                <w:color w:val="000000"/>
                <w:sz w:val="18"/>
              </w:rPr>
            </w:pPr>
            <w:r>
              <w:rPr>
                <w:rFonts w:ascii="Adelle Sans;sans-serif" w:hAnsi="Adelle Sans;sans-serif"/>
                <w:b w:val="false"/>
                <w:color w:val="000000"/>
                <w:sz w:val="18"/>
              </w:rPr>
              <w:t>April 30, 2026</w:t>
            </w:r>
          </w:p>
        </w:tc>
        <w:tc>
          <w:tcPr>
            <w:tcW w:w="327"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5" w:type="dxa"/>
            <w:gridSpan w:val="2"/>
            <w:tcBorders/>
            <w:shd w:fill="F7F7F7"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3,333,221 </w:t>
            </w:r>
          </w:p>
        </w:tc>
        <w:tc>
          <w:tcPr>
            <w:tcW w:w="493" w:type="dxa"/>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shd w:fill="F7F7F7" w:val="clear"/>
            <w:tcMar>
              <w:top w:w="0" w:type="dxa"/>
              <w:left w:w="0" w:type="dxa"/>
              <w:bottom w:w="0" w:type="dxa"/>
              <w:right w:w="0" w:type="dxa"/>
            </w:tcMar>
            <w:vAlign w:val="center"/>
          </w:tcPr>
          <w:p>
            <w:pPr>
              <w:pStyle w:val="TableContents"/>
              <w:bidi w:val="0"/>
              <w:spacing w:lineRule="auto" w:line="240" w:before="0" w:after="283"/>
              <w:jc w:val="left"/>
              <w:rPr>
                <w:rFonts w:ascii="Adelle Sans;sans-serif" w:hAnsi="Adelle Sans;sans-serif"/>
                <w:b w:val="false"/>
                <w:color w:val="000000"/>
                <w:sz w:val="18"/>
              </w:rPr>
            </w:pPr>
            <w:r>
              <w:rPr>
                <w:rFonts w:ascii="Adelle Sans;sans-serif" w:hAnsi="Adelle Sans;sans-serif"/>
                <w:b w:val="false"/>
                <w:color w:val="000000"/>
                <w:sz w:val="18"/>
              </w:rPr>
              <w:t>$</w:t>
            </w:r>
          </w:p>
        </w:tc>
        <w:tc>
          <w:tcPr>
            <w:tcW w:w="1004" w:type="dxa"/>
            <w:tcBorders/>
            <w:shd w:fill="F7F7F7"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121.67 </w:t>
            </w:r>
          </w:p>
        </w:tc>
        <w:tc>
          <w:tcPr>
            <w:tcW w:w="132" w:type="dxa"/>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1" w:type="dxa"/>
            <w:gridSpan w:val="2"/>
            <w:tcBorders/>
            <w:shd w:fill="F7F7F7"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3,333,221 </w:t>
            </w:r>
          </w:p>
        </w:tc>
        <w:tc>
          <w:tcPr>
            <w:tcW w:w="678" w:type="dxa"/>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tcBorders/>
            <w:shd w:fill="F7F7F7" w:val="clear"/>
            <w:tcMar>
              <w:top w:w="0" w:type="dxa"/>
              <w:left w:w="0" w:type="dxa"/>
              <w:bottom w:w="0" w:type="dxa"/>
              <w:right w:w="0" w:type="dxa"/>
            </w:tcMar>
            <w:vAlign w:val="center"/>
          </w:tcPr>
          <w:p>
            <w:pPr>
              <w:pStyle w:val="TableContents"/>
              <w:bidi w:val="0"/>
              <w:spacing w:lineRule="auto" w:line="240" w:before="0" w:after="283"/>
              <w:jc w:val="left"/>
              <w:rPr>
                <w:rFonts w:ascii="Adelle Sans;sans-serif" w:hAnsi="Adelle Sans;sans-serif"/>
                <w:b w:val="false"/>
                <w:color w:val="000000"/>
                <w:sz w:val="18"/>
              </w:rPr>
            </w:pPr>
            <w:r>
              <w:rPr>
                <w:rFonts w:ascii="Adelle Sans;sans-serif" w:hAnsi="Adelle Sans;sans-serif"/>
                <w:b w:val="false"/>
                <w:color w:val="000000"/>
                <w:sz w:val="18"/>
              </w:rPr>
              <w:t>$</w:t>
            </w:r>
          </w:p>
        </w:tc>
        <w:tc>
          <w:tcPr>
            <w:tcW w:w="1528" w:type="dxa"/>
            <w:tcBorders/>
            <w:shd w:fill="F7F7F7"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1,081 </w:t>
            </w:r>
          </w:p>
        </w:tc>
        <w:tc>
          <w:tcPr>
            <w:tcW w:w="341" w:type="dxa"/>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delle Sans;sans-serif" w:hAnsi="Adelle Sans;sans-serif"/>
                <w:b w:val="false"/>
                <w:color w:val="000000"/>
                <w:sz w:val="18"/>
              </w:rPr>
            </w:pPr>
            <w:r>
              <w:rPr>
                <w:rFonts w:ascii="Adelle Sans;sans-serif" w:hAnsi="Adelle Sans;sans-serif"/>
                <w:b w:val="false"/>
                <w:color w:val="000000"/>
                <w:sz w:val="18"/>
              </w:rPr>
              <w:t>May 31,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4,984,079 </w:t>
            </w:r>
          </w:p>
        </w:tc>
        <w:tc>
          <w:tcPr>
            <w:tcW w:w="4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delle Sans;sans-serif" w:hAnsi="Adelle Sans;sans-serif"/>
                <w:b w:val="false"/>
                <w:color w:val="000000"/>
                <w:sz w:val="18"/>
              </w:rPr>
            </w:pPr>
            <w:r>
              <w:rPr>
                <w:rFonts w:ascii="Adelle Sans;sans-serif" w:hAnsi="Adelle Sans;sans-serif"/>
                <w:b w:val="false"/>
                <w:color w:val="000000"/>
                <w:sz w:val="18"/>
              </w:rPr>
              <w:t>$</w:t>
            </w:r>
          </w:p>
        </w:tc>
        <w:tc>
          <w:tcPr>
            <w:tcW w:w="100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105.70 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4,984,079 </w:t>
            </w:r>
          </w:p>
        </w:tc>
        <w:tc>
          <w:tcPr>
            <w:tcW w:w="6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delle Sans;sans-serif" w:hAnsi="Adelle Sans;sans-serif"/>
                <w:b w:val="false"/>
                <w:color w:val="000000"/>
                <w:sz w:val="18"/>
              </w:rPr>
            </w:pPr>
            <w:r>
              <w:rPr>
                <w:rFonts w:ascii="Adelle Sans;sans-serif" w:hAnsi="Adelle Sans;sans-serif"/>
                <w:b w:val="false"/>
                <w:color w:val="000000"/>
                <w:sz w:val="18"/>
              </w:rPr>
              <w:t>$</w:t>
            </w:r>
          </w:p>
        </w:tc>
        <w:tc>
          <w:tcPr>
            <w:tcW w:w="152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554 </w:t>
            </w:r>
          </w:p>
        </w:tc>
        <w:tc>
          <w:tcPr>
            <w:tcW w:w="3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2" w:type="dxa"/>
            <w:gridSpan w:val="3"/>
            <w:tcBorders/>
            <w:shd w:fill="F7F7F7" w:val="clear"/>
            <w:tcMar>
              <w:top w:w="0" w:type="dxa"/>
              <w:left w:w="0" w:type="dxa"/>
              <w:bottom w:w="0" w:type="dxa"/>
              <w:right w:w="0" w:type="dxa"/>
            </w:tcMar>
            <w:vAlign w:val="center"/>
          </w:tcPr>
          <w:p>
            <w:pPr>
              <w:pStyle w:val="TableContents"/>
              <w:bidi w:val="0"/>
              <w:spacing w:lineRule="auto" w:line="240" w:before="0" w:after="283"/>
              <w:jc w:val="left"/>
              <w:rPr>
                <w:rFonts w:ascii="Adelle Sans;sans-serif" w:hAnsi="Adelle Sans;sans-serif"/>
                <w:b w:val="false"/>
                <w:color w:val="000000"/>
                <w:sz w:val="18"/>
              </w:rPr>
            </w:pPr>
            <w:r>
              <w:rPr>
                <w:rFonts w:ascii="Adelle Sans;sans-serif" w:hAnsi="Adelle Sans;sans-serif"/>
                <w:b w:val="false"/>
                <w:color w:val="000000"/>
                <w:sz w:val="18"/>
              </w:rPr>
              <w:t>June 30, 2026</w:t>
            </w:r>
          </w:p>
        </w:tc>
        <w:tc>
          <w:tcPr>
            <w:tcW w:w="327"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5" w:type="dxa"/>
            <w:gridSpan w:val="2"/>
            <w:tcBorders/>
            <w:shd w:fill="F7F7F7"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4,328,657 </w:t>
            </w:r>
          </w:p>
        </w:tc>
        <w:tc>
          <w:tcPr>
            <w:tcW w:w="493" w:type="dxa"/>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shd w:fill="F7F7F7" w:val="clear"/>
            <w:tcMar>
              <w:top w:w="0" w:type="dxa"/>
              <w:left w:w="0" w:type="dxa"/>
              <w:bottom w:w="0" w:type="dxa"/>
              <w:right w:w="0" w:type="dxa"/>
            </w:tcMar>
            <w:vAlign w:val="center"/>
          </w:tcPr>
          <w:p>
            <w:pPr>
              <w:pStyle w:val="TableContents"/>
              <w:bidi w:val="0"/>
              <w:spacing w:lineRule="auto" w:line="240" w:before="0" w:after="283"/>
              <w:jc w:val="left"/>
              <w:rPr>
                <w:rFonts w:ascii="Adelle Sans;sans-serif" w:hAnsi="Adelle Sans;sans-serif"/>
                <w:b w:val="false"/>
                <w:color w:val="000000"/>
                <w:sz w:val="18"/>
              </w:rPr>
            </w:pPr>
            <w:r>
              <w:rPr>
                <w:rFonts w:ascii="Adelle Sans;sans-serif" w:hAnsi="Adelle Sans;sans-serif"/>
                <w:b w:val="false"/>
                <w:color w:val="000000"/>
                <w:sz w:val="18"/>
              </w:rPr>
              <w:t>$</w:t>
            </w:r>
          </w:p>
        </w:tc>
        <w:tc>
          <w:tcPr>
            <w:tcW w:w="1004" w:type="dxa"/>
            <w:tcBorders/>
            <w:shd w:fill="F7F7F7"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112.43 </w:t>
            </w:r>
          </w:p>
        </w:tc>
        <w:tc>
          <w:tcPr>
            <w:tcW w:w="132" w:type="dxa"/>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1" w:type="dxa"/>
            <w:gridSpan w:val="2"/>
            <w:tcBorders/>
            <w:shd w:fill="F7F7F7"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4,328,657 </w:t>
            </w:r>
          </w:p>
        </w:tc>
        <w:tc>
          <w:tcPr>
            <w:tcW w:w="678" w:type="dxa"/>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tcBorders/>
            <w:shd w:fill="F7F7F7" w:val="clear"/>
            <w:tcMar>
              <w:top w:w="0" w:type="dxa"/>
              <w:left w:w="0" w:type="dxa"/>
              <w:bottom w:w="0" w:type="dxa"/>
              <w:right w:w="0" w:type="dxa"/>
            </w:tcMar>
            <w:vAlign w:val="center"/>
          </w:tcPr>
          <w:p>
            <w:pPr>
              <w:pStyle w:val="TableContents"/>
              <w:bidi w:val="0"/>
              <w:spacing w:lineRule="auto" w:line="240" w:before="0" w:after="283"/>
              <w:jc w:val="left"/>
              <w:rPr>
                <w:rFonts w:ascii="Adelle Sans;sans-serif" w:hAnsi="Adelle Sans;sans-serif"/>
                <w:b w:val="false"/>
                <w:color w:val="000000"/>
                <w:sz w:val="18"/>
              </w:rPr>
            </w:pPr>
            <w:r>
              <w:rPr>
                <w:rFonts w:ascii="Adelle Sans;sans-serif" w:hAnsi="Adelle Sans;sans-serif"/>
                <w:b w:val="false"/>
                <w:color w:val="000000"/>
                <w:sz w:val="18"/>
              </w:rPr>
              <w:t>$</w:t>
            </w:r>
          </w:p>
        </w:tc>
        <w:tc>
          <w:tcPr>
            <w:tcW w:w="1528" w:type="dxa"/>
            <w:tcBorders/>
            <w:shd w:fill="F7F7F7"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3,067 </w:t>
            </w:r>
          </w:p>
        </w:tc>
        <w:tc>
          <w:tcPr>
            <w:tcW w:w="341" w:type="dxa"/>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5" w:type="dxa"/>
            <w:gridSpan w:val="2"/>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12,645,957 </w:t>
            </w:r>
          </w:p>
        </w:tc>
        <w:tc>
          <w:tcPr>
            <w:tcW w:w="493"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1" w:type="dxa"/>
            <w:gridSpan w:val="2"/>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12,645,957 </w:t>
            </w:r>
          </w:p>
        </w:tc>
        <w:tc>
          <w:tcPr>
            <w:tcW w:w="678"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jc w:val="both"/>
        <w:rPr/>
      </w:pPr>
      <w:bookmarkStart w:id="132" w:name="ic0102e66018748daa3437bbb9449854b"/>
      <w:bookmarkEnd w:id="132"/>
      <w:r>
        <w:rPr>
          <w:rFonts w:ascii="Adelle Sans Light;sans-serif" w:hAnsi="Adelle Sans Light;sans-serif"/>
          <w:b w:val="false"/>
          <w:color w:val="000000"/>
          <w:sz w:val="10"/>
        </w:rPr>
        <w:t xml:space="preserve">(1) </w:t>
      </w:r>
      <w:r>
        <w:rPr>
          <w:rFonts w:ascii="Adelle Sans Light;sans-serif" w:hAnsi="Adelle Sans Light;sans-serif"/>
          <w:b w:val="false"/>
          <w:color w:val="000000"/>
          <w:sz w:val="16"/>
        </w:rPr>
        <w:t>In the first quarter of 2026, the Company's Board of Directors authorized a share repurchase program of up to $2 billion of the Company’s outstanding Class A subordinate voting shares. The share repurchase program went into effect on February 17, 2026, has no fixed expiration date, and may be amended, suspended, or discontinued at any time, subject to applicable laws.</w:t>
      </w:r>
    </w:p>
    <w:p>
      <w:pPr>
        <w:pStyle w:val="TextBody"/>
        <w:bidi w:val="0"/>
        <w:spacing w:lineRule="auto" w:line="288" w:before="0" w:after="200"/>
        <w:jc w:val="both"/>
        <w:rPr>
          <w:rFonts w:ascii="Adelle Sans Light;sans-serif" w:hAnsi="Adelle Sans Light;sans-serif"/>
          <w:b w:val="false"/>
          <w:color w:val="000000"/>
          <w:sz w:val="16"/>
        </w:rPr>
      </w:pPr>
      <w:r>
        <w:rPr>
          <w:rFonts w:ascii="Adelle Sans Light;sans-serif" w:hAnsi="Adelle Sans Light;sans-serif"/>
          <w:b w:val="false"/>
          <w:color w:val="000000"/>
          <w:sz w:val="16"/>
        </w:rPr>
        <w:t>In the second quarter of 2026, the Company's Board of Directors authorized an additional $3 billion of the Company's outstanding Class A subordinate shares, in addition to the $2 billion previously authorized, bringing its aggregate repurchase authorization to $5 billion.</w:t>
      </w:r>
    </w:p>
    <w:p>
      <w:pPr>
        <w:pStyle w:val="TextBody"/>
        <w:bidi w:val="0"/>
        <w:spacing w:lineRule="auto" w:line="288" w:before="0" w:after="160"/>
        <w:jc w:val="both"/>
        <w:rPr>
          <w:rFonts w:ascii="Adelle Sans Light;sans-serif" w:hAnsi="Adelle Sans Light;sans-serif"/>
          <w:b w:val="false"/>
          <w:color w:val="000000"/>
          <w:sz w:val="16"/>
        </w:rPr>
      </w:pPr>
      <w:bookmarkStart w:id="133" w:name="i2032181be6bc4a0da4d4ac90a9b4f49b"/>
      <w:bookmarkEnd w:id="133"/>
      <w:r>
        <w:rPr>
          <w:rFonts w:ascii="Adelle Sans Light;sans-serif" w:hAnsi="Adelle Sans Light;sans-serif"/>
          <w:b w:val="false"/>
          <w:color w:val="000000"/>
          <w:sz w:val="16"/>
        </w:rPr>
        <w:t>Repurchases may be made through open-market purchases on the Nasdaq, privately negotiated transactions including block trades, or other means, in each case in compliance with applicable securities laws. The timing, number, and value of any Class A subordinate voting shares repurchased will depend on a variety of factors, including price, general business and market conditions, applicable legal requirements, and alternative investment opportunities. In accordance with applicable securities laws, the maximum number of Class A subordinate voting shares repurchased will not exceed 5% of Shopify’s issued and outstanding Class A subordinate voting shares.</w:t>
      </w:r>
    </w:p>
    <w:p>
      <w:pPr>
        <w:pStyle w:val="TextBody"/>
        <w:bidi w:val="0"/>
        <w:spacing w:lineRule="auto" w:line="288" w:before="0" w:after="160"/>
        <w:jc w:val="both"/>
        <w:rPr>
          <w:rFonts w:ascii="Adelle Sans Light;sans-serif" w:hAnsi="Adelle Sans Light;sans-serif"/>
          <w:b w:val="false"/>
          <w:color w:val="000000"/>
          <w:sz w:val="16"/>
        </w:rPr>
      </w:pPr>
      <w:bookmarkStart w:id="134" w:name="i5ec44755e36a4aaeb78ce39597889a69"/>
      <w:bookmarkEnd w:id="134"/>
      <w:r>
        <w:rPr>
          <w:rFonts w:ascii="Adelle Sans Light;sans-serif" w:hAnsi="Adelle Sans Light;sans-serif"/>
          <w:b w:val="false"/>
          <w:color w:val="000000"/>
          <w:sz w:val="16"/>
        </w:rPr>
        <w:t>During the three months ended June 30, 2026, we repurchased $1.4 billion of our Class A subordinate voting shares under our share repurchase program. As of June 30, 2026, a total of $3.1 billion remained available for future repurchases of our Class A subordinate voting shares.</w:t>
      </w:r>
    </w:p>
    <w:p>
      <w:pPr>
        <w:pStyle w:val="TextBody"/>
        <w:bidi w:val="0"/>
        <w:spacing w:lineRule="auto" w:line="288" w:before="0" w:after="160"/>
        <w:jc w:val="both"/>
        <w:rPr/>
      </w:pPr>
      <w:bookmarkStart w:id="135" w:name="ic3284bed3bde47bf9b39fdc82d23ead2"/>
      <w:bookmarkEnd w:id="135"/>
      <w:r>
        <w:rPr>
          <w:rFonts w:ascii="Adelle Sans Light;sans-serif" w:hAnsi="Adelle Sans Light;sans-serif"/>
          <w:b w:val="false"/>
          <w:color w:val="000000"/>
          <w:sz w:val="10"/>
        </w:rPr>
        <w:t xml:space="preserve">(2) </w:t>
      </w:r>
      <w:r>
        <w:rPr>
          <w:rFonts w:ascii="Adelle Sans Light;sans-serif" w:hAnsi="Adelle Sans Light;sans-serif"/>
          <w:b w:val="false"/>
          <w:color w:val="000000"/>
          <w:sz w:val="16"/>
        </w:rPr>
        <w:t>Excludes broker commissions and excise tax estimates.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left"/>
        <w:rPr>
          <w:rFonts w:ascii="Adelle Sans;sans-serif" w:hAnsi="Adelle Sans;sans-serif"/>
          <w:b/>
          <w:color w:val="000000"/>
          <w:sz w:val="20"/>
        </w:rPr>
      </w:pPr>
      <w:bookmarkStart w:id="136" w:name="ia40804f7b71f439687bcd6b2076b1966"/>
      <w:bookmarkEnd w:id="136"/>
      <w:r>
        <w:rPr>
          <w:rFonts w:ascii="Adelle Sans;sans-serif" w:hAnsi="Adelle Sans;sans-serif"/>
          <w:b/>
          <w:color w:val="000000"/>
          <w:sz w:val="20"/>
        </w:rPr>
        <w:t>Item 3: Defaults Upon Senior Securities</w:t>
      </w:r>
    </w:p>
    <w:p>
      <w:pPr>
        <w:pStyle w:val="TextBody"/>
        <w:bidi w:val="0"/>
        <w:spacing w:lineRule="auto" w:line="288" w:before="0" w:after="200"/>
        <w:jc w:val="both"/>
        <w:rPr>
          <w:rFonts w:ascii="Adelle Sans Light;sans-serif" w:hAnsi="Adelle Sans Light;sans-serif"/>
          <w:b w:val="false"/>
          <w:color w:val="000000"/>
          <w:sz w:val="20"/>
        </w:rPr>
      </w:pPr>
      <w:r>
        <w:rPr>
          <w:rFonts w:ascii="Adelle Sans Light;sans-serif" w:hAnsi="Adelle Sans Light;sans-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left"/>
        <w:rPr>
          <w:rFonts w:ascii="Adelle Sans;sans-serif" w:hAnsi="Adelle Sans;sans-serif"/>
          <w:b/>
          <w:color w:val="000000"/>
          <w:sz w:val="20"/>
        </w:rPr>
      </w:pPr>
      <w:bookmarkStart w:id="137" w:name="ie334e5bab18b436eb13b31334d867a3f"/>
      <w:bookmarkEnd w:id="137"/>
      <w:r>
        <w:rPr>
          <w:rFonts w:ascii="Adelle Sans;sans-serif" w:hAnsi="Adelle Sans;sans-serif"/>
          <w:b/>
          <w:color w:val="000000"/>
          <w:sz w:val="20"/>
        </w:rPr>
        <w:t>Item 4: Mine Safety Disclosures</w:t>
      </w:r>
    </w:p>
    <w:p>
      <w:pPr>
        <w:pStyle w:val="TextBody"/>
        <w:bidi w:val="0"/>
        <w:spacing w:lineRule="auto" w:line="288" w:before="0" w:after="200"/>
        <w:jc w:val="both"/>
        <w:rPr>
          <w:rFonts w:ascii="Adelle Sans Light;sans-serif" w:hAnsi="Adelle Sans Light;sans-serif"/>
          <w:b w:val="false"/>
          <w:color w:val="000000"/>
          <w:sz w:val="20"/>
        </w:rPr>
      </w:pPr>
      <w:r>
        <w:rPr>
          <w:rFonts w:ascii="Adelle Sans Light;sans-serif" w:hAnsi="Adelle Sans Light;sans-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7955"/>
                <wp:effectExtent l="0" t="0" r="0" b="0"/>
                <wp:wrapNone/>
                <wp:docPr id="47" name="Frame46"/>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200"/>
                              <w:jc w:val="center"/>
                              <w:rPr>
                                <w:rFonts w:ascii="Adelle Sans Light;sans-serif" w:hAnsi="Adelle Sans Light;sans-serif"/>
                                <w:b w:val="false"/>
                                <w:color w:val="000000"/>
                                <w:sz w:val="20"/>
                              </w:rPr>
                            </w:pPr>
                            <w:r>
                              <w:rPr>
                                <w:rFonts w:ascii="Adelle Sans Light;sans-serif" w:hAnsi="Adelle Sans Light;sans-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Adelle Sans Light;sans-serif" w:hAnsi="Adelle Sans Light;sans-serif"/>
                          <w:b w:val="false"/>
                          <w:color w:val="000000"/>
                          <w:sz w:val="20"/>
                        </w:rPr>
                      </w:pPr>
                      <w:r>
                        <w:rPr>
                          <w:rFonts w:ascii="Adelle Sans Light;sans-serif" w:hAnsi="Adelle Sans Light;sans-serif"/>
                          <w:b w:val="false"/>
                          <w:color w:val="000000"/>
                          <w:sz w:val="20"/>
                        </w:rPr>
                        <w:t>46</w:t>
                      </w:r>
                    </w:p>
                  </w:txbxContent>
                </v:textbox>
                <w10:wrap type="none"/>
              </v:rect>
            </w:pict>
          </mc:Fallback>
        </mc:AlternateContent>
      </w:r>
    </w:p>
    <w:p>
      <w:pPr>
        <w:pStyle w:val="TextBody"/>
        <w:bidi w:val="0"/>
        <w:spacing w:lineRule="auto" w:line="288" w:before="0" w:after="200"/>
        <w:jc w:val="both"/>
        <w:rPr/>
      </w:pPr>
      <w:hyperlink w:anchor="iccccf23fa31e44f0aa82c99ca0859db8_7">
        <w:r>
          <w:rPr>
            <w:rStyle w:val="InternetLink"/>
            <w:rFonts w:ascii="Adelle Sans Light;sans-serif" w:hAnsi="Adelle Sans Light;sans-serif"/>
            <w:b w:val="false"/>
            <w:color w:val="0000FF"/>
            <w:sz w:val="20"/>
            <w:u w:val="single"/>
          </w:rPr>
          <w:t>Table of Contents</w:t>
        </w:r>
      </w:hyperlink>
    </w:p>
    <w:p>
      <w:pPr>
        <w:pStyle w:val="TextBody"/>
        <w:bidi w:val="0"/>
        <w:spacing w:lineRule="auto" w:line="288" w:before="0" w:after="200"/>
        <w:jc w:val="left"/>
        <w:rPr>
          <w:rFonts w:ascii="Adelle Sans;sans-serif" w:hAnsi="Adelle Sans;sans-serif"/>
          <w:b/>
          <w:color w:val="000000"/>
          <w:sz w:val="20"/>
        </w:rPr>
      </w:pPr>
      <w:bookmarkStart w:id="138" w:name="i8be6a663cf0647bfa7972ee2378d31bf"/>
      <w:bookmarkEnd w:id="138"/>
      <w:r>
        <w:rPr>
          <w:rFonts w:ascii="Adelle Sans;sans-serif" w:hAnsi="Adelle Sans;sans-serif"/>
          <w:b/>
          <w:color w:val="000000"/>
          <w:sz w:val="20"/>
        </w:rPr>
        <w:t>Item 5: Other Information</w:t>
      </w:r>
    </w:p>
    <w:p>
      <w:pPr>
        <w:pStyle w:val="TextBody"/>
        <w:bidi w:val="0"/>
        <w:spacing w:lineRule="auto" w:line="288" w:before="0" w:after="200"/>
        <w:jc w:val="both"/>
        <w:rPr>
          <w:rFonts w:ascii="Adelle Sans Light;sans-serif" w:hAnsi="Adelle Sans Light;sans-serif"/>
          <w:b w:val="false"/>
          <w:color w:val="000000"/>
          <w:sz w:val="20"/>
        </w:rPr>
      </w:pPr>
      <w:r>
        <w:rPr>
          <w:rFonts w:ascii="Adelle Sans Light;sans-serif" w:hAnsi="Adelle Sans Light;sans-serif"/>
          <w:b w:val="false"/>
          <w:color w:val="000000"/>
          <w:sz w:val="20"/>
        </w:rPr>
        <w:t>During the three months ended June 30, 2026, Jeff Hoffmeister, the Company's Chief Financial Officer, adopted a trading plan that provides for the potential sale of up to 20,000 of the Company’s Class A Subordinate Voting Shares. The plan will terminate on June 15, 2027, subject to early termination for certain specified events set forth in the plan.</w:t>
      </w:r>
    </w:p>
    <w:p>
      <w:pPr>
        <w:pStyle w:val="TextBody"/>
        <w:bidi w:val="0"/>
        <w:spacing w:lineRule="auto" w:line="288" w:before="0" w:after="200"/>
        <w:jc w:val="both"/>
        <w:rPr>
          <w:rFonts w:ascii="Adelle Sans Light;sans-serif" w:hAnsi="Adelle Sans Light;sans-serif"/>
          <w:b w:val="false"/>
          <w:color w:val="000000"/>
          <w:sz w:val="20"/>
        </w:rPr>
      </w:pPr>
      <w:r>
        <w:rPr>
          <w:rFonts w:ascii="Adelle Sans Light;sans-serif" w:hAnsi="Adelle Sans Light;sans-serif"/>
          <w:b w:val="false"/>
          <w:color w:val="000000"/>
          <w:sz w:val="20"/>
        </w:rPr>
        <w:t xml:space="preserve">On July 31, 2026, the Company entered into a new employment agreement with Jessica Hertz, the Company's Chief Operating Officer, in connection with her relocation to Toronto, Canada. The agreement supersedes Ms. Hertz's prior employment agreement dated March 23, 2022. Her base salary, granted equity awards, and change of control benefits remain unchanged. The agreement includes, among other things, provisions regarding the Company's benefit plans, entitlements on termination, and confidentiality, non-competition and non-solicitation. </w:t>
      </w:r>
    </w:p>
    <w:p>
      <w:pPr>
        <w:pStyle w:val="TextBody"/>
        <w:bidi w:val="0"/>
        <w:spacing w:lineRule="auto" w:line="288" w:before="0" w:after="200"/>
        <w:jc w:val="both"/>
        <w:rPr>
          <w:rFonts w:ascii="Adelle Sans Light;sans-serif" w:hAnsi="Adelle Sans Light;sans-serif"/>
          <w:b w:val="false"/>
          <w:color w:val="000000"/>
          <w:sz w:val="20"/>
        </w:rPr>
      </w:pPr>
      <w:r>
        <w:rPr>
          <w:rFonts w:ascii="Adelle Sans Light;sans-serif" w:hAnsi="Adelle Sans Light;sans-serif"/>
          <w:b w:val="false"/>
          <w:color w:val="000000"/>
          <w:sz w:val="20"/>
        </w:rPr>
        <w:t xml:space="preserve">The Company also agreed to provide relocation assistance addressing the costs arising from her change in country of employment. Ms. Hertz is eligible for reimbursement of documented relocation costs up to a cap, immigration and tax preparation services, and housing assistance for either the purchase of a residence or rental accommodation, but not both, subject to a maximum in each case and limited to costs incurred within 24 months following the relocation. Ms. Hertz is also eligible for equalization amounts with respect to her base salary, equity compensation, and these relocation benefits, which are intended to offset the financial impact of the relocation. Actual amounts incurred will be included, as appropriate, in the Company’s annual executive compensation disclosures. </w:t>
      </w:r>
    </w:p>
    <w:p>
      <w:pPr>
        <w:pStyle w:val="TextBody"/>
        <w:bidi w:val="0"/>
        <w:spacing w:before="0" w:after="20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7955"/>
                <wp:effectExtent l="0" t="0" r="0" b="0"/>
                <wp:wrapNone/>
                <wp:docPr id="48" name="Frame47"/>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200"/>
                              <w:jc w:val="center"/>
                              <w:rPr>
                                <w:rFonts w:ascii="Adelle Sans Light;sans-serif" w:hAnsi="Adelle Sans Light;sans-serif"/>
                                <w:b w:val="false"/>
                                <w:color w:val="000000"/>
                                <w:sz w:val="20"/>
                              </w:rPr>
                            </w:pPr>
                            <w:r>
                              <w:rPr>
                                <w:rFonts w:ascii="Adelle Sans Light;sans-serif" w:hAnsi="Adelle Sans Light;sans-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Adelle Sans Light;sans-serif" w:hAnsi="Adelle Sans Light;sans-serif"/>
                          <w:b w:val="false"/>
                          <w:color w:val="000000"/>
                          <w:sz w:val="20"/>
                        </w:rPr>
                      </w:pPr>
                      <w:r>
                        <w:rPr>
                          <w:rFonts w:ascii="Adelle Sans Light;sans-serif" w:hAnsi="Adelle Sans Light;sans-serif"/>
                          <w:b w:val="false"/>
                          <w:color w:val="000000"/>
                          <w:sz w:val="20"/>
                        </w:rPr>
                        <w:t>47</w:t>
                      </w:r>
                    </w:p>
                  </w:txbxContent>
                </v:textbox>
                <w10:wrap type="none"/>
              </v:rect>
            </w:pict>
          </mc:Fallback>
        </mc:AlternateContent>
      </w:r>
    </w:p>
    <w:p>
      <w:pPr>
        <w:pStyle w:val="TextBody"/>
        <w:bidi w:val="0"/>
        <w:spacing w:lineRule="auto" w:line="288" w:before="0" w:after="0"/>
        <w:jc w:val="left"/>
        <w:rPr/>
      </w:pPr>
      <w:hyperlink w:anchor="iccccf23fa31e44f0aa82c99ca0859db8_7">
        <w:r>
          <w:rPr>
            <w:rStyle w:val="InternetLink"/>
            <w:rFonts w:ascii="Adelle Sans Light;sans-serif" w:hAnsi="Adelle Sans Light;sans-serif"/>
            <w:b w:val="false"/>
            <w:color w:val="0000FF"/>
            <w:sz w:val="20"/>
            <w:u w:val="single"/>
          </w:rPr>
          <w:t>Table of Contents</w:t>
        </w:r>
      </w:hyperlink>
    </w:p>
    <w:p>
      <w:pPr>
        <w:pStyle w:val="TextBody"/>
        <w:bidi w:val="0"/>
        <w:spacing w:lineRule="auto" w:line="288" w:before="0" w:after="0"/>
        <w:jc w:val="left"/>
        <w:rPr>
          <w:rFonts w:ascii="Adelle Sans;sans-serif" w:hAnsi="Adelle Sans;sans-serif"/>
          <w:b/>
          <w:color w:val="000000"/>
          <w:sz w:val="20"/>
        </w:rPr>
      </w:pPr>
      <w:bookmarkStart w:id="139" w:name="ic66f2ad0762a457595a5ce4cf5738b43"/>
      <w:bookmarkEnd w:id="139"/>
      <w:r>
        <w:rPr>
          <w:rFonts w:ascii="Adelle Sans;sans-serif" w:hAnsi="Adelle Sans;sans-serif"/>
          <w:b/>
          <w:color w:val="000000"/>
          <w:sz w:val="20"/>
        </w:rPr>
        <w:t>Item 6: Exhibits</w:t>
      </w:r>
    </w:p>
    <w:p>
      <w:pPr>
        <w:pStyle w:val="TextBody"/>
        <w:bidi w:val="0"/>
        <w:spacing w:lineRule="auto" w:line="288" w:before="0" w:after="20"/>
        <w:jc w:val="center"/>
        <w:rPr>
          <w:rFonts w:ascii="Adelle Sans;sans-serif" w:hAnsi="Adelle Sans;sans-serif"/>
          <w:b/>
          <w:color w:val="000000"/>
          <w:sz w:val="20"/>
        </w:rPr>
      </w:pPr>
      <w:bookmarkStart w:id="140" w:name="i960dbf443fec482583cc7f6bf33c7867"/>
      <w:bookmarkEnd w:id="140"/>
      <w:r>
        <w:rPr>
          <w:rFonts w:ascii="Adelle Sans;sans-serif" w:hAnsi="Adelle Sans;sans-serif"/>
          <w:b/>
          <w:color w:val="000000"/>
          <w:sz w:val="20"/>
        </w:rPr>
        <w:t>Index to Exhibits</w:t>
      </w:r>
    </w:p>
    <w:tbl>
      <w:tblPr>
        <w:tblW w:w="10205" w:type="dxa"/>
        <w:jc w:val="left"/>
        <w:tblInd w:w="0" w:type="dxa"/>
        <w:tblLayout w:type="fixed"/>
        <w:tblCellMar>
          <w:top w:w="28" w:type="dxa"/>
          <w:left w:w="28" w:type="dxa"/>
          <w:bottom w:w="28" w:type="dxa"/>
          <w:right w:w="28" w:type="dxa"/>
        </w:tblCellMar>
      </w:tblPr>
      <w:tblGrid>
        <w:gridCol w:w="198"/>
        <w:gridCol w:w="174"/>
        <w:gridCol w:w="176"/>
        <w:gridCol w:w="2251"/>
        <w:gridCol w:w="1912"/>
        <w:gridCol w:w="1918"/>
        <w:gridCol w:w="401"/>
        <w:gridCol w:w="401"/>
        <w:gridCol w:w="402"/>
        <w:gridCol w:w="206"/>
        <w:gridCol w:w="206"/>
        <w:gridCol w:w="163"/>
        <w:gridCol w:w="194"/>
        <w:gridCol w:w="123"/>
        <w:gridCol w:w="123"/>
        <w:gridCol w:w="245"/>
        <w:gridCol w:w="245"/>
        <w:gridCol w:w="246"/>
        <w:gridCol w:w="215"/>
        <w:gridCol w:w="215"/>
        <w:gridCol w:w="191"/>
      </w:tblGrid>
      <w:tr>
        <w:trPr/>
        <w:tc>
          <w:tcPr>
            <w:tcW w:w="198"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2251" w:type="dxa"/>
            <w:tcBorders/>
            <w:vAlign w:val="center"/>
          </w:tcPr>
          <w:p>
            <w:pPr>
              <w:pStyle w:val="TableContents"/>
              <w:bidi w:val="0"/>
              <w:spacing w:before="0" w:after="283"/>
              <w:jc w:val="left"/>
              <w:rPr>
                <w:sz w:val="4"/>
                <w:szCs w:val="4"/>
              </w:rPr>
            </w:pPr>
            <w:r>
              <w:rPr>
                <w:sz w:val="4"/>
                <w:szCs w:val="4"/>
              </w:rPr>
            </w:r>
          </w:p>
        </w:tc>
        <w:tc>
          <w:tcPr>
            <w:tcW w:w="1912" w:type="dxa"/>
            <w:tcBorders/>
            <w:vAlign w:val="center"/>
          </w:tcPr>
          <w:p>
            <w:pPr>
              <w:pStyle w:val="TableContents"/>
              <w:bidi w:val="0"/>
              <w:spacing w:before="0" w:after="283"/>
              <w:jc w:val="left"/>
              <w:rPr>
                <w:sz w:val="4"/>
                <w:szCs w:val="4"/>
              </w:rPr>
            </w:pPr>
            <w:r>
              <w:rPr>
                <w:sz w:val="4"/>
                <w:szCs w:val="4"/>
              </w:rPr>
            </w:r>
          </w:p>
        </w:tc>
        <w:tc>
          <w:tcPr>
            <w:tcW w:w="1918"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5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2"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Adelle Sans;sans-serif" w:hAnsi="Adelle Sans;sans-serif"/>
                <w:b w:val="false"/>
                <w:color w:val="000000"/>
                <w:sz w:val="18"/>
              </w:rPr>
            </w:pPr>
            <w:r>
              <w:rPr>
                <w:rFonts w:ascii="Adelle Sans;sans-serif" w:hAnsi="Adelle Sans;sans-serif"/>
                <w:b w:val="false"/>
                <w:color w:val="000000"/>
                <w:sz w:val="18"/>
              </w:rPr>
              <w:t>Incorporated by Reference</w:t>
            </w:r>
          </w:p>
        </w:tc>
      </w:tr>
      <w:tr>
        <w:trPr/>
        <w:tc>
          <w:tcPr>
            <w:tcW w:w="54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delle Sans;sans-serif" w:hAnsi="Adelle Sans;sans-serif"/>
                <w:b w:val="false"/>
                <w:color w:val="000000"/>
                <w:sz w:val="18"/>
              </w:rPr>
            </w:pPr>
            <w:r>
              <w:rPr>
                <w:rFonts w:ascii="Adelle Sans;sans-serif" w:hAnsi="Adelle Sans;sans-serif"/>
                <w:b w:val="false"/>
                <w:color w:val="000000"/>
                <w:sz w:val="18"/>
              </w:rPr>
              <w:t>No.</w:t>
            </w:r>
          </w:p>
        </w:tc>
        <w:tc>
          <w:tcPr>
            <w:tcW w:w="60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delle Sans;sans-serif" w:hAnsi="Adelle Sans;sans-serif"/>
                <w:b w:val="false"/>
                <w:color w:val="000000"/>
                <w:sz w:val="18"/>
              </w:rPr>
            </w:pPr>
            <w:r>
              <w:rPr>
                <w:rFonts w:ascii="Adelle Sans;sans-serif" w:hAnsi="Adelle Sans;sans-serif"/>
                <w:b w:val="false"/>
                <w:color w:val="000000"/>
                <w:sz w:val="18"/>
              </w:rPr>
              <w:t>Exhibit Description</w:t>
            </w:r>
          </w:p>
        </w:tc>
        <w:tc>
          <w:tcPr>
            <w:tcW w:w="120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delle Sans;sans-serif" w:hAnsi="Adelle Sans;sans-serif"/>
                <w:b w:val="false"/>
                <w:color w:val="000000"/>
                <w:sz w:val="18"/>
              </w:rPr>
            </w:pPr>
            <w:r>
              <w:rPr>
                <w:rFonts w:ascii="Adelle Sans;sans-serif" w:hAnsi="Adelle Sans;sans-serif"/>
                <w:b w:val="false"/>
                <w:color w:val="000000"/>
                <w:sz w:val="18"/>
              </w:rPr>
              <w:t>Filed or Furnished with this 10-Q</w:t>
            </w:r>
          </w:p>
        </w:tc>
        <w:tc>
          <w:tcPr>
            <w:tcW w:w="57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delle Sans;sans-serif" w:hAnsi="Adelle Sans;sans-serif"/>
                <w:b w:val="false"/>
                <w:color w:val="000000"/>
                <w:sz w:val="18"/>
              </w:rPr>
            </w:pPr>
            <w:r>
              <w:rPr>
                <w:rFonts w:ascii="Adelle Sans;sans-serif" w:hAnsi="Adelle Sans;sans-serif"/>
                <w:b w:val="false"/>
                <w:color w:val="000000"/>
                <w:sz w:val="18"/>
              </w:rPr>
              <w:t>Form</w:t>
            </w:r>
          </w:p>
        </w:tc>
        <w:tc>
          <w:tcPr>
            <w:tcW w:w="44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delle Sans;sans-serif" w:hAnsi="Adelle Sans;sans-serif"/>
                <w:b w:val="false"/>
                <w:color w:val="000000"/>
                <w:sz w:val="18"/>
              </w:rPr>
            </w:pPr>
            <w:r>
              <w:rPr>
                <w:rFonts w:ascii="Adelle Sans;sans-serif" w:hAnsi="Adelle Sans;sans-serif"/>
                <w:b w:val="false"/>
                <w:color w:val="000000"/>
                <w:sz w:val="18"/>
              </w:rPr>
              <w:t>File No.</w:t>
            </w:r>
          </w:p>
        </w:tc>
        <w:tc>
          <w:tcPr>
            <w:tcW w:w="7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delle Sans;sans-serif" w:hAnsi="Adelle Sans;sans-serif"/>
                <w:b w:val="false"/>
                <w:color w:val="000000"/>
                <w:sz w:val="18"/>
              </w:rPr>
            </w:pPr>
            <w:r>
              <w:rPr>
                <w:rFonts w:ascii="Adelle Sans;sans-serif" w:hAnsi="Adelle Sans;sans-serif"/>
                <w:b w:val="false"/>
                <w:color w:val="000000"/>
                <w:sz w:val="18"/>
              </w:rPr>
              <w:t>Exhibit</w:t>
            </w:r>
          </w:p>
        </w:tc>
        <w:tc>
          <w:tcPr>
            <w:tcW w:w="62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delle Sans;sans-serif" w:hAnsi="Adelle Sans;sans-serif"/>
                <w:b w:val="false"/>
                <w:color w:val="000000"/>
                <w:sz w:val="18"/>
              </w:rPr>
            </w:pPr>
            <w:r>
              <w:rPr>
                <w:rFonts w:ascii="Adelle Sans;sans-serif" w:hAnsi="Adelle Sans;sans-serif"/>
                <w:b w:val="false"/>
                <w:color w:val="000000"/>
                <w:sz w:val="18"/>
              </w:rPr>
              <w:t>Date Filed</w:t>
            </w:r>
          </w:p>
        </w:tc>
      </w:tr>
      <w:tr>
        <w:trPr/>
        <w:tc>
          <w:tcPr>
            <w:tcW w:w="54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left"/>
              <w:rPr/>
            </w:pPr>
            <w:hyperlink w:anchor="shopifyinc-jhertzcanadiane.htm">
              <w:r>
                <w:rPr>
                  <w:rStyle w:val="InternetLink"/>
                  <w:rFonts w:ascii="Adelle Sans;sans-serif" w:hAnsi="Adelle Sans;sans-serif"/>
                  <w:b w:val="false"/>
                  <w:color w:val="0000FF"/>
                  <w:sz w:val="18"/>
                  <w:u w:val="single"/>
                </w:rPr>
                <w:t>10.1</w:t>
              </w:r>
            </w:hyperlink>
          </w:p>
        </w:tc>
        <w:tc>
          <w:tcPr>
            <w:tcW w:w="608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left"/>
              <w:rPr/>
            </w:pPr>
            <w:hyperlink w:anchor="shopifyinc-jhertzcanadiane.htm">
              <w:r>
                <w:rPr>
                  <w:rStyle w:val="InternetLink"/>
                  <w:rFonts w:ascii="Adelle Sans;sans-serif" w:hAnsi="Adelle Sans;sans-serif"/>
                  <w:b w:val="false"/>
                  <w:color w:val="000080"/>
                  <w:sz w:val="18"/>
                  <w:u w:val="single"/>
                </w:rPr>
                <w:t>E</w:t>
              </w:r>
            </w:hyperlink>
            <w:hyperlink w:anchor="shopifyinc-jhertzcanadiane.htm">
              <w:r>
                <w:rPr>
                  <w:rStyle w:val="InternetLink"/>
                  <w:rFonts w:ascii="Adelle Sans;sans-serif" w:hAnsi="Adelle Sans;sans-serif"/>
                  <w:b w:val="false"/>
                  <w:color w:val="000080"/>
                  <w:sz w:val="18"/>
                  <w:u w:val="single"/>
                </w:rPr>
                <w:t xml:space="preserve">mployment Agreement, dated </w:t>
              </w:r>
            </w:hyperlink>
            <w:hyperlink w:anchor="shopifyinc-jhertzcanadiane.htm">
              <w:r>
                <w:rPr>
                  <w:rStyle w:val="InternetLink"/>
                  <w:rFonts w:ascii="Adelle Sans;sans-serif" w:hAnsi="Adelle Sans;sans-serif"/>
                  <w:b w:val="false"/>
                  <w:color w:val="000080"/>
                  <w:sz w:val="18"/>
                  <w:u w:val="single"/>
                </w:rPr>
                <w:t>July 31</w:t>
              </w:r>
            </w:hyperlink>
            <w:hyperlink w:anchor="shopifyinc-jhertzcanadiane.htm">
              <w:r>
                <w:rPr>
                  <w:rStyle w:val="InternetLink"/>
                  <w:rFonts w:ascii="Adelle Sans;sans-serif" w:hAnsi="Adelle Sans;sans-serif"/>
                  <w:b w:val="false"/>
                  <w:color w:val="000080"/>
                  <w:sz w:val="18"/>
                  <w:u w:val="single"/>
                </w:rPr>
                <w:t>, 2026, between Jessica Hertz and the Company</w:t>
              </w:r>
            </w:hyperlink>
          </w:p>
        </w:tc>
        <w:tc>
          <w:tcPr>
            <w:tcW w:w="120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delle Sans;sans-serif" w:hAnsi="Adelle Sans;sans-serif"/>
                <w:b w:val="false"/>
                <w:color w:val="000000"/>
                <w:sz w:val="18"/>
              </w:rPr>
            </w:pPr>
            <w:r>
              <w:rPr>
                <w:rFonts w:ascii="Adelle Sans;sans-serif" w:hAnsi="Adelle Sans;sans-serif"/>
                <w:b w:val="false"/>
                <w:color w:val="000000"/>
                <w:sz w:val="18"/>
              </w:rPr>
              <w:t>X</w:t>
            </w:r>
          </w:p>
        </w:tc>
        <w:tc>
          <w:tcPr>
            <w:tcW w:w="5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311302soxceoandcfo-.htm">
              <w:r>
                <w:rPr>
                  <w:rStyle w:val="InternetLink"/>
                  <w:rFonts w:ascii="Adelle Sans;sans-serif" w:hAnsi="Adelle Sans;sans-serif"/>
                  <w:b w:val="false"/>
                  <w:color w:val="0000FF"/>
                  <w:sz w:val="18"/>
                  <w:u w:val="single"/>
                </w:rPr>
                <w:t>31.1*</w:t>
              </w:r>
            </w:hyperlink>
          </w:p>
        </w:tc>
        <w:tc>
          <w:tcPr>
            <w:tcW w:w="608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311302soxceoandcfo-.htm">
              <w:r>
                <w:rPr>
                  <w:rStyle w:val="InternetLink"/>
                  <w:rFonts w:ascii="Adelle Sans;sans-serif" w:hAnsi="Adelle Sans;sans-serif"/>
                  <w:b w:val="false"/>
                  <w:color w:val="0000FF"/>
                  <w:sz w:val="18"/>
                  <w:u w:val="single"/>
                </w:rPr>
                <w:t>Certification of the Chief Executive Officer and the Chief Financial Officer pursuant to Section 302 of the Sarbanes-Oxley Act of 2002</w:t>
              </w:r>
            </w:hyperlink>
          </w:p>
        </w:tc>
        <w:tc>
          <w:tcPr>
            <w:tcW w:w="12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delle Sans;sans-serif" w:hAnsi="Adelle Sans;sans-serif"/>
                <w:b w:val="false"/>
                <w:color w:val="000000"/>
                <w:sz w:val="18"/>
              </w:rPr>
            </w:pPr>
            <w:r>
              <w:rPr>
                <w:rFonts w:ascii="Adelle Sans;sans-serif" w:hAnsi="Adelle Sans;sans-serif"/>
                <w:b w:val="false"/>
                <w:color w:val="000000"/>
                <w:sz w:val="18"/>
              </w:rPr>
              <w:t>X</w:t>
            </w:r>
          </w:p>
        </w:tc>
        <w:tc>
          <w:tcPr>
            <w:tcW w:w="5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321906soxceoandcfo-.htm">
              <w:r>
                <w:rPr>
                  <w:rStyle w:val="InternetLink"/>
                  <w:rFonts w:ascii="Adelle Sans;sans-serif" w:hAnsi="Adelle Sans;sans-serif"/>
                  <w:b w:val="false"/>
                  <w:color w:val="0000FF"/>
                  <w:sz w:val="18"/>
                  <w:u w:val="single"/>
                </w:rPr>
                <w:t>32.1*</w:t>
              </w:r>
            </w:hyperlink>
          </w:p>
        </w:tc>
        <w:tc>
          <w:tcPr>
            <w:tcW w:w="608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321906soxceoandcfo-.htm">
              <w:r>
                <w:rPr>
                  <w:rStyle w:val="InternetLink"/>
                  <w:rFonts w:ascii="Adelle Sans;sans-serif" w:hAnsi="Adelle Sans;sans-serif"/>
                  <w:b w:val="false"/>
                  <w:color w:val="0000FF"/>
                  <w:sz w:val="18"/>
                  <w:u w:val="single"/>
                </w:rPr>
                <w:t>Certification of the Chief Executive Officer and the Chief Financial Officer pursuant to 18 U.S.C. Section 1350, as adopted pursuant to Section 906 of the Sarbanes-Oxley Act of 2002</w:t>
              </w:r>
            </w:hyperlink>
          </w:p>
        </w:tc>
        <w:tc>
          <w:tcPr>
            <w:tcW w:w="12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delle Sans;sans-serif" w:hAnsi="Adelle Sans;sans-serif"/>
                <w:b w:val="false"/>
                <w:color w:val="000000"/>
                <w:sz w:val="18"/>
              </w:rPr>
            </w:pPr>
            <w:r>
              <w:rPr>
                <w:rFonts w:ascii="Adelle Sans;sans-serif" w:hAnsi="Adelle Sans;sans-serif"/>
                <w:b w:val="false"/>
                <w:color w:val="000000"/>
                <w:sz w:val="18"/>
              </w:rPr>
              <w:t>X</w:t>
            </w:r>
          </w:p>
        </w:tc>
        <w:tc>
          <w:tcPr>
            <w:tcW w:w="5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delle Sans;sans-serif" w:hAnsi="Adelle Sans;sans-serif"/>
                <w:b w:val="false"/>
                <w:color w:val="000000"/>
                <w:sz w:val="18"/>
              </w:rPr>
            </w:pPr>
            <w:r>
              <w:rPr>
                <w:rFonts w:ascii="Adelle Sans;sans-serif" w:hAnsi="Adelle Sans;sans-serif"/>
                <w:b w:val="false"/>
                <w:color w:val="000000"/>
                <w:sz w:val="18"/>
              </w:rPr>
              <w:t>101</w:t>
            </w:r>
          </w:p>
        </w:tc>
        <w:tc>
          <w:tcPr>
            <w:tcW w:w="608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delle Sans;sans-serif" w:hAnsi="Adelle Sans;sans-serif"/>
                <w:b w:val="false"/>
                <w:color w:val="000000"/>
                <w:sz w:val="18"/>
              </w:rPr>
            </w:pPr>
            <w:r>
              <w:rPr>
                <w:rFonts w:ascii="Adelle Sans;sans-serif" w:hAnsi="Adelle Sans;sans-serif"/>
                <w:b w:val="false"/>
                <w:color w:val="000000"/>
                <w:sz w:val="18"/>
              </w:rPr>
              <w:t>The following financial statements from the Company's Quarterly Report on Form 10-Q for the quarter ended June 30, 2026, formatted in Inline XBRL: (i) Condensed Consolidated Balance Sheets, (ii) Condensed Consolidated Statements of Operations and Comprehensive Income (Loss), (iii) Condensed Consolidated Statements of Changes in Shareholders' Equity, (iv) Condensed Consolidated Statements of Cash Flows and (v) Notes to the Condensed Consolidated Financial Statements, tagged as blocks of text and including detailed tags</w:t>
            </w:r>
          </w:p>
        </w:tc>
        <w:tc>
          <w:tcPr>
            <w:tcW w:w="12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delle Sans;sans-serif" w:hAnsi="Adelle Sans;sans-serif"/>
                <w:b w:val="false"/>
                <w:color w:val="000000"/>
                <w:sz w:val="18"/>
              </w:rPr>
            </w:pPr>
            <w:r>
              <w:rPr>
                <w:rFonts w:ascii="Adelle Sans;sans-serif" w:hAnsi="Adelle Sans;sans-serif"/>
                <w:b w:val="false"/>
                <w:color w:val="000000"/>
                <w:sz w:val="18"/>
              </w:rPr>
              <w:t>X</w:t>
            </w:r>
          </w:p>
        </w:tc>
        <w:tc>
          <w:tcPr>
            <w:tcW w:w="5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delle Sans;sans-serif" w:hAnsi="Adelle Sans;sans-serif"/>
                <w:b w:val="false"/>
                <w:color w:val="000000"/>
                <w:sz w:val="18"/>
              </w:rPr>
            </w:pPr>
            <w:r>
              <w:rPr>
                <w:rFonts w:ascii="Adelle Sans;sans-serif" w:hAnsi="Adelle Sans;sans-serif"/>
                <w:b w:val="false"/>
                <w:color w:val="000000"/>
                <w:sz w:val="18"/>
              </w:rPr>
              <w:t>104</w:t>
            </w:r>
          </w:p>
        </w:tc>
        <w:tc>
          <w:tcPr>
            <w:tcW w:w="608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delle Sans;sans-serif" w:hAnsi="Adelle Sans;sans-serif"/>
                <w:b w:val="false"/>
                <w:color w:val="000000"/>
                <w:sz w:val="18"/>
              </w:rPr>
            </w:pPr>
            <w:r>
              <w:rPr>
                <w:rFonts w:ascii="Adelle Sans;sans-serif" w:hAnsi="Adelle Sans;sans-serif"/>
                <w:b w:val="false"/>
                <w:color w:val="000000"/>
                <w:sz w:val="18"/>
              </w:rPr>
              <w:t>The cover page from the Company's Quarterly Report on Form 10-Q for the quarter ended June 30, 2026, formatted in Inline XBRL</w:t>
            </w:r>
          </w:p>
        </w:tc>
        <w:tc>
          <w:tcPr>
            <w:tcW w:w="12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delle Sans;sans-serif" w:hAnsi="Adelle Sans;sans-serif"/>
                <w:b w:val="false"/>
                <w:color w:val="000000"/>
                <w:sz w:val="18"/>
              </w:rPr>
            </w:pPr>
            <w:r>
              <w:rPr>
                <w:rFonts w:ascii="Adelle Sans;sans-serif" w:hAnsi="Adelle Sans;sans-serif"/>
                <w:b w:val="false"/>
                <w:color w:val="000000"/>
                <w:sz w:val="18"/>
              </w:rPr>
              <w:t>X</w:t>
            </w:r>
          </w:p>
        </w:tc>
        <w:tc>
          <w:tcPr>
            <w:tcW w:w="5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delle Sans;sans-serif" w:hAnsi="Adelle Sans;sans-serif"/>
                <w:b w:val="false"/>
                <w:color w:val="000000"/>
                <w:sz w:val="22"/>
              </w:rPr>
            </w:pPr>
            <w:r>
              <w:rPr>
                <w:rFonts w:ascii="Adelle Sans;sans-serif" w:hAnsi="Adelle Sans;sans-serif"/>
                <w:b w:val="false"/>
                <w:color w:val="000000"/>
                <w:sz w:val="22"/>
              </w:rPr>
              <w:t>*</w:t>
            </w:r>
          </w:p>
        </w:tc>
        <w:tc>
          <w:tcPr>
            <w:tcW w:w="9657" w:type="dxa"/>
            <w:gridSpan w:val="18"/>
            <w:tcBorders/>
            <w:tcMar>
              <w:top w:w="0" w:type="dxa"/>
              <w:left w:w="0" w:type="dxa"/>
              <w:bottom w:w="0" w:type="dxa"/>
              <w:right w:w="0" w:type="dxa"/>
            </w:tcMar>
            <w:vAlign w:val="center"/>
          </w:tcPr>
          <w:p>
            <w:pPr>
              <w:pStyle w:val="TableContents"/>
              <w:bidi w:val="0"/>
              <w:spacing w:lineRule="auto" w:line="240" w:before="0" w:after="283"/>
              <w:jc w:val="left"/>
              <w:rPr>
                <w:rFonts w:ascii="Adelle Sans;sans-serif" w:hAnsi="Adelle Sans;sans-serif"/>
                <w:b w:val="false"/>
                <w:color w:val="000000"/>
                <w:sz w:val="18"/>
              </w:rPr>
            </w:pPr>
            <w:r>
              <w:rPr>
                <w:rFonts w:ascii="Adelle Sans;sans-serif" w:hAnsi="Adelle Sans;sans-serif"/>
                <w:b w:val="false"/>
                <w:color w:val="000000"/>
                <w:sz w:val="18"/>
              </w:rPr>
              <w:t>These certifications are not deemed filed by the SEC and are not to be incorporated by reference in any filing we make under the Securities Act of 1933 or the Securities Exchange Act of 1934, irrespective of any general incorporation language in any filings.</w:t>
            </w:r>
          </w:p>
        </w:tc>
      </w:tr>
      <w:tr>
        <w:trPr/>
        <w:tc>
          <w:tcPr>
            <w:tcW w:w="5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7" w:type="dxa"/>
            <w:gridSpan w:val="18"/>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center"/>
        <w:rPr>
          <w:rFonts w:ascii="Adelle Sans;sans-serif" w:hAnsi="Adelle Sans;sans-serif"/>
          <w:b/>
          <w:color w:val="000000"/>
          <w:sz w:val="20"/>
        </w:rPr>
      </w:pPr>
      <w:bookmarkStart w:id="141" w:name="ic6faff9cb4014fd49bbf5a6987a3e90c"/>
      <w:bookmarkEnd w:id="141"/>
      <w:r>
        <w:rPr>
          <w:rFonts w:ascii="Adelle Sans;sans-serif" w:hAnsi="Adelle Sans;sans-serif"/>
          <w:b/>
          <w:color w:val="000000"/>
          <w:sz w:val="20"/>
        </w:rPr>
        <w:t>Signatures</w:t>
      </w:r>
    </w:p>
    <w:p>
      <w:pPr>
        <w:pStyle w:val="TextBody"/>
        <w:bidi w:val="0"/>
        <w:spacing w:lineRule="auto" w:line="288" w:before="0" w:after="200"/>
        <w:jc w:val="both"/>
        <w:rPr>
          <w:rFonts w:ascii="Adelle Sans Light;sans-serif" w:hAnsi="Adelle Sans Light;sans-serif"/>
          <w:b w:val="false"/>
          <w:color w:val="000000"/>
          <w:sz w:val="20"/>
        </w:rPr>
      </w:pPr>
      <w:r>
        <w:rPr>
          <w:rFonts w:ascii="Adelle Sans Light;sans-serif" w:hAnsi="Adelle Sans Light;sans-serif"/>
          <w:b w:val="false"/>
          <w:color w:val="000000"/>
          <w:sz w:val="20"/>
        </w:rPr>
        <w:t>Pursuant to the requirements of the Securities Exchange Act of 1934, the registrant has duly caused this report to be signed on its behalf by the undersigned, thereunto duly authorized.</w:t>
      </w:r>
    </w:p>
    <w:p>
      <w:pPr>
        <w:pStyle w:val="TextBody"/>
        <w:bidi w:val="0"/>
        <w:spacing w:lineRule="auto" w:line="288" w:before="0" w:after="80"/>
        <w:jc w:val="right"/>
        <w:rPr>
          <w:rFonts w:ascii="Adelle Sans Light;sans-serif" w:hAnsi="Adelle Sans Light;sans-serif"/>
          <w:b w:val="false"/>
          <w:color w:val="000000"/>
          <w:sz w:val="20"/>
        </w:rPr>
      </w:pPr>
      <w:r>
        <w:rPr>
          <w:rFonts w:ascii="Adelle Sans Light;sans-serif" w:hAnsi="Adelle Sans Light;sans-serif"/>
          <w:b w:val="false"/>
          <w:color w:val="000000"/>
          <w:sz w:val="20"/>
        </w:rPr>
        <w:t>August 5, 2026</w:t>
      </w:r>
    </w:p>
    <w:p>
      <w:pPr>
        <w:pStyle w:val="TextBody"/>
        <w:bidi w:val="0"/>
        <w:spacing w:lineRule="auto" w:line="288" w:before="0" w:after="80"/>
        <w:jc w:val="right"/>
        <w:rPr>
          <w:rFonts w:ascii="Adelle Sans Light;sans-serif" w:hAnsi="Adelle Sans Light;sans-serif"/>
          <w:b w:val="false"/>
          <w:color w:val="000000"/>
          <w:sz w:val="20"/>
        </w:rPr>
      </w:pPr>
      <w:r>
        <w:rPr>
          <w:rFonts w:ascii="Adelle Sans Light;sans-serif" w:hAnsi="Adelle Sans Light;sans-serif"/>
          <w:b w:val="false"/>
          <w:color w:val="000000"/>
          <w:sz w:val="20"/>
        </w:rPr>
        <w:t>Shopify Inc.</w:t>
      </w:r>
    </w:p>
    <w:p>
      <w:pPr>
        <w:pStyle w:val="TextBody"/>
        <w:bidi w:val="0"/>
        <w:spacing w:before="0" w:after="200"/>
        <w:jc w:val="right"/>
        <w:rPr/>
      </w:pPr>
      <w:r>
        <w:rPr/>
      </w:r>
    </w:p>
    <w:tbl>
      <w:tblPr>
        <w:tblW w:w="2714" w:type="dxa"/>
        <w:jc w:val="right"/>
        <w:tblInd w:w="0" w:type="dxa"/>
        <w:tblLayout w:type="fixed"/>
        <w:tblCellMar>
          <w:top w:w="28" w:type="dxa"/>
          <w:left w:w="28" w:type="dxa"/>
          <w:bottom w:w="28" w:type="dxa"/>
          <w:right w:w="28" w:type="dxa"/>
        </w:tblCellMar>
      </w:tblPr>
      <w:tblGrid>
        <w:gridCol w:w="868"/>
        <w:gridCol w:w="764"/>
        <w:gridCol w:w="1082"/>
      </w:tblGrid>
      <w:tr>
        <w:trPr/>
        <w:tc>
          <w:tcPr>
            <w:tcW w:w="868"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1082" w:type="dxa"/>
            <w:tcBorders/>
            <w:vAlign w:val="center"/>
          </w:tcPr>
          <w:p>
            <w:pPr>
              <w:pStyle w:val="TableContents"/>
              <w:bidi w:val="0"/>
              <w:spacing w:before="0" w:after="283"/>
              <w:jc w:val="left"/>
              <w:rPr>
                <w:sz w:val="4"/>
                <w:szCs w:val="4"/>
              </w:rPr>
            </w:pPr>
            <w:r>
              <w:rPr>
                <w:sz w:val="4"/>
                <w:szCs w:val="4"/>
              </w:rPr>
            </w:r>
          </w:p>
        </w:tc>
      </w:tr>
      <w:tr>
        <w:trPr/>
        <w:tc>
          <w:tcPr>
            <w:tcW w:w="2714" w:type="dxa"/>
            <w:gridSpan w:val="3"/>
            <w:tcBorders/>
            <w:tcMar>
              <w:top w:w="0" w:type="dxa"/>
              <w:left w:w="0" w:type="dxa"/>
              <w:bottom w:w="0" w:type="dxa"/>
              <w:right w:w="0" w:type="dxa"/>
            </w:tcMar>
            <w:vAlign w:val="center"/>
          </w:tcPr>
          <w:p>
            <w:pPr>
              <w:pStyle w:val="TableContents"/>
              <w:bidi w:val="0"/>
              <w:spacing w:lineRule="auto" w:line="240" w:before="0" w:after="100"/>
              <w:ind w:left="0" w:right="0" w:hanging="180"/>
              <w:jc w:val="right"/>
              <w:rPr>
                <w:rFonts w:ascii="Adelle Sans Light;sans-serif" w:hAnsi="Adelle Sans Light;sans-serif"/>
                <w:b w:val="false"/>
                <w:color w:val="000000"/>
                <w:sz w:val="20"/>
              </w:rPr>
            </w:pPr>
            <w:r>
              <w:rPr>
                <w:rFonts w:ascii="Adelle Sans Light;sans-serif" w:hAnsi="Adelle Sans Light;sans-serif"/>
                <w:b w:val="false"/>
                <w:color w:val="000000"/>
                <w:sz w:val="20"/>
              </w:rPr>
              <w:t>/S/ Jeff Hoffmeister</w:t>
            </w:r>
          </w:p>
        </w:tc>
      </w:tr>
      <w:tr>
        <w:trPr/>
        <w:tc>
          <w:tcPr>
            <w:tcW w:w="271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delle Sans Light;sans-serif" w:hAnsi="Adelle Sans Light;sans-serif"/>
                <w:b w:val="false"/>
                <w:color w:val="000000"/>
                <w:sz w:val="20"/>
              </w:rPr>
            </w:pPr>
            <w:r>
              <w:rPr>
                <w:rFonts w:ascii="Adelle Sans Light;sans-serif" w:hAnsi="Adelle Sans Light;sans-serif"/>
                <w:b w:val="false"/>
                <w:color w:val="000000"/>
                <w:sz w:val="20"/>
              </w:rPr>
              <w:t>Jeff Hoffmeister</w:t>
            </w:r>
          </w:p>
        </w:tc>
      </w:tr>
      <w:tr>
        <w:trPr/>
        <w:tc>
          <w:tcPr>
            <w:tcW w:w="271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delle Sans Light;sans-serif" w:hAnsi="Adelle Sans Light;sans-serif"/>
                <w:b w:val="false"/>
                <w:color w:val="000000"/>
                <w:sz w:val="20"/>
              </w:rPr>
            </w:pPr>
            <w:r>
              <w:rPr>
                <w:rFonts w:ascii="Adelle Sans Light;sans-serif" w:hAnsi="Adelle Sans Light;sans-serif"/>
                <w:b w:val="false"/>
                <w:color w:val="000000"/>
                <w:sz w:val="20"/>
              </w:rPr>
              <w:t>Chief Financial Officer</w:t>
            </w:r>
          </w:p>
        </w:tc>
      </w:tr>
      <w:tr>
        <w:trPr/>
        <w:tc>
          <w:tcPr>
            <w:tcW w:w="271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delle Sans Light;sans-serif" w:hAnsi="Adelle Sans Light;sans-serif"/>
                <w:b w:val="false"/>
                <w:color w:val="000000"/>
                <w:sz w:val="20"/>
              </w:rPr>
            </w:pPr>
            <w:r>
              <w:rPr>
                <w:rFonts w:ascii="Adelle Sans Light;sans-serif" w:hAnsi="Adelle Sans Light;sans-serif"/>
                <w:b w:val="false"/>
                <w:color w:val="000000"/>
                <w:sz w:val="20"/>
              </w:rPr>
              <w:t>(principal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7955"/>
                <wp:effectExtent l="0" t="0" r="0" b="0"/>
                <wp:wrapNone/>
                <wp:docPr id="49" name="Frame48"/>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200"/>
                              <w:jc w:val="center"/>
                              <w:rPr>
                                <w:rFonts w:ascii="Adelle Sans Light;sans-serif" w:hAnsi="Adelle Sans Light;sans-serif"/>
                                <w:b w:val="false"/>
                                <w:color w:val="000000"/>
                                <w:sz w:val="20"/>
                              </w:rPr>
                            </w:pPr>
                            <w:r>
                              <w:rPr>
                                <w:rFonts w:ascii="Adelle Sans Light;sans-serif" w:hAnsi="Adelle Sans Light;sans-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200"/>
                        <w:jc w:val="center"/>
                        <w:rPr>
                          <w:rFonts w:ascii="Adelle Sans Light;sans-serif" w:hAnsi="Adelle Sans Light;sans-serif"/>
                          <w:b w:val="false"/>
                          <w:color w:val="000000"/>
                          <w:sz w:val="20"/>
                        </w:rPr>
                      </w:pPr>
                      <w:r>
                        <w:rPr>
                          <w:rFonts w:ascii="Adelle Sans Light;sans-serif" w:hAnsi="Adelle Sans Light;sans-serif"/>
                          <w:b w:val="false"/>
                          <w:color w:val="000000"/>
                          <w:sz w:val="20"/>
                        </w:rPr>
                        <w:t>48</w:t>
                      </w:r>
                    </w:p>
                  </w:txbxContent>
                </v:textbox>
                <w10:wrap type="none"/>
              </v:rect>
            </w:pict>
          </mc:Fallback>
        </mc:AlternateContent>
      </w:r>
    </w:p>
    <w:p>
      <w:pPr>
        <w:pStyle w:val="TextBody"/>
        <w:bidi w:val="0"/>
        <w:spacing w:lineRule="auto" w:line="288" w:before="0" w:after="0"/>
        <w:jc w:val="right"/>
        <w:rPr>
          <w:rFonts w:ascii="Adelle Sans;sans-serif" w:hAnsi="Adelle Sans;sans-serif"/>
          <w:b/>
          <w:color w:val="000000"/>
          <w:sz w:val="24"/>
        </w:rPr>
      </w:pPr>
      <w:r>
        <w:rPr>
          <w:rFonts w:ascii="Adelle Sans;sans-serif" w:hAnsi="Adelle Sans;sans-serif"/>
          <w:b/>
          <w:color w:val="000000"/>
          <w:sz w:val="24"/>
        </w:rPr>
        <w:t>Exhibit 10.1</w:t>
      </w:r>
    </w:p>
    <w:p>
      <w:pPr>
        <w:pStyle w:val="TextBody"/>
        <w:bidi w:val="0"/>
        <w:spacing w:before="0" w:after="0"/>
        <w:ind w:left="0" w:right="0" w:firstLine="720"/>
        <w:jc w:val="right"/>
        <w:rPr/>
      </w:pPr>
      <w:r>
        <w:rPr/>
      </w:r>
    </w:p>
    <w:p>
      <w:pPr>
        <w:pStyle w:val="TextBody"/>
        <w:bidi w:val="0"/>
        <w:spacing w:before="0" w:after="0"/>
        <w:ind w:left="0" w:right="0" w:firstLine="720"/>
        <w:jc w:val="right"/>
        <w:rPr/>
      </w:pPr>
      <w:r>
        <w:rPr/>
        <w:drawing>
          <wp:inline distT="0" distB="0" distL="0" distR="0">
            <wp:extent cx="1628775" cy="457200"/>
            <wp:effectExtent l="0" t="0" r="0" b="0"/>
            <wp:docPr id="50"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Image2" descr=""/>
                    <pic:cNvPicPr>
                      <a:picLocks noChangeAspect="1" noChangeArrowheads="1"/>
                    </pic:cNvPicPr>
                  </pic:nvPicPr>
                  <pic:blipFill>
                    <a:blip r:embed="rId3"/>
                    <a:stretch>
                      <a:fillRect/>
                    </a:stretch>
                  </pic:blipFill>
                  <pic:spPr bwMode="auto">
                    <a:xfrm>
                      <a:off x="0" y="0"/>
                      <a:ext cx="1628775" cy="457200"/>
                    </a:xfrm>
                    <a:prstGeom prst="rect">
                      <a:avLst/>
                    </a:prstGeom>
                  </pic:spPr>
                </pic:pic>
              </a:graphicData>
            </a:graphic>
          </wp:inline>
        </w:drawing>
      </w:r>
    </w:p>
    <w:p>
      <w:pPr>
        <w:pStyle w:val="TextBody"/>
        <w:bidi w:val="0"/>
        <w:spacing w:lineRule="auto" w:line="319" w:before="0" w:after="0"/>
        <w:ind w:left="0" w:right="0" w:firstLine="720"/>
        <w:jc w:val="right"/>
        <w:rPr>
          <w:rFonts w:ascii="Adelle Sans;sans-serif" w:hAnsi="Adelle Sans;sans-serif"/>
          <w:b w:val="false"/>
          <w:color w:val="000000"/>
          <w:sz w:val="24"/>
        </w:rPr>
      </w:pPr>
      <w:r>
        <w:rPr>
          <w:rFonts w:ascii="Adelle Sans;sans-serif" w:hAnsi="Adelle Sans;sans-serif"/>
          <w:b w:val="false"/>
          <w:color w:val="000000"/>
          <w:sz w:val="24"/>
        </w:rPr>
        <w:t>151 O'Connor St.</w:t>
      </w:r>
    </w:p>
    <w:p>
      <w:pPr>
        <w:pStyle w:val="TextBody"/>
        <w:bidi w:val="0"/>
        <w:spacing w:lineRule="auto" w:line="319" w:before="0" w:after="0"/>
        <w:ind w:left="0" w:right="0" w:firstLine="720"/>
        <w:jc w:val="right"/>
        <w:rPr>
          <w:rFonts w:ascii="Adelle Sans;sans-serif" w:hAnsi="Adelle Sans;sans-serif"/>
          <w:b w:val="false"/>
          <w:color w:val="000000"/>
          <w:sz w:val="24"/>
        </w:rPr>
      </w:pPr>
      <w:r>
        <w:rPr>
          <w:rFonts w:ascii="Adelle Sans;sans-serif" w:hAnsi="Adelle Sans;sans-serif"/>
          <w:b w:val="false"/>
          <w:color w:val="000000"/>
          <w:sz w:val="24"/>
        </w:rPr>
        <w:t>Ottawa, Ontario</w:t>
      </w:r>
    </w:p>
    <w:p>
      <w:pPr>
        <w:pStyle w:val="TextBody"/>
        <w:bidi w:val="0"/>
        <w:spacing w:lineRule="auto" w:line="319" w:before="0" w:after="0"/>
        <w:ind w:left="0" w:right="0" w:firstLine="720"/>
        <w:jc w:val="right"/>
        <w:rPr>
          <w:rFonts w:ascii="Adelle Sans;sans-serif" w:hAnsi="Adelle Sans;sans-serif"/>
          <w:b w:val="false"/>
          <w:color w:val="000000"/>
          <w:sz w:val="24"/>
        </w:rPr>
      </w:pPr>
      <w:r>
        <w:rPr>
          <w:rFonts w:ascii="Adelle Sans;sans-serif" w:hAnsi="Adelle Sans;sans-serif"/>
          <w:b w:val="false"/>
          <w:color w:val="000000"/>
          <w:sz w:val="24"/>
        </w:rPr>
        <w:t>K2P 2L8</w:t>
      </w:r>
    </w:p>
    <w:p>
      <w:pPr>
        <w:pStyle w:val="TextBody"/>
        <w:bidi w:val="0"/>
        <w:spacing w:lineRule="auto" w:line="319" w:before="0" w:after="0"/>
        <w:ind w:left="0" w:right="0" w:firstLine="720"/>
        <w:jc w:val="right"/>
        <w:rPr>
          <w:rFonts w:ascii="Adelle Sans;sans-serif" w:hAnsi="Adelle Sans;sans-serif"/>
          <w:b w:val="false"/>
          <w:color w:val="000000"/>
          <w:sz w:val="24"/>
        </w:rPr>
      </w:pPr>
      <w:r>
        <w:rPr>
          <w:rFonts w:ascii="Adelle Sans;sans-serif" w:hAnsi="Adelle Sans;sans-serif"/>
          <w:b w:val="false"/>
          <w:color w:val="000000"/>
          <w:sz w:val="24"/>
        </w:rPr>
        <w:t>T. 613-241-2828</w:t>
      </w:r>
    </w:p>
    <w:p>
      <w:pPr>
        <w:pStyle w:val="TextBody"/>
        <w:bidi w:val="0"/>
        <w:spacing w:before="0" w:after="0"/>
        <w:ind w:left="0" w:right="0" w:firstLine="720"/>
        <w:jc w:val="right"/>
        <w:rPr/>
      </w:pPr>
      <w:r>
        <w:rPr/>
      </w:r>
    </w:p>
    <w:p>
      <w:pPr>
        <w:pStyle w:val="TextBody"/>
        <w:bidi w:val="0"/>
        <w:spacing w:lineRule="auto" w:line="319" w:before="0" w:after="0"/>
        <w:ind w:left="0" w:right="0" w:firstLine="720"/>
        <w:jc w:val="right"/>
        <w:rPr>
          <w:rFonts w:ascii="Adelle Sans;sans-serif" w:hAnsi="Adelle Sans;sans-serif"/>
          <w:b/>
          <w:color w:val="000000"/>
          <w:sz w:val="24"/>
        </w:rPr>
      </w:pPr>
      <w:r>
        <w:rPr>
          <w:rFonts w:ascii="Adelle Sans;sans-serif" w:hAnsi="Adelle Sans;sans-serif"/>
          <w:b/>
          <w:color w:val="000000"/>
          <w:sz w:val="24"/>
        </w:rPr>
        <w:t>SHOPIFY.COM</w:t>
      </w:r>
    </w:p>
    <w:p>
      <w:pPr>
        <w:pStyle w:val="TextBody"/>
        <w:bidi w:val="0"/>
        <w:spacing w:before="0" w:after="0"/>
        <w:ind w:left="0" w:right="0" w:firstLine="72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Adelle Sans;sans-serif" w:hAnsi="Adelle Sans;sans-serif"/>
          <w:b/>
          <w:color w:val="000000"/>
          <w:sz w:val="24"/>
        </w:rPr>
      </w:pPr>
      <w:r>
        <w:rPr>
          <w:rFonts w:ascii="Adelle Sans;sans-serif" w:hAnsi="Adelle Sans;sans-serif"/>
          <w:b/>
          <w:color w:val="000000"/>
          <w:sz w:val="24"/>
        </w:rPr>
        <w:t>Jessica Hertz</w:t>
      </w:r>
    </w:p>
    <w:p>
      <w:pPr>
        <w:pStyle w:val="TextBody"/>
        <w:bidi w:val="0"/>
        <w:spacing w:before="0" w:after="0"/>
        <w:jc w:val="left"/>
        <w:rPr/>
      </w:pPr>
      <w:r>
        <w:rPr/>
      </w:r>
    </w:p>
    <w:p>
      <w:pPr>
        <w:pStyle w:val="TextBody"/>
        <w:bidi w:val="0"/>
        <w:spacing w:lineRule="auto" w:line="240" w:before="0" w:after="0"/>
        <w:jc w:val="left"/>
        <w:rPr>
          <w:rFonts w:ascii="Adelle Sans Light;sans-serif" w:hAnsi="Adelle Sans Light;sans-serif"/>
          <w:b w:val="false"/>
          <w:color w:val="000000"/>
          <w:sz w:val="24"/>
        </w:rPr>
      </w:pPr>
      <w:r>
        <w:rPr>
          <w:rFonts w:ascii="Adelle Sans Light;sans-serif" w:hAnsi="Adelle Sans Light;sans-serif"/>
          <w:b w:val="false"/>
          <w:color w:val="000000"/>
          <w:sz w:val="24"/>
        </w:rPr>
        <w:t>July 31, 2026</w:t>
      </w:r>
    </w:p>
    <w:p>
      <w:pPr>
        <w:pStyle w:val="TextBody"/>
        <w:bidi w:val="0"/>
        <w:spacing w:before="0" w:after="0"/>
        <w:jc w:val="left"/>
        <w:rPr/>
      </w:pPr>
      <w:r>
        <w:rPr/>
      </w:r>
    </w:p>
    <w:p>
      <w:pPr>
        <w:pStyle w:val="TextBody"/>
        <w:bidi w:val="0"/>
        <w:spacing w:lineRule="auto" w:line="240" w:before="0" w:after="0"/>
        <w:jc w:val="left"/>
        <w:rPr>
          <w:rFonts w:ascii="Adelle Sans Light;sans-serif" w:hAnsi="Adelle Sans Light;sans-serif"/>
          <w:b w:val="false"/>
          <w:color w:val="000000"/>
          <w:sz w:val="24"/>
        </w:rPr>
      </w:pPr>
      <w:r>
        <w:rPr>
          <w:rFonts w:ascii="Adelle Sans Light;sans-serif" w:hAnsi="Adelle Sans Light;sans-serif"/>
          <w:b w:val="false"/>
          <w:color w:val="000000"/>
          <w:sz w:val="24"/>
        </w:rPr>
        <w:t>Dear Jess,</w:t>
      </w:r>
    </w:p>
    <w:p>
      <w:pPr>
        <w:pStyle w:val="TextBody"/>
        <w:bidi w:val="0"/>
        <w:spacing w:before="0" w:after="0"/>
        <w:jc w:val="left"/>
        <w:rPr/>
      </w:pPr>
      <w:r>
        <w:rPr/>
      </w:r>
    </w:p>
    <w:p>
      <w:pPr>
        <w:pStyle w:val="TextBody"/>
        <w:bidi w:val="0"/>
        <w:spacing w:lineRule="auto" w:line="240" w:before="0" w:after="0"/>
        <w:jc w:val="left"/>
        <w:rPr>
          <w:rFonts w:ascii="Adelle Sans;sans-serif" w:hAnsi="Adelle Sans;sans-serif"/>
          <w:b/>
          <w:color w:val="000000"/>
          <w:sz w:val="24"/>
        </w:rPr>
      </w:pPr>
      <w:r>
        <w:rPr>
          <w:rFonts w:ascii="Adelle Sans;sans-serif" w:hAnsi="Adelle Sans;sans-serif"/>
          <w:b/>
          <w:color w:val="000000"/>
          <w:sz w:val="24"/>
        </w:rPr>
        <w:t>Offer of Employment</w:t>
      </w:r>
    </w:p>
    <w:p>
      <w:pPr>
        <w:pStyle w:val="TextBody"/>
        <w:bidi w:val="0"/>
        <w:spacing w:before="0" w:after="0"/>
        <w:jc w:val="left"/>
        <w:rPr/>
      </w:pPr>
      <w:r>
        <w:rPr/>
      </w:r>
    </w:p>
    <w:p>
      <w:pPr>
        <w:pStyle w:val="TextBody"/>
        <w:bidi w:val="0"/>
        <w:spacing w:lineRule="auto" w:line="240" w:before="0" w:after="0"/>
        <w:jc w:val="left"/>
        <w:rPr>
          <w:rFonts w:ascii="Adelle Sans Light;sans-serif" w:hAnsi="Adelle Sans Light;sans-serif"/>
          <w:b w:val="false"/>
          <w:color w:val="000000"/>
          <w:sz w:val="24"/>
        </w:rPr>
      </w:pPr>
      <w:r>
        <w:rPr>
          <w:rFonts w:ascii="Adelle Sans Light;sans-serif" w:hAnsi="Adelle Sans Light;sans-serif"/>
          <w:b w:val="false"/>
          <w:color w:val="000000"/>
          <w:sz w:val="24"/>
        </w:rPr>
        <w:t>INTRODUCTION</w:t>
      </w:r>
    </w:p>
    <w:p>
      <w:pPr>
        <w:pStyle w:val="TextBody"/>
        <w:bidi w:val="0"/>
        <w:spacing w:before="0" w:after="0"/>
        <w:jc w:val="left"/>
        <w:rPr/>
      </w:pPr>
      <w:r>
        <w:rPr/>
      </w:r>
    </w:p>
    <w:p>
      <w:pPr>
        <w:pStyle w:val="TextBody"/>
        <w:bidi w:val="0"/>
        <w:spacing w:lineRule="auto" w:line="240" w:before="0" w:after="0"/>
        <w:jc w:val="both"/>
        <w:rPr>
          <w:rFonts w:ascii="Adelle Sans Light;sans-serif" w:hAnsi="Adelle Sans Light;sans-serif"/>
          <w:b w:val="false"/>
          <w:color w:val="000000"/>
          <w:sz w:val="24"/>
        </w:rPr>
      </w:pPr>
      <w:r>
        <w:rPr>
          <w:rFonts w:ascii="Adelle Sans Light;sans-serif" w:hAnsi="Adelle Sans Light;sans-serif"/>
          <w:b w:val="false"/>
          <w:color w:val="000000"/>
          <w:sz w:val="24"/>
        </w:rPr>
        <w:t>In exchange for good and valuable consideration, including the benefits set out below in connection with your relocation to Toronto, Canada (the “Relocation”), you are entering into this agreement to confirm the terms and conditions of your employment with Shopify Inc. (“Shopify” or the “Company”) effective as of August 1, 2026 (this date, or the date you actually relocate to Toronto and begin work for the Company, is the “Effective Date”), conditional on you signing and returning a copy of this agreement before the Effective Date.</w:t>
      </w:r>
    </w:p>
    <w:p>
      <w:pPr>
        <w:pStyle w:val="TextBody"/>
        <w:bidi w:val="0"/>
        <w:spacing w:before="0" w:after="0"/>
        <w:jc w:val="left"/>
        <w:rPr/>
      </w:pPr>
      <w:r>
        <w:rPr/>
      </w:r>
    </w:p>
    <w:p>
      <w:pPr>
        <w:pStyle w:val="TextBody"/>
        <w:bidi w:val="0"/>
        <w:spacing w:lineRule="auto" w:line="240" w:before="0" w:after="0"/>
        <w:ind w:left="0" w:right="0" w:hanging="360"/>
        <w:jc w:val="left"/>
        <w:rPr>
          <w:rFonts w:ascii="Adelle Sans;sans-serif" w:hAnsi="Adelle Sans;sans-serif"/>
          <w:b/>
          <w:color w:val="000000"/>
          <w:sz w:val="24"/>
        </w:rPr>
      </w:pPr>
      <w:r>
        <w:rPr>
          <w:rFonts w:ascii="Adelle Sans;sans-serif" w:hAnsi="Adelle Sans;sans-serif"/>
          <w:b/>
          <w:color w:val="000000"/>
          <w:sz w:val="24"/>
        </w:rPr>
        <w:t>1.Position and Recognition of Service</w:t>
      </w:r>
    </w:p>
    <w:p>
      <w:pPr>
        <w:pStyle w:val="TextBody"/>
        <w:bidi w:val="0"/>
        <w:spacing w:before="0" w:after="0"/>
        <w:jc w:val="left"/>
        <w:rPr/>
      </w:pPr>
      <w:r>
        <w:rPr/>
      </w:r>
    </w:p>
    <w:p>
      <w:pPr>
        <w:pStyle w:val="TextBody"/>
        <w:bidi w:val="0"/>
        <w:spacing w:lineRule="auto" w:line="240" w:before="0" w:after="0"/>
        <w:jc w:val="both"/>
        <w:rPr>
          <w:rFonts w:ascii="Adelle Sans Light;sans-serif" w:hAnsi="Adelle Sans Light;sans-serif"/>
          <w:b w:val="false"/>
          <w:color w:val="000000"/>
          <w:sz w:val="24"/>
        </w:rPr>
      </w:pPr>
      <w:r>
        <w:rPr>
          <w:rFonts w:ascii="Adelle Sans Light;sans-serif" w:hAnsi="Adelle Sans Light;sans-serif"/>
          <w:b w:val="false"/>
          <w:color w:val="000000"/>
          <w:sz w:val="24"/>
        </w:rPr>
        <w:t>You will continue to be employed as a Chief Operating Officer and will report to Tobias Lütke, Chief Executive Officer. As you know, Shopify is a growing and dynamic company so you will be expected to complete other duties as assigned. All Shopifolk need to remain flexible in the types of work they do. This offer assumes that type of flexibility.</w:t>
      </w:r>
    </w:p>
    <w:p>
      <w:pPr>
        <w:pStyle w:val="TextBody"/>
        <w:bidi w:val="0"/>
        <w:spacing w:before="0" w:after="0"/>
        <w:jc w:val="left"/>
        <w:rPr/>
      </w:pPr>
      <w:r>
        <w:rPr/>
      </w:r>
    </w:p>
    <w:p>
      <w:pPr>
        <w:pStyle w:val="TextBody"/>
        <w:bidi w:val="0"/>
        <w:spacing w:lineRule="auto" w:line="240" w:before="0" w:after="0"/>
        <w:jc w:val="both"/>
        <w:rPr>
          <w:rFonts w:ascii="Adelle Sans Light;sans-serif" w:hAnsi="Adelle Sans Light;sans-serif"/>
          <w:b w:val="false"/>
          <w:color w:val="000000"/>
          <w:sz w:val="24"/>
        </w:rPr>
      </w:pPr>
      <w:r>
        <w:rPr>
          <w:rFonts w:ascii="Adelle Sans Light;sans-serif" w:hAnsi="Adelle Sans Light;sans-serif"/>
          <w:b w:val="false"/>
          <w:color w:val="000000"/>
          <w:sz w:val="24"/>
        </w:rPr>
        <w:t>We’ll continue to recognize your prior service with Shopify (USA), Inc. for the purposes of our internal service-based entitlements, the Additional Notice set out in the section entitled "Termination of Employment", as well as to the extent required by applicable employment standards legislation.</w:t>
      </w:r>
    </w:p>
    <w:p>
      <w:pPr>
        <w:pStyle w:val="TextBody"/>
        <w:bidi w:val="0"/>
        <w:spacing w:before="0" w:after="0"/>
        <w:jc w:val="left"/>
        <w:rPr/>
      </w:pPr>
      <w:r>
        <w:rPr/>
      </w:r>
    </w:p>
    <w:p>
      <w:pPr>
        <w:pStyle w:val="TextBody"/>
        <w:bidi w:val="0"/>
        <w:spacing w:lineRule="auto" w:line="240" w:before="0" w:after="0"/>
        <w:ind w:left="0" w:right="0" w:hanging="360"/>
        <w:jc w:val="left"/>
        <w:rPr>
          <w:rFonts w:ascii="Adelle Sans;sans-serif" w:hAnsi="Adelle Sans;sans-serif"/>
          <w:b/>
          <w:color w:val="000000"/>
          <w:sz w:val="24"/>
        </w:rPr>
      </w:pPr>
      <w:r>
        <w:rPr>
          <w:rFonts w:ascii="Adelle Sans;sans-serif" w:hAnsi="Adelle Sans;sans-serif"/>
          <w:b/>
          <w:color w:val="000000"/>
          <w:sz w:val="24"/>
        </w:rPr>
        <w:t>2.Suspension of Existing Agreement with the Subsidiary</w:t>
      </w:r>
    </w:p>
    <w:p>
      <w:pPr>
        <w:pStyle w:val="TextBody"/>
        <w:bidi w:val="0"/>
        <w:spacing w:before="0" w:after="0"/>
        <w:jc w:val="left"/>
        <w:rPr/>
      </w:pPr>
      <w:r>
        <w:rPr/>
      </w:r>
    </w:p>
    <w:p>
      <w:pPr>
        <w:pStyle w:val="TextBody"/>
        <w:bidi w:val="0"/>
        <w:spacing w:lineRule="auto" w:line="240" w:before="0" w:after="0"/>
        <w:jc w:val="both"/>
        <w:rPr>
          <w:rFonts w:ascii="Adelle Sans Light;sans-serif" w:hAnsi="Adelle Sans Light;sans-serif"/>
          <w:b w:val="false"/>
          <w:color w:val="000000"/>
          <w:sz w:val="24"/>
        </w:rPr>
      </w:pPr>
      <w:r>
        <w:rPr>
          <w:rFonts w:ascii="Adelle Sans Light;sans-serif" w:hAnsi="Adelle Sans Light;sans-serif"/>
          <w:b w:val="false"/>
          <w:color w:val="000000"/>
          <w:sz w:val="24"/>
        </w:rPr>
        <w:t xml:space="preserve">As of the Effective Date, your employment agreement with Shopify (USA), Inc. dated March 23, 2022 will be suspended and you will accrue no rights or benefits thereunder. </w:t>
      </w:r>
    </w:p>
    <w:p>
      <w:pPr>
        <w:pStyle w:val="TextBody"/>
        <w:bidi w:val="0"/>
        <w:spacing w:before="0" w:after="0"/>
        <w:jc w:val="left"/>
        <w:rPr/>
      </w:pPr>
      <w:r>
        <w:rPr/>
      </w:r>
    </w:p>
    <w:p>
      <w:pPr>
        <w:pStyle w:val="TextBody"/>
        <w:bidi w:val="0"/>
        <w:spacing w:lineRule="auto" w:line="240" w:before="0" w:after="0"/>
        <w:ind w:left="0" w:right="0" w:hanging="360"/>
        <w:jc w:val="left"/>
        <w:rPr>
          <w:rFonts w:ascii="Adelle Sans;sans-serif" w:hAnsi="Adelle Sans;sans-serif"/>
          <w:b/>
          <w:color w:val="000000"/>
          <w:sz w:val="24"/>
        </w:rPr>
      </w:pPr>
      <w:r>
        <w:rPr>
          <w:rFonts w:ascii="Adelle Sans;sans-serif" w:hAnsi="Adelle Sans;sans-serif"/>
          <w:b/>
          <w:color w:val="000000"/>
          <w:sz w:val="24"/>
        </w:rPr>
        <w:t>3.Location</w:t>
      </w:r>
    </w:p>
    <w:p>
      <w:pPr>
        <w:pStyle w:val="TextBody"/>
        <w:bidi w:val="0"/>
        <w:spacing w:before="0" w:after="0"/>
        <w:jc w:val="left"/>
        <w:rPr/>
      </w:pPr>
      <w:r>
        <w:rPr/>
      </w:r>
    </w:p>
    <w:p>
      <w:pPr>
        <w:pStyle w:val="TextBody"/>
        <w:bidi w:val="0"/>
        <w:spacing w:lineRule="auto" w:line="240"/>
        <w:jc w:val="both"/>
        <w:rPr>
          <w:rFonts w:ascii="Adelle Sans Light;sans-serif" w:hAnsi="Adelle Sans Light;sans-serif"/>
          <w:b w:val="false"/>
          <w:color w:val="000000"/>
          <w:sz w:val="24"/>
        </w:rPr>
      </w:pPr>
      <w:r>
        <w:rPr>
          <w:rFonts w:ascii="Adelle Sans Light;sans-serif" w:hAnsi="Adelle Sans Light;sans-serif"/>
          <w:b w:val="false"/>
          <w:color w:val="000000"/>
          <w:sz w:val="24"/>
        </w:rPr>
        <w:t xml:space="preserve">You’ll be required to work from a home workspace located in Toronto, Ontario. The home workspace should be a dedicated space furnished and equipped as appropriate for your job. You are responsible for ensuring that the home workspace complies with </w:t>
      </w:r>
    </w:p>
    <w:p>
      <w:pPr>
        <w:pStyle w:val="TextBody"/>
        <w:bidi w:val="0"/>
        <w:spacing w:before="0" w:after="0"/>
        <w:jc w:val="righ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75260"/>
                <wp:effectExtent l="0" t="0" r="0" b="0"/>
                <wp:wrapNone/>
                <wp:docPr id="51" name="Frame4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right"/>
        <w:rPr/>
      </w:pPr>
      <w:r>
        <w:rPr/>
      </w:r>
    </w:p>
    <w:p>
      <w:pPr>
        <w:pStyle w:val="TextBody"/>
        <w:bidi w:val="0"/>
        <w:spacing w:lineRule="auto" w:line="240" w:before="0" w:after="0"/>
        <w:jc w:val="both"/>
        <w:rPr>
          <w:rFonts w:ascii="Adelle Sans Light;sans-serif" w:hAnsi="Adelle Sans Light;sans-serif"/>
          <w:b w:val="false"/>
          <w:color w:val="000000"/>
          <w:sz w:val="24"/>
        </w:rPr>
      </w:pPr>
      <w:r>
        <w:rPr>
          <w:rFonts w:ascii="Adelle Sans Light;sans-serif" w:hAnsi="Adelle Sans Light;sans-serif"/>
          <w:b w:val="false"/>
          <w:color w:val="000000"/>
          <w:sz w:val="24"/>
        </w:rPr>
        <w:t xml:space="preserve">all home or tenant insurance policies and for the costs associated with maintaining your home workspace, including utilities and any renovation costs. You can’t hold out your home office location as a Shopify place of business or to list it in any official communication. You’ll need to provide at least one month’s written notice to request a change to your city or province of work. </w:t>
      </w:r>
    </w:p>
    <w:p>
      <w:pPr>
        <w:pStyle w:val="TextBody"/>
        <w:bidi w:val="0"/>
        <w:spacing w:before="0" w:after="0"/>
        <w:jc w:val="left"/>
        <w:rPr/>
      </w:pPr>
      <w:r>
        <w:rPr/>
      </w:r>
    </w:p>
    <w:p>
      <w:pPr>
        <w:pStyle w:val="TextBody"/>
        <w:bidi w:val="0"/>
        <w:spacing w:lineRule="auto" w:line="240" w:before="0" w:after="0"/>
        <w:jc w:val="both"/>
        <w:rPr>
          <w:rFonts w:ascii="Adelle Sans Light;sans-serif" w:hAnsi="Adelle Sans Light;sans-serif"/>
          <w:b w:val="false"/>
          <w:color w:val="000000"/>
          <w:sz w:val="24"/>
        </w:rPr>
      </w:pPr>
      <w:r>
        <w:rPr>
          <w:rFonts w:ascii="Adelle Sans Light;sans-serif" w:hAnsi="Adelle Sans Light;sans-serif"/>
          <w:b w:val="false"/>
          <w:color w:val="000000"/>
          <w:sz w:val="24"/>
        </w:rPr>
        <w:t>At times you may be required to attend Shopify's offices, or some other location as determined by Shopify, for training, meetings, etc.</w:t>
      </w:r>
    </w:p>
    <w:p>
      <w:pPr>
        <w:pStyle w:val="TextBody"/>
        <w:bidi w:val="0"/>
        <w:spacing w:before="0" w:after="0"/>
        <w:jc w:val="left"/>
        <w:rPr/>
      </w:pPr>
      <w:r>
        <w:rPr/>
      </w:r>
    </w:p>
    <w:p>
      <w:pPr>
        <w:pStyle w:val="TextBody"/>
        <w:bidi w:val="0"/>
        <w:spacing w:lineRule="auto" w:line="240" w:before="0" w:after="0"/>
        <w:ind w:left="0" w:right="0" w:hanging="360"/>
        <w:jc w:val="left"/>
        <w:rPr>
          <w:rFonts w:ascii="Adelle Sans;sans-serif" w:hAnsi="Adelle Sans;sans-serif"/>
          <w:b/>
          <w:color w:val="000000"/>
          <w:sz w:val="24"/>
        </w:rPr>
      </w:pPr>
      <w:r>
        <w:rPr>
          <w:rFonts w:ascii="Adelle Sans;sans-serif" w:hAnsi="Adelle Sans;sans-serif"/>
          <w:b/>
          <w:color w:val="000000"/>
          <w:sz w:val="24"/>
        </w:rPr>
        <w:t>4.Equipment</w:t>
      </w:r>
    </w:p>
    <w:p>
      <w:pPr>
        <w:pStyle w:val="TextBody"/>
        <w:bidi w:val="0"/>
        <w:spacing w:before="0" w:after="0"/>
        <w:jc w:val="left"/>
        <w:rPr/>
      </w:pPr>
      <w:r>
        <w:rPr/>
      </w:r>
    </w:p>
    <w:p>
      <w:pPr>
        <w:pStyle w:val="TextBody"/>
        <w:bidi w:val="0"/>
        <w:spacing w:lineRule="auto" w:line="240" w:before="0" w:after="0"/>
        <w:jc w:val="both"/>
        <w:rPr>
          <w:rFonts w:ascii="Adelle Sans Light;sans-serif" w:hAnsi="Adelle Sans Light;sans-serif"/>
          <w:b w:val="false"/>
          <w:color w:val="000000"/>
          <w:sz w:val="24"/>
        </w:rPr>
      </w:pPr>
      <w:r>
        <w:rPr>
          <w:rFonts w:ascii="Adelle Sans Light;sans-serif" w:hAnsi="Adelle Sans Light;sans-serif"/>
          <w:b w:val="false"/>
          <w:color w:val="000000"/>
          <w:sz w:val="24"/>
        </w:rPr>
        <w:t xml:space="preserve">Shopify will provide the necessary equipment, software and hardware (together, “Equipment”) to do your job. Shopify owns this Equipment and access is to be limited solely to you for the purpose of conducting Shopify business. Subject to the insurance provisions outlined in the Place of Work paragraph, any insurance required on Equipment will be Shopify’s responsibility. </w:t>
      </w:r>
    </w:p>
    <w:p>
      <w:pPr>
        <w:pStyle w:val="TextBody"/>
        <w:bidi w:val="0"/>
        <w:spacing w:before="0" w:after="0"/>
        <w:jc w:val="left"/>
        <w:rPr/>
      </w:pPr>
      <w:r>
        <w:rPr/>
      </w:r>
    </w:p>
    <w:p>
      <w:pPr>
        <w:pStyle w:val="TextBody"/>
        <w:bidi w:val="0"/>
        <w:spacing w:lineRule="auto" w:line="240" w:before="0" w:after="0"/>
        <w:jc w:val="both"/>
        <w:rPr>
          <w:rFonts w:ascii="Adelle Sans Light;sans-serif" w:hAnsi="Adelle Sans Light;sans-serif"/>
          <w:b w:val="false"/>
          <w:color w:val="000000"/>
          <w:sz w:val="24"/>
        </w:rPr>
      </w:pPr>
      <w:r>
        <w:rPr>
          <w:rFonts w:ascii="Adelle Sans Light;sans-serif" w:hAnsi="Adelle Sans Light;sans-serif"/>
          <w:b w:val="false"/>
          <w:color w:val="000000"/>
          <w:sz w:val="24"/>
        </w:rPr>
        <w:t>You’re expected to treat the Equipment with care and you are responsible for any damage to the Equipment beyond the wear and tear of normal usage. You must notify Shopify of any malfunction or other issues with the Equipment, and Shopify alone will make arrangements for any necessary repairs. All Equipment must be returned upon termination of the employment relationship. If any Equipment is not returned upon termination, Shopify reserves the right to recover costs from any final payment that is owed to you, and by signing this agreement you authorize such deduction in accordance with applicable employment standards legislation.</w:t>
      </w:r>
    </w:p>
    <w:p>
      <w:pPr>
        <w:pStyle w:val="TextBody"/>
        <w:bidi w:val="0"/>
        <w:spacing w:before="0" w:after="0"/>
        <w:jc w:val="left"/>
        <w:rPr/>
      </w:pPr>
      <w:r>
        <w:rPr/>
      </w:r>
    </w:p>
    <w:p>
      <w:pPr>
        <w:pStyle w:val="TextBody"/>
        <w:bidi w:val="0"/>
        <w:spacing w:lineRule="auto" w:line="240" w:before="0" w:after="0"/>
        <w:ind w:left="0" w:right="0" w:hanging="360"/>
        <w:jc w:val="left"/>
        <w:rPr>
          <w:rFonts w:ascii="Adelle Sans;sans-serif" w:hAnsi="Adelle Sans;sans-serif"/>
          <w:b/>
          <w:color w:val="000000"/>
          <w:sz w:val="24"/>
        </w:rPr>
      </w:pPr>
      <w:r>
        <w:rPr>
          <w:rFonts w:ascii="Adelle Sans;sans-serif" w:hAnsi="Adelle Sans;sans-serif"/>
          <w:b/>
          <w:color w:val="000000"/>
          <w:sz w:val="24"/>
        </w:rPr>
        <w:t xml:space="preserve">5.Relocation Assistance </w:t>
      </w:r>
    </w:p>
    <w:p>
      <w:pPr>
        <w:pStyle w:val="TextBody"/>
        <w:bidi w:val="0"/>
        <w:spacing w:before="0" w:after="0"/>
        <w:jc w:val="left"/>
        <w:rPr/>
      </w:pPr>
      <w:r>
        <w:rPr/>
      </w:r>
    </w:p>
    <w:p>
      <w:pPr>
        <w:pStyle w:val="TextBody"/>
        <w:bidi w:val="0"/>
        <w:spacing w:lineRule="auto" w:line="240" w:before="0" w:after="0"/>
        <w:jc w:val="both"/>
        <w:rPr>
          <w:rFonts w:ascii="Adelle Sans Light;sans-serif" w:hAnsi="Adelle Sans Light;sans-serif"/>
          <w:b w:val="false"/>
          <w:color w:val="000000"/>
          <w:sz w:val="24"/>
        </w:rPr>
      </w:pPr>
      <w:r>
        <w:rPr>
          <w:rFonts w:ascii="Adelle Sans Light;sans-serif" w:hAnsi="Adelle Sans Light;sans-serif"/>
          <w:b w:val="false"/>
          <w:color w:val="000000"/>
          <w:sz w:val="24"/>
        </w:rPr>
        <w:t xml:space="preserve">In order to assist you with your Relocation, you are entitled to the benefits described in the attached Relocation Assistance Exhibit, subject to the conditions described therein. No additional amount will be provided by the Company with respect to relocation costs. </w:t>
      </w:r>
    </w:p>
    <w:p>
      <w:pPr>
        <w:pStyle w:val="TextBody"/>
        <w:bidi w:val="0"/>
        <w:spacing w:before="0" w:after="0"/>
        <w:jc w:val="both"/>
        <w:rPr/>
      </w:pPr>
      <w:r>
        <w:rPr/>
      </w:r>
    </w:p>
    <w:p>
      <w:pPr>
        <w:pStyle w:val="TextBody"/>
        <w:bidi w:val="0"/>
        <w:spacing w:lineRule="auto" w:line="240" w:before="0" w:after="0"/>
        <w:jc w:val="both"/>
        <w:rPr>
          <w:rFonts w:ascii="Adelle Sans Light;sans-serif" w:hAnsi="Adelle Sans Light;sans-serif"/>
          <w:b w:val="false"/>
          <w:color w:val="000000"/>
          <w:sz w:val="24"/>
        </w:rPr>
      </w:pPr>
      <w:r>
        <w:rPr>
          <w:rFonts w:ascii="Adelle Sans Light;sans-serif" w:hAnsi="Adelle Sans Light;sans-serif"/>
          <w:b w:val="false"/>
          <w:color w:val="000000"/>
          <w:sz w:val="24"/>
        </w:rPr>
        <w:t xml:space="preserve">Shopify may deduct any amounts repayable by you as described in the Relocation Assistance Exhibit from any payments owing to you, including without limitation wages and vacation pay, to the extent permitted by applicable employment standards legislation. You agree that this agreement constitutes sufficient authorization for such deduction in accordance with, and where permitted by, applicable employment standards legislation. If you do not have sufficient payments owing to you to offset the repayment amount, you will repay such amounts to Shopify within thirty days of your last day of employment or failure to relocate, as applicable. </w:t>
      </w:r>
    </w:p>
    <w:p>
      <w:pPr>
        <w:pStyle w:val="TextBody"/>
        <w:bidi w:val="0"/>
        <w:spacing w:before="0" w:after="0"/>
        <w:jc w:val="left"/>
        <w:rPr/>
      </w:pPr>
      <w:r>
        <w:rPr/>
      </w:r>
    </w:p>
    <w:p>
      <w:pPr>
        <w:pStyle w:val="TextBody"/>
        <w:bidi w:val="0"/>
        <w:spacing w:lineRule="auto" w:line="240" w:before="0" w:after="0"/>
        <w:ind w:left="0" w:right="0" w:hanging="360"/>
        <w:jc w:val="left"/>
        <w:rPr>
          <w:rFonts w:ascii="Adelle Sans;sans-serif" w:hAnsi="Adelle Sans;sans-serif"/>
          <w:b/>
          <w:color w:val="000000"/>
          <w:sz w:val="24"/>
        </w:rPr>
      </w:pPr>
      <w:r>
        <w:rPr>
          <w:rFonts w:ascii="Adelle Sans;sans-serif" w:hAnsi="Adelle Sans;sans-serif"/>
          <w:b/>
          <w:color w:val="000000"/>
          <w:sz w:val="24"/>
        </w:rPr>
        <w:t>6.Shopify Rewards Wallet</w:t>
      </w:r>
    </w:p>
    <w:p>
      <w:pPr>
        <w:pStyle w:val="TextBody"/>
        <w:bidi w:val="0"/>
        <w:spacing w:before="0" w:after="0"/>
        <w:jc w:val="left"/>
        <w:rPr/>
      </w:pPr>
      <w:r>
        <w:rPr/>
      </w:r>
    </w:p>
    <w:p>
      <w:pPr>
        <w:pStyle w:val="TextBody"/>
        <w:bidi w:val="0"/>
        <w:spacing w:lineRule="auto" w:line="240" w:before="0" w:after="0"/>
        <w:jc w:val="both"/>
        <w:rPr>
          <w:rFonts w:ascii="Adelle Sans Light;sans-serif" w:hAnsi="Adelle Sans Light;sans-serif"/>
          <w:b w:val="false"/>
          <w:color w:val="000000"/>
          <w:sz w:val="24"/>
        </w:rPr>
      </w:pPr>
      <w:r>
        <w:rPr>
          <w:rFonts w:ascii="Adelle Sans Light;sans-serif" w:hAnsi="Adelle Sans Light;sans-serif"/>
          <w:b w:val="false"/>
          <w:color w:val="000000"/>
          <w:sz w:val="24"/>
        </w:rPr>
        <w:t xml:space="preserve">You will continue to participate in Shopify’s Rewards Wallet (the “Rewards Wallet”) which is governed by this Section and the terms and conditions of Shopify Flex Comp (the “Terms and Conditions”). As of the Effective Date, your Total Reward (as defined in the Terms and Conditions) is an annualized amount of $1,000,000 USD (the "Total Reward"), converted to CAD as of January 1 and July 1 each year based on an FX rate determined by Shopify at its discretion. Your current Salary Allocation (as defined in the Terms and Conditions, the “Salary”) and Equity Allocation will remain intact after your Relocation. </w:t>
      </w:r>
    </w:p>
    <w:p>
      <w:pPr>
        <w:pStyle w:val="TextBody"/>
        <w:bidi w:val="0"/>
        <w:spacing w:before="0" w:after="0"/>
        <w:jc w:val="both"/>
        <w:rPr/>
      </w:pPr>
      <w:r>
        <w:rPr/>
      </w:r>
    </w:p>
    <w:p>
      <w:pPr>
        <w:pStyle w:val="TextBody"/>
        <w:bidi w:val="0"/>
        <w:spacing w:lineRule="auto" w:line="240" w:before="0" w:after="0"/>
        <w:jc w:val="both"/>
        <w:rPr>
          <w:rFonts w:ascii="Adelle Sans Light;sans-serif" w:hAnsi="Adelle Sans Light;sans-serif"/>
          <w:b w:val="false"/>
          <w:color w:val="000000"/>
          <w:sz w:val="24"/>
        </w:rPr>
      </w:pPr>
      <w:r>
        <w:rPr>
          <w:rFonts w:ascii="Adelle Sans Light;sans-serif" w:hAnsi="Adelle Sans Light;sans-serif"/>
          <w:b w:val="false"/>
          <w:color w:val="000000"/>
          <w:sz w:val="24"/>
        </w:rPr>
        <w:t xml:space="preserve">Your existing equity awards will continue to be governed by the terms and conditions of the applicable grant agreement(s), plan document(s) and the Terms and Conditions (as applicable). </w:t>
      </w:r>
    </w:p>
    <w:p>
      <w:pPr>
        <w:pStyle w:val="TextBody"/>
        <w:bidi w:val="0"/>
        <w:jc w:val="both"/>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75260"/>
                <wp:effectExtent l="0" t="0" r="0" b="0"/>
                <wp:wrapNone/>
                <wp:docPr id="52" name="Frame5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right"/>
        <w:rPr/>
      </w:pPr>
      <w:r>
        <w:rPr/>
      </w:r>
    </w:p>
    <w:p>
      <w:pPr>
        <w:pStyle w:val="TextBody"/>
        <w:bidi w:val="0"/>
        <w:spacing w:lineRule="auto" w:line="240" w:before="0" w:after="0"/>
        <w:jc w:val="both"/>
        <w:rPr>
          <w:rFonts w:ascii="Adelle Sans Light;sans-serif" w:hAnsi="Adelle Sans Light;sans-serif"/>
          <w:b w:val="false"/>
          <w:color w:val="000000"/>
          <w:sz w:val="24"/>
        </w:rPr>
      </w:pPr>
      <w:r>
        <w:rPr>
          <w:rFonts w:ascii="Adelle Sans Light;sans-serif" w:hAnsi="Adelle Sans Light;sans-serif"/>
          <w:b w:val="false"/>
          <w:color w:val="000000"/>
          <w:sz w:val="24"/>
        </w:rPr>
        <w:t xml:space="preserve">As per the Terms and Conditions, Shopify reserves the right to terminate or amend the Rewards Wallet and replace it with a different scheme to reward its employees, subject to compliance with applicable employment standards legislation. </w:t>
      </w:r>
    </w:p>
    <w:p>
      <w:pPr>
        <w:pStyle w:val="TextBody"/>
        <w:bidi w:val="0"/>
        <w:spacing w:before="0" w:after="0"/>
        <w:jc w:val="left"/>
        <w:rPr/>
      </w:pPr>
      <w:r>
        <w:rPr/>
      </w:r>
    </w:p>
    <w:p>
      <w:pPr>
        <w:pStyle w:val="TextBody"/>
        <w:bidi w:val="0"/>
        <w:spacing w:lineRule="auto" w:line="240" w:before="0" w:after="0"/>
        <w:ind w:left="0" w:right="0" w:hanging="360"/>
        <w:jc w:val="left"/>
        <w:rPr>
          <w:rFonts w:ascii="Adelle Sans;sans-serif" w:hAnsi="Adelle Sans;sans-serif"/>
          <w:b/>
          <w:color w:val="000000"/>
          <w:sz w:val="24"/>
        </w:rPr>
      </w:pPr>
      <w:r>
        <w:rPr>
          <w:rFonts w:ascii="Adelle Sans;sans-serif" w:hAnsi="Adelle Sans;sans-serif"/>
          <w:b/>
          <w:color w:val="000000"/>
          <w:sz w:val="24"/>
        </w:rPr>
        <w:t>7.Employee Benefits</w:t>
      </w:r>
    </w:p>
    <w:p>
      <w:pPr>
        <w:pStyle w:val="TextBody"/>
        <w:bidi w:val="0"/>
        <w:spacing w:before="0" w:after="0"/>
        <w:jc w:val="left"/>
        <w:rPr/>
      </w:pPr>
      <w:r>
        <w:rPr/>
      </w:r>
    </w:p>
    <w:p>
      <w:pPr>
        <w:pStyle w:val="TextBody"/>
        <w:bidi w:val="0"/>
        <w:spacing w:lineRule="auto" w:line="240" w:before="0" w:after="0"/>
        <w:jc w:val="both"/>
        <w:rPr>
          <w:rFonts w:ascii="Adelle Sans Light;sans-serif" w:hAnsi="Adelle Sans Light;sans-serif"/>
          <w:b w:val="false"/>
          <w:color w:val="000000"/>
          <w:sz w:val="24"/>
        </w:rPr>
      </w:pPr>
      <w:r>
        <w:rPr>
          <w:rFonts w:ascii="Adelle Sans Light;sans-serif" w:hAnsi="Adelle Sans Light;sans-serif"/>
          <w:b w:val="false"/>
          <w:color w:val="000000"/>
          <w:sz w:val="24"/>
        </w:rPr>
        <w:t>You will continue to participate in Shopify’s Family Health Plan that is in effect for all Shopify employees, as amended from time to time. The terms of these benefits will be provided under separate cover but we have enclosed a copy of our Family Health Plan booklet summarizing this information. Please note that, to the extent permitted by applicable employment standards legislation, Shopify reserves the right to unilaterally revise or eliminate any of the terms or benefits of the Family Health Plan. You acknowledge and agree that subject to compliance with any applicable minimum requirements of employment standards legislation, all salary-based entitlements that arise under our benefit plans, our policies and programs, or employment standards legislation will be based on your Salary only.</w:t>
      </w:r>
    </w:p>
    <w:p>
      <w:pPr>
        <w:pStyle w:val="TextBody"/>
        <w:bidi w:val="0"/>
        <w:spacing w:before="0" w:after="0"/>
        <w:jc w:val="left"/>
        <w:rPr/>
      </w:pPr>
      <w:r>
        <w:rPr/>
      </w:r>
    </w:p>
    <w:p>
      <w:pPr>
        <w:pStyle w:val="TextBody"/>
        <w:bidi w:val="0"/>
        <w:spacing w:lineRule="auto" w:line="240" w:before="0" w:after="0"/>
        <w:ind w:left="0" w:right="0" w:hanging="360"/>
        <w:jc w:val="left"/>
        <w:rPr>
          <w:rFonts w:ascii="Adelle Sans;sans-serif" w:hAnsi="Adelle Sans;sans-serif"/>
          <w:b/>
          <w:color w:val="000000"/>
          <w:sz w:val="24"/>
        </w:rPr>
      </w:pPr>
      <w:r>
        <w:rPr>
          <w:rFonts w:ascii="Adelle Sans;sans-serif" w:hAnsi="Adelle Sans;sans-serif"/>
          <w:b/>
          <w:color w:val="000000"/>
          <w:sz w:val="24"/>
        </w:rPr>
        <w:t>8.Hours of Work, Vacation and Holidays</w:t>
      </w:r>
    </w:p>
    <w:p>
      <w:pPr>
        <w:pStyle w:val="TextBody"/>
        <w:bidi w:val="0"/>
        <w:spacing w:before="0" w:after="0"/>
        <w:jc w:val="left"/>
        <w:rPr/>
      </w:pPr>
      <w:r>
        <w:rPr/>
      </w:r>
    </w:p>
    <w:p>
      <w:pPr>
        <w:pStyle w:val="TextBody"/>
        <w:bidi w:val="0"/>
        <w:spacing w:lineRule="auto" w:line="240" w:before="0" w:after="0"/>
        <w:jc w:val="both"/>
        <w:rPr>
          <w:rFonts w:ascii="Adelle Sans Light;sans-serif" w:hAnsi="Adelle Sans Light;sans-serif"/>
          <w:b w:val="false"/>
          <w:color w:val="000000"/>
          <w:sz w:val="24"/>
        </w:rPr>
      </w:pPr>
      <w:r>
        <w:rPr>
          <w:rFonts w:ascii="Adelle Sans Light;sans-serif" w:hAnsi="Adelle Sans Light;sans-serif"/>
          <w:b w:val="false"/>
          <w:color w:val="000000"/>
          <w:sz w:val="24"/>
        </w:rPr>
        <w:t xml:space="preserve">We believe that different employees are more productive at different hours of the day and during different days of the week, but we do expect you to devote your time, skill and effort to Shopify on a full-time basis (around 40 hours per week). In all cases, our focus is on employees acting responsibly and efficiently in a task-driven manner. Where practicable, please get your lead’s approval before working any additional hours. In all cases, additional hours worked must be reported to your Lead by the end of the next business day. </w:t>
      </w:r>
    </w:p>
    <w:p>
      <w:pPr>
        <w:pStyle w:val="TextBody"/>
        <w:bidi w:val="0"/>
        <w:spacing w:before="0" w:after="0"/>
        <w:jc w:val="both"/>
        <w:rPr/>
      </w:pPr>
      <w:r>
        <w:rPr/>
      </w:r>
    </w:p>
    <w:p>
      <w:pPr>
        <w:pStyle w:val="TextBody"/>
        <w:bidi w:val="0"/>
        <w:spacing w:lineRule="auto" w:line="240" w:before="0" w:after="0"/>
        <w:jc w:val="both"/>
        <w:rPr>
          <w:rFonts w:ascii="Adelle Sans Light;sans-serif" w:hAnsi="Adelle Sans Light;sans-serif"/>
          <w:b w:val="false"/>
          <w:color w:val="000000"/>
          <w:sz w:val="24"/>
        </w:rPr>
      </w:pPr>
      <w:r>
        <w:rPr>
          <w:rFonts w:ascii="Adelle Sans Light;sans-serif" w:hAnsi="Adelle Sans Light;sans-serif"/>
          <w:b w:val="false"/>
          <w:color w:val="000000"/>
          <w:sz w:val="24"/>
        </w:rPr>
        <w:t>Similar to our approach on the hours you will work, we are also flexible when it comes to vacation and holidays. You’ll accrue up to three weeks of vacation per calendar year; however, we may at our discretion accommodate reasonable requests for additional vacation days in accordance with Shopify’s vacation policies, as amended from time to time. Subject to applicable employment standards legislation, you can’t carry over unused vacation entitlements. In addition to vacation, you will be paid for all public holidays in accordance with the provisions of the applicable employment standards legislation. For the year of your Relocation, your vacation entitlement will be prorated.</w:t>
      </w:r>
    </w:p>
    <w:p>
      <w:pPr>
        <w:pStyle w:val="TextBody"/>
        <w:bidi w:val="0"/>
        <w:spacing w:before="0" w:after="0"/>
        <w:jc w:val="both"/>
        <w:rPr/>
      </w:pPr>
      <w:r>
        <w:rPr/>
      </w:r>
    </w:p>
    <w:p>
      <w:pPr>
        <w:pStyle w:val="TextBody"/>
        <w:bidi w:val="0"/>
        <w:spacing w:lineRule="auto" w:line="240" w:before="0" w:after="0"/>
        <w:jc w:val="both"/>
        <w:rPr>
          <w:rFonts w:ascii="Adelle Sans Light;sans-serif" w:hAnsi="Adelle Sans Light;sans-serif"/>
          <w:b w:val="false"/>
          <w:color w:val="000000"/>
          <w:sz w:val="24"/>
        </w:rPr>
      </w:pPr>
      <w:r>
        <w:rPr>
          <w:rFonts w:ascii="Adelle Sans Light;sans-serif" w:hAnsi="Adelle Sans Light;sans-serif"/>
          <w:b w:val="false"/>
          <w:color w:val="000000"/>
          <w:sz w:val="24"/>
        </w:rPr>
        <w:t>Your signature below represents written authorization pursuant to applicable employment standards legislation for Shopify to: (i) include your vacation pay in your regular pay cheque or deposit on the regular payroll date during or immediately following your vacation time; and (ii) deduct amounts representing advanced vacation that was not accrued from your wages or other amounts owing to you following the end of your employment.</w:t>
      </w:r>
    </w:p>
    <w:p>
      <w:pPr>
        <w:pStyle w:val="TextBody"/>
        <w:bidi w:val="0"/>
        <w:spacing w:before="0" w:after="0"/>
        <w:jc w:val="both"/>
        <w:rPr/>
      </w:pPr>
      <w:r>
        <w:rPr/>
      </w:r>
    </w:p>
    <w:p>
      <w:pPr>
        <w:pStyle w:val="TextBody"/>
        <w:bidi w:val="0"/>
        <w:spacing w:lineRule="auto" w:line="240" w:before="0" w:after="0"/>
        <w:jc w:val="both"/>
        <w:rPr>
          <w:rFonts w:ascii="Adelle Sans Light;sans-serif" w:hAnsi="Adelle Sans Light;sans-serif"/>
          <w:b w:val="false"/>
          <w:color w:val="000000"/>
          <w:sz w:val="24"/>
        </w:rPr>
      </w:pPr>
      <w:r>
        <w:rPr>
          <w:rFonts w:ascii="Adelle Sans Light;sans-serif" w:hAnsi="Adelle Sans Light;sans-serif"/>
          <w:b w:val="false"/>
          <w:color w:val="000000"/>
          <w:sz w:val="24"/>
        </w:rPr>
        <w:t>Side hustles? You agree that within five days of the Effective Date, you will disclose any outside work as required under the Working Outside of Shopify policy (accessible on Shopify’s Vault), regardless of whether you have already disclosed this work to recruiting.</w:t>
      </w:r>
    </w:p>
    <w:p>
      <w:pPr>
        <w:pStyle w:val="TextBody"/>
        <w:bidi w:val="0"/>
        <w:spacing w:before="0" w:after="0"/>
        <w:jc w:val="left"/>
        <w:rPr/>
      </w:pPr>
      <w:r>
        <w:rPr/>
      </w:r>
    </w:p>
    <w:p>
      <w:pPr>
        <w:pStyle w:val="TextBody"/>
        <w:bidi w:val="0"/>
        <w:spacing w:lineRule="auto" w:line="240" w:before="0" w:after="0"/>
        <w:ind w:left="0" w:right="0" w:hanging="360"/>
        <w:jc w:val="left"/>
        <w:rPr>
          <w:rFonts w:ascii="Adelle Sans;sans-serif" w:hAnsi="Adelle Sans;sans-serif"/>
          <w:b/>
          <w:color w:val="000000"/>
          <w:sz w:val="24"/>
        </w:rPr>
      </w:pPr>
      <w:r>
        <w:rPr>
          <w:rFonts w:ascii="Adelle Sans;sans-serif" w:hAnsi="Adelle Sans;sans-serif"/>
          <w:b/>
          <w:color w:val="000000"/>
          <w:sz w:val="24"/>
        </w:rPr>
        <w:t>9.Shopify’s Policies</w:t>
      </w:r>
    </w:p>
    <w:p>
      <w:pPr>
        <w:pStyle w:val="TextBody"/>
        <w:bidi w:val="0"/>
        <w:spacing w:before="0" w:after="0"/>
        <w:jc w:val="left"/>
        <w:rPr/>
      </w:pPr>
      <w:r>
        <w:rPr/>
      </w:r>
    </w:p>
    <w:p>
      <w:pPr>
        <w:pStyle w:val="TextBody"/>
        <w:bidi w:val="0"/>
        <w:spacing w:lineRule="auto" w:line="240" w:before="0" w:after="0"/>
        <w:jc w:val="both"/>
        <w:rPr>
          <w:rFonts w:ascii="Adelle Sans Light;sans-serif" w:hAnsi="Adelle Sans Light;sans-serif"/>
          <w:b w:val="false"/>
          <w:color w:val="000000"/>
          <w:sz w:val="24"/>
        </w:rPr>
      </w:pPr>
      <w:r>
        <w:rPr>
          <w:rFonts w:ascii="Adelle Sans Light;sans-serif" w:hAnsi="Adelle Sans Light;sans-serif"/>
          <w:b w:val="false"/>
          <w:color w:val="000000"/>
          <w:sz w:val="24"/>
        </w:rPr>
        <w:t>You are required, at all times, to comply with: (i) all applicable laws; and (ii) Shopify’s rules, policies, systems and procedures, including Shopify’s data protection and information security policies (collectively, “Policies”) that are in force from time to time. Copies of current Policies have been provided to you. Shopify reserves the right to introduce new Policies and/or change the provisions of any of its Policies at any time.</w:t>
      </w:r>
    </w:p>
    <w:p>
      <w:pPr>
        <w:pStyle w:val="TextBody"/>
        <w:bidi w:val="0"/>
        <w:jc w:val="both"/>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75260"/>
                <wp:effectExtent l="0" t="0" r="0" b="0"/>
                <wp:wrapNone/>
                <wp:docPr id="53" name="Frame5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right"/>
        <w:rPr/>
      </w:pPr>
      <w:r>
        <w:rPr/>
      </w:r>
    </w:p>
    <w:p>
      <w:pPr>
        <w:pStyle w:val="TextBody"/>
        <w:bidi w:val="0"/>
        <w:spacing w:lineRule="auto" w:line="240" w:before="0" w:after="0"/>
        <w:jc w:val="both"/>
        <w:rPr>
          <w:rFonts w:ascii="Adelle Sans Light;sans-serif" w:hAnsi="Adelle Sans Light;sans-serif"/>
          <w:b w:val="false"/>
          <w:color w:val="000000"/>
          <w:sz w:val="24"/>
        </w:rPr>
      </w:pPr>
      <w:r>
        <w:rPr>
          <w:rFonts w:ascii="Adelle Sans Light;sans-serif" w:hAnsi="Adelle Sans Light;sans-serif"/>
          <w:b w:val="false"/>
          <w:color w:val="000000"/>
          <w:sz w:val="24"/>
        </w:rPr>
        <w:t>Shopify has an accommodation and accessibility process in place and provides accommodations for employees with disabilities in accordance with applicable legislation. If you require a specific workplace accommodation because of a disability or other reason, please contact your manager to discuss further.</w:t>
      </w:r>
    </w:p>
    <w:p>
      <w:pPr>
        <w:pStyle w:val="TextBody"/>
        <w:bidi w:val="0"/>
        <w:spacing w:before="0" w:after="0"/>
        <w:jc w:val="both"/>
        <w:rPr/>
      </w:pPr>
      <w:r>
        <w:rPr/>
      </w:r>
    </w:p>
    <w:p>
      <w:pPr>
        <w:pStyle w:val="TextBody"/>
        <w:bidi w:val="0"/>
        <w:spacing w:lineRule="auto" w:line="240" w:before="0" w:after="0"/>
        <w:jc w:val="both"/>
        <w:rPr>
          <w:rFonts w:ascii="Adelle Sans Light;sans-serif" w:hAnsi="Adelle Sans Light;sans-serif"/>
          <w:b w:val="false"/>
          <w:color w:val="000000"/>
          <w:sz w:val="24"/>
        </w:rPr>
      </w:pPr>
      <w:r>
        <w:rPr>
          <w:rFonts w:ascii="Adelle Sans Light;sans-serif" w:hAnsi="Adelle Sans Light;sans-serif"/>
          <w:b w:val="false"/>
          <w:color w:val="000000"/>
          <w:sz w:val="24"/>
        </w:rPr>
        <w:t>You acknowledge receiving a copy of the workplace poster entitled “Employment Standards in Ontario”, which is available on the Ministry of Labour website: https://www.labour.gov.on.ca/english/es/.</w:t>
      </w:r>
    </w:p>
    <w:p>
      <w:pPr>
        <w:pStyle w:val="TextBody"/>
        <w:bidi w:val="0"/>
        <w:spacing w:before="0" w:after="0"/>
        <w:jc w:val="left"/>
        <w:rPr/>
      </w:pPr>
      <w:r>
        <w:rPr/>
      </w:r>
    </w:p>
    <w:p>
      <w:pPr>
        <w:pStyle w:val="TextBody"/>
        <w:bidi w:val="0"/>
        <w:spacing w:lineRule="auto" w:line="240" w:before="0" w:after="0"/>
        <w:ind w:left="0" w:right="0" w:hanging="360"/>
        <w:jc w:val="left"/>
        <w:rPr>
          <w:rFonts w:ascii="Adelle Sans;sans-serif" w:hAnsi="Adelle Sans;sans-serif"/>
          <w:b/>
          <w:color w:val="000000"/>
          <w:sz w:val="24"/>
        </w:rPr>
      </w:pPr>
      <w:r>
        <w:rPr>
          <w:rFonts w:ascii="Adelle Sans;sans-serif" w:hAnsi="Adelle Sans;sans-serif"/>
          <w:b/>
          <w:color w:val="000000"/>
          <w:sz w:val="24"/>
        </w:rPr>
        <w:t>10.Termination of Employment</w:t>
      </w:r>
    </w:p>
    <w:p>
      <w:pPr>
        <w:pStyle w:val="TextBody"/>
        <w:bidi w:val="0"/>
        <w:spacing w:before="0" w:after="0"/>
        <w:jc w:val="left"/>
        <w:rPr/>
      </w:pPr>
      <w:r>
        <w:rPr/>
      </w:r>
    </w:p>
    <w:p>
      <w:pPr>
        <w:pStyle w:val="TextBody"/>
        <w:bidi w:val="0"/>
        <w:spacing w:lineRule="auto" w:line="240" w:before="0" w:after="0"/>
        <w:jc w:val="both"/>
        <w:rPr>
          <w:rFonts w:ascii="Adelle Sans Light;sans-serif" w:hAnsi="Adelle Sans Light;sans-serif"/>
          <w:b w:val="false"/>
          <w:color w:val="000000"/>
          <w:sz w:val="24"/>
        </w:rPr>
      </w:pPr>
      <w:r>
        <w:rPr>
          <w:rFonts w:ascii="Adelle Sans Light;sans-serif" w:hAnsi="Adelle Sans Light;sans-serif"/>
          <w:b w:val="false"/>
          <w:color w:val="000000"/>
          <w:sz w:val="24"/>
        </w:rPr>
        <w:t>It is always difficult to consider termination, however, we believe that it is important that you understand and agree to your entitlements upon the termination of your employment with Shopify. In all cases, Shopify intends to and will comply with all minimum applicable requirements of applicable employment standards legislation.</w:t>
      </w:r>
    </w:p>
    <w:p>
      <w:pPr>
        <w:pStyle w:val="TextBody"/>
        <w:bidi w:val="0"/>
        <w:spacing w:before="0" w:after="0"/>
        <w:jc w:val="left"/>
        <w:rPr/>
      </w:pPr>
      <w:r>
        <w:rPr/>
      </w:r>
    </w:p>
    <w:p>
      <w:pPr>
        <w:pStyle w:val="TextBody"/>
        <w:bidi w:val="0"/>
        <w:spacing w:lineRule="auto" w:line="240" w:before="0" w:after="0"/>
        <w:ind w:left="0" w:right="0" w:hanging="360"/>
        <w:jc w:val="left"/>
        <w:rPr>
          <w:rFonts w:ascii="Adelle Sans;sans-serif" w:hAnsi="Adelle Sans;sans-serif"/>
          <w:b/>
          <w:color w:val="000000"/>
          <w:sz w:val="24"/>
        </w:rPr>
      </w:pPr>
      <w:r>
        <w:rPr>
          <w:rFonts w:ascii="Adelle Sans;sans-serif" w:hAnsi="Adelle Sans;sans-serif"/>
          <w:b/>
          <w:color w:val="000000"/>
          <w:sz w:val="24"/>
        </w:rPr>
        <w:t xml:space="preserve">a.Resignation </w:t>
      </w:r>
    </w:p>
    <w:p>
      <w:pPr>
        <w:pStyle w:val="TextBody"/>
        <w:bidi w:val="0"/>
        <w:spacing w:before="0" w:after="0"/>
        <w:jc w:val="left"/>
        <w:rPr/>
      </w:pPr>
      <w:r>
        <w:rPr/>
      </w:r>
    </w:p>
    <w:p>
      <w:pPr>
        <w:pStyle w:val="TextBody"/>
        <w:bidi w:val="0"/>
        <w:spacing w:lineRule="auto" w:line="240" w:before="0" w:after="0"/>
        <w:jc w:val="both"/>
        <w:rPr>
          <w:rFonts w:ascii="Adelle Sans Light;sans-serif" w:hAnsi="Adelle Sans Light;sans-serif"/>
          <w:b w:val="false"/>
          <w:color w:val="000000"/>
          <w:sz w:val="24"/>
        </w:rPr>
      </w:pPr>
      <w:r>
        <w:rPr>
          <w:rFonts w:ascii="Adelle Sans Light;sans-serif" w:hAnsi="Adelle Sans Light;sans-serif"/>
          <w:b w:val="false"/>
          <w:color w:val="000000"/>
          <w:sz w:val="24"/>
        </w:rPr>
        <w:t>You may resign from your employment by providing Shopify with 30 days’ notice. After receiving your notice, Shopify may decide to excuse you from further performance of your duties or responsibilities, which may include loss of access to Shopify’s systems and a requirement that you cease all business communications with Shopify merchants, suppliers, contractors and others. You will always receive all payments, benefits and other entitlements to which you are entitled under applicable employment standards legislation. For avoidance of doubt, except as required by applicable employment standards legislation, you will not receive any grants of RSUs or Stock Options (collectively, “Equity”) after the date on which you give notice of your resignation to Shopify.</w:t>
      </w:r>
    </w:p>
    <w:p>
      <w:pPr>
        <w:pStyle w:val="TextBody"/>
        <w:bidi w:val="0"/>
        <w:spacing w:before="0" w:after="0"/>
        <w:jc w:val="left"/>
        <w:rPr/>
      </w:pPr>
      <w:r>
        <w:rPr/>
      </w:r>
    </w:p>
    <w:p>
      <w:pPr>
        <w:pStyle w:val="TextBody"/>
        <w:bidi w:val="0"/>
        <w:spacing w:lineRule="auto" w:line="240" w:before="0" w:after="0"/>
        <w:ind w:left="0" w:right="0" w:hanging="360"/>
        <w:jc w:val="left"/>
        <w:rPr>
          <w:rFonts w:ascii="Adelle Sans;sans-serif" w:hAnsi="Adelle Sans;sans-serif"/>
          <w:b/>
          <w:color w:val="000000"/>
          <w:sz w:val="24"/>
        </w:rPr>
      </w:pPr>
      <w:r>
        <w:rPr>
          <w:rFonts w:ascii="Adelle Sans;sans-serif" w:hAnsi="Adelle Sans;sans-serif"/>
          <w:b/>
          <w:color w:val="000000"/>
          <w:sz w:val="24"/>
        </w:rPr>
        <w:t xml:space="preserve">b.Termination by Shopify without Cause </w:t>
      </w:r>
    </w:p>
    <w:p>
      <w:pPr>
        <w:pStyle w:val="TextBody"/>
        <w:bidi w:val="0"/>
        <w:spacing w:before="0" w:after="0"/>
        <w:jc w:val="left"/>
        <w:rPr/>
      </w:pPr>
      <w:r>
        <w:rPr/>
      </w:r>
    </w:p>
    <w:p>
      <w:pPr>
        <w:pStyle w:val="TextBody"/>
        <w:bidi w:val="0"/>
        <w:spacing w:lineRule="auto" w:line="240" w:before="0" w:after="0"/>
        <w:jc w:val="both"/>
        <w:rPr>
          <w:rFonts w:ascii="Adelle Sans Light;sans-serif" w:hAnsi="Adelle Sans Light;sans-serif"/>
          <w:b w:val="false"/>
          <w:color w:val="000000"/>
          <w:sz w:val="24"/>
        </w:rPr>
      </w:pPr>
      <w:r>
        <w:rPr>
          <w:rFonts w:ascii="Adelle Sans Light;sans-serif" w:hAnsi="Adelle Sans Light;sans-serif"/>
          <w:b w:val="false"/>
          <w:color w:val="000000"/>
          <w:sz w:val="24"/>
        </w:rPr>
        <w:t>Shopify may terminate your employment without Cause (as defined below), in circumstances permitted by applicable employment standards legislation, by complying with only the applicable minimum requirements of applicable employment standards legislation in respect of the termination of your employment.</w:t>
      </w:r>
    </w:p>
    <w:p>
      <w:pPr>
        <w:pStyle w:val="TextBody"/>
        <w:bidi w:val="0"/>
        <w:spacing w:before="0" w:after="0"/>
        <w:jc w:val="both"/>
        <w:rPr/>
      </w:pPr>
      <w:r>
        <w:rPr/>
      </w:r>
    </w:p>
    <w:p>
      <w:pPr>
        <w:pStyle w:val="TextBody"/>
        <w:bidi w:val="0"/>
        <w:spacing w:lineRule="auto" w:line="240" w:before="0" w:after="0"/>
        <w:jc w:val="both"/>
        <w:rPr>
          <w:rFonts w:ascii="Adelle Sans Light;sans-serif" w:hAnsi="Adelle Sans Light;sans-serif"/>
          <w:b w:val="false"/>
          <w:color w:val="000000"/>
          <w:sz w:val="24"/>
        </w:rPr>
      </w:pPr>
      <w:r>
        <w:rPr>
          <w:rFonts w:ascii="Adelle Sans Light;sans-serif" w:hAnsi="Adelle Sans Light;sans-serif"/>
          <w:b w:val="false"/>
          <w:color w:val="000000"/>
          <w:sz w:val="24"/>
        </w:rPr>
        <w:t>In addition to complying with all applicable minimum requirements of applicable employment standards legislation, if your employment is terminated without Cause or you resign for "Good Reason" (as defined below) and you sign a release in a form acceptable to Shopify which contains, among other terms, a full and final release of claims against Shopify as well as confidentiality and non-disparagement provisions in favour of Shopify (the “Release”), within 7 days of the last day of your employment as specified in the Company’s written notice to you (the “Last Day of Employment”), Shopify will provide you with “Additional Notice” equal to 12 months plus one (1) additional week for each completed year of service with the Company, less the aggregate number of weeks of notice (or pay in lieu of such notice) and severance pay to which you are entitled under applicable employment standards legislation. At the discretion of Shopify, the Additional Notice may be provided by working notice or pay in lieu of notice (or a combination thereof) as follows:</w:t>
      </w:r>
    </w:p>
    <w:p>
      <w:pPr>
        <w:pStyle w:val="TextBody"/>
        <w:bidi w:val="0"/>
        <w:spacing w:before="0" w:after="0"/>
        <w:jc w:val="left"/>
        <w:rPr/>
      </w:pPr>
      <w:r>
        <w:rPr/>
      </w:r>
    </w:p>
    <w:p>
      <w:pPr>
        <w:pStyle w:val="TextBody"/>
        <w:bidi w:val="0"/>
        <w:spacing w:lineRule="auto" w:line="240" w:before="0" w:after="0"/>
        <w:jc w:val="both"/>
        <w:rPr>
          <w:rFonts w:ascii="Adelle Sans Light;sans-serif" w:hAnsi="Adelle Sans Light;sans-serif"/>
          <w:b w:val="false"/>
          <w:color w:val="000000"/>
          <w:sz w:val="24"/>
        </w:rPr>
      </w:pPr>
      <w:r>
        <w:rPr>
          <w:rFonts w:ascii="Adelle Sans Light;sans-serif" w:hAnsi="Adelle Sans Light;sans-serif"/>
          <w:b w:val="false"/>
          <w:color w:val="000000"/>
          <w:sz w:val="24"/>
        </w:rPr>
        <w:t>(A)    To the extent the Additional Notice is provided by working notice, your employment entitlements will continue during any working notice period. If all of the Additional Notice is provided by working notice, then the Company will also provide you with payment of an amount equal to one week of your Salary only following the Additional Notice.</w:t>
      </w:r>
    </w:p>
    <w:p>
      <w:pPr>
        <w:pStyle w:val="TextBody"/>
        <w:bidi w:val="0"/>
        <w:jc w:val="both"/>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75260"/>
                <wp:effectExtent l="0" t="0" r="0" b="0"/>
                <wp:wrapNone/>
                <wp:docPr id="54" name="Frame5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right"/>
        <w:rPr/>
      </w:pPr>
      <w:r>
        <w:rPr/>
      </w:r>
    </w:p>
    <w:p>
      <w:pPr>
        <w:pStyle w:val="TextBody"/>
        <w:bidi w:val="0"/>
        <w:spacing w:lineRule="auto" w:line="240" w:before="0" w:after="0"/>
        <w:jc w:val="both"/>
        <w:rPr>
          <w:rFonts w:ascii="Adelle Sans Light;sans-serif" w:hAnsi="Adelle Sans Light;sans-serif"/>
          <w:b w:val="false"/>
          <w:color w:val="000000"/>
          <w:sz w:val="24"/>
        </w:rPr>
      </w:pPr>
      <w:r>
        <w:rPr>
          <w:rFonts w:ascii="Adelle Sans Light;sans-serif" w:hAnsi="Adelle Sans Light;sans-serif"/>
          <w:b w:val="false"/>
          <w:color w:val="000000"/>
          <w:sz w:val="24"/>
        </w:rPr>
        <w:t>(B)    To the extent the Additional Notice is provided as pay in lieu of notice, such payments will be calculated on the basis of your Salary only and, at the Company’s election, may be paid either as a lump sum or in accordance with the Company’s usual payroll practices, starting after the aggregate of the number of weeks represented by your notice and severance entitlements under applicable employment standards legislation following the Last Day of Employment.</w:t>
      </w:r>
    </w:p>
    <w:p>
      <w:pPr>
        <w:pStyle w:val="TextBody"/>
        <w:bidi w:val="0"/>
        <w:spacing w:before="0" w:after="0"/>
        <w:jc w:val="both"/>
        <w:rPr/>
      </w:pPr>
      <w:r>
        <w:rPr/>
      </w:r>
    </w:p>
    <w:p>
      <w:pPr>
        <w:pStyle w:val="TextBody"/>
        <w:bidi w:val="0"/>
        <w:spacing w:lineRule="auto" w:line="240" w:before="0" w:after="0"/>
        <w:jc w:val="both"/>
        <w:rPr>
          <w:rFonts w:ascii="Adelle Sans Light;sans-serif" w:hAnsi="Adelle Sans Light;sans-serif"/>
          <w:b w:val="false"/>
          <w:color w:val="000000"/>
          <w:sz w:val="24"/>
        </w:rPr>
      </w:pPr>
      <w:r>
        <w:rPr>
          <w:rFonts w:ascii="Adelle Sans Light;sans-serif" w:hAnsi="Adelle Sans Light;sans-serif"/>
          <w:b w:val="false"/>
          <w:color w:val="000000"/>
          <w:sz w:val="24"/>
        </w:rPr>
        <w:t xml:space="preserve">Upon termination of your employment without Cause, you will receive any grant of Equity and any vesting of granted but unvested Equity which would occur over the applicable minimum statutory notice period to which you are entitled pursuant to applicable employment standards legislation, but you will not receive any grant of Equity or any vesting of granted but unvested Equity which would occur after the last day of the applicable minimum statutory notice period to which you are entitled pursuant to applicable employment standards legislation, whether such period arises from a contractual or common law right, and you expressly waive any entitlement to damages or other compensation whatsoever in respect of any Equity, pro-rated or otherwise, which would have vested, been granted or paid to you after the last day of the applicable statutory notice period to which you are entitled pursuant to applicable employment standards legislation. Shopify also agrees to negotiate in good faith to include a mutual non-disparagement instruction in connection with a termination without Cause. </w:t>
      </w:r>
    </w:p>
    <w:p>
      <w:pPr>
        <w:pStyle w:val="TextBody"/>
        <w:bidi w:val="0"/>
        <w:spacing w:before="0" w:after="0"/>
        <w:jc w:val="both"/>
        <w:rPr/>
      </w:pPr>
      <w:r>
        <w:rPr/>
      </w:r>
    </w:p>
    <w:p>
      <w:pPr>
        <w:pStyle w:val="TextBody"/>
        <w:bidi w:val="0"/>
        <w:spacing w:lineRule="auto" w:line="240" w:before="0" w:after="0"/>
        <w:jc w:val="both"/>
        <w:rPr>
          <w:rFonts w:ascii="Adelle Sans Light;sans-serif" w:hAnsi="Adelle Sans Light;sans-serif"/>
          <w:b w:val="false"/>
          <w:color w:val="000000"/>
          <w:sz w:val="24"/>
        </w:rPr>
      </w:pPr>
      <w:r>
        <w:rPr>
          <w:rFonts w:ascii="Adelle Sans Light;sans-serif" w:hAnsi="Adelle Sans Light;sans-serif"/>
          <w:b w:val="false"/>
          <w:color w:val="000000"/>
          <w:sz w:val="24"/>
        </w:rPr>
        <w:t>Notwithstanding the foregoing, in the event that you are terminated without Cause or you resign for “Good Reason” solely as a result of, and within twelve months after, a Change in Control, as that term is defined in Shopify’s Long Term Incentive Plan and Stock Option Plan, Shopify will accelerate the vesting of your RSUs and Stock Options (if any) (“Acceleration”), provided, that to be eligible for Acceleration under this paragraph, you execute and become bound by the Release.</w:t>
      </w:r>
    </w:p>
    <w:p>
      <w:pPr>
        <w:pStyle w:val="TextBody"/>
        <w:bidi w:val="0"/>
        <w:spacing w:before="0" w:after="0"/>
        <w:jc w:val="both"/>
        <w:rPr/>
      </w:pPr>
      <w:r>
        <w:rPr/>
      </w:r>
    </w:p>
    <w:p>
      <w:pPr>
        <w:pStyle w:val="TextBody"/>
        <w:bidi w:val="0"/>
        <w:spacing w:lineRule="auto" w:line="240" w:before="0" w:after="0"/>
        <w:jc w:val="both"/>
        <w:rPr>
          <w:color w:val="000000"/>
        </w:rPr>
      </w:pPr>
      <w:r>
        <w:rPr>
          <w:color w:val="000000"/>
        </w:rPr>
        <w:t>“</w:t>
      </w:r>
      <w:r>
        <w:rPr>
          <w:rFonts w:ascii="Adelle Sans Light;sans-serif" w:hAnsi="Adelle Sans Light;sans-serif"/>
          <w:b w:val="false"/>
          <w:color w:val="000000"/>
          <w:sz w:val="24"/>
        </w:rPr>
        <w:t>Good Reason” will mean the occurrence of any of the following actions undertaken by Shopify without your express, prior consent: (i) the material diminution in your responsibilities, authority and function; (ii) a material reduction in your Salary, provided however, that Good Reason will not be deemed to have occurred in the event of a reduction in your Salary which is pursuant to a salary reduction program affecting the CEO and all or substantially all other senior management employees of Shopify and that does not adversely affect you to a greater extent than other similarly situated employees; (iii) a material change in the geographic location at which you provide services to the Company; or (iv) a material breach by Shopify of this agreement or any contract between you and Shopify concerning the terms and conditions of employment. For “Good Reason” to exist, you must provide Shopify with written notice of the event giving rise to such claim for Good Reason within thirty (30) days after you learn of the occurrence of such event, and Shopify has thirty (30) days to rectify, address, and cure such concern. If Shopify cures such occurrence, the resignation will not be for Good Reason. If Shopify does not cure such occurrence, you must resign within thirty (30) days after the expiry of the cure period for the resignation to be for Good Reason.</w:t>
      </w:r>
    </w:p>
    <w:p>
      <w:pPr>
        <w:pStyle w:val="TextBody"/>
        <w:bidi w:val="0"/>
        <w:spacing w:before="0" w:after="0"/>
        <w:jc w:val="left"/>
        <w:rPr/>
      </w:pPr>
      <w:r>
        <w:rPr/>
      </w:r>
    </w:p>
    <w:p>
      <w:pPr>
        <w:pStyle w:val="TextBody"/>
        <w:bidi w:val="0"/>
        <w:spacing w:lineRule="auto" w:line="240" w:before="0" w:after="0"/>
        <w:ind w:left="0" w:right="0" w:hanging="360"/>
        <w:jc w:val="left"/>
        <w:rPr>
          <w:rFonts w:ascii="Adelle Sans;sans-serif" w:hAnsi="Adelle Sans;sans-serif"/>
          <w:b/>
          <w:color w:val="000000"/>
          <w:sz w:val="24"/>
        </w:rPr>
      </w:pPr>
      <w:r>
        <w:rPr>
          <w:rFonts w:ascii="Adelle Sans;sans-serif" w:hAnsi="Adelle Sans;sans-serif"/>
          <w:b/>
          <w:color w:val="000000"/>
          <w:sz w:val="24"/>
        </w:rPr>
        <w:t>c.Termination by Shopify for Cause</w:t>
      </w:r>
    </w:p>
    <w:p>
      <w:pPr>
        <w:pStyle w:val="TextBody"/>
        <w:bidi w:val="0"/>
        <w:spacing w:before="0" w:after="0"/>
        <w:jc w:val="left"/>
        <w:rPr/>
      </w:pPr>
      <w:r>
        <w:rPr/>
      </w:r>
    </w:p>
    <w:p>
      <w:pPr>
        <w:pStyle w:val="TextBody"/>
        <w:bidi w:val="0"/>
        <w:spacing w:lineRule="auto" w:line="240"/>
        <w:jc w:val="both"/>
        <w:rPr>
          <w:rFonts w:ascii="Adelle Sans Light;sans-serif" w:hAnsi="Adelle Sans Light;sans-serif"/>
          <w:b w:val="false"/>
          <w:color w:val="000000"/>
          <w:sz w:val="24"/>
        </w:rPr>
      </w:pPr>
      <w:r>
        <w:rPr>
          <w:rFonts w:ascii="Adelle Sans Light;sans-serif" w:hAnsi="Adelle Sans Light;sans-serif"/>
          <w:b w:val="false"/>
          <w:color w:val="000000"/>
          <w:sz w:val="24"/>
        </w:rPr>
        <w:t xml:space="preserve">Shopify may terminate your employment for Cause, in circumstances permitted by applicable employment standards legislation, in which case, Shopify’s sole obligation will be to comply with the minimum applicable requirements of applicable employment standards legislation in respect of such termination, including by providing you with your accrued wages and vacation pay, if any, earned by you up to and including the date of termination, together with reimbursement for expenses properly incurred prior to the termination date. For the avoidance of doubt, you will receive any termination pay, severance pay and benefit continuation if required to comply with the minimum </w:t>
      </w:r>
    </w:p>
    <w:p>
      <w:pPr>
        <w:pStyle w:val="TextBody"/>
        <w:bidi w:val="0"/>
        <w:spacing w:before="0" w:after="0"/>
        <w:jc w:val="righ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75260"/>
                <wp:effectExtent l="0" t="0" r="0" b="0"/>
                <wp:wrapNone/>
                <wp:docPr id="55" name="Frame5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right"/>
        <w:rPr/>
      </w:pPr>
      <w:r>
        <w:rPr/>
      </w:r>
    </w:p>
    <w:p>
      <w:pPr>
        <w:pStyle w:val="TextBody"/>
        <w:bidi w:val="0"/>
        <w:spacing w:lineRule="auto" w:line="240" w:before="0" w:after="0"/>
        <w:jc w:val="both"/>
        <w:rPr>
          <w:rFonts w:ascii="Adelle Sans Light;sans-serif" w:hAnsi="Adelle Sans Light;sans-serif"/>
          <w:b w:val="false"/>
          <w:color w:val="000000"/>
          <w:sz w:val="24"/>
        </w:rPr>
      </w:pPr>
      <w:r>
        <w:rPr>
          <w:rFonts w:ascii="Adelle Sans Light;sans-serif" w:hAnsi="Adelle Sans Light;sans-serif"/>
          <w:b w:val="false"/>
          <w:color w:val="000000"/>
          <w:sz w:val="24"/>
        </w:rPr>
        <w:t>applicable requirements of applicable employment standards legislation. For purposes of this agreement, Cause means: (i) conduct by you constituting a material act of willful misconduct in connection with the performance of your duties or your violation of Shopify’s policies; (ii) the commission by you of any felony or misdemeanor involving moral turpitude, deceit, dishonesty, fraud, or any conduct by you that would reasonably be expected to result in material injury to Shopify if you were retained in your position; (iii) continued, willful and deliberate non-performance by you of your duties for Shopify; (iv) a breach by you of any of the provisions contained in any confidentiality, assignment, and/or protective covenants agreement you execute with Shopify; or (v) failure to cooperate with a bona fide internal investigation or an investigation by regulatory or law enforcement authorities, after being instructed by Shopify to cooperate, or the willful destruction or failure to preserve documents or other materials known to be relevant to such investigation or the willful inducement of others to fail to cooperate or to produce documents or other materials in connection with such investigations. For avoidance of doubt, except as required to comply with applicable employment standards legislation, you will not receive any grant of Equity or vesting of any granted but unvested Equity after the date on which your employment is terminated for Cause.</w:t>
      </w:r>
    </w:p>
    <w:p>
      <w:pPr>
        <w:pStyle w:val="TextBody"/>
        <w:bidi w:val="0"/>
        <w:spacing w:before="0" w:after="0"/>
        <w:jc w:val="both"/>
        <w:rPr/>
      </w:pPr>
      <w:r>
        <w:rPr/>
      </w:r>
    </w:p>
    <w:p>
      <w:pPr>
        <w:pStyle w:val="TextBody"/>
        <w:bidi w:val="0"/>
        <w:spacing w:lineRule="auto" w:line="240" w:before="0" w:after="0"/>
        <w:jc w:val="both"/>
        <w:rPr>
          <w:rFonts w:ascii="Adelle Sans Light;sans-serif" w:hAnsi="Adelle Sans Light;sans-serif"/>
          <w:b w:val="false"/>
          <w:color w:val="000000"/>
          <w:sz w:val="24"/>
        </w:rPr>
      </w:pPr>
      <w:r>
        <w:rPr>
          <w:rFonts w:ascii="Adelle Sans Light;sans-serif" w:hAnsi="Adelle Sans Light;sans-serif"/>
          <w:b w:val="false"/>
          <w:color w:val="000000"/>
          <w:sz w:val="24"/>
        </w:rPr>
        <w:t xml:space="preserve">You agree that the arrangements set out in this section entitled “Termination of Employment” fully satisfy Shopify and all affiliates’ obligations to you in respect of the termination of your employment, including in the event that you claim constructive dismissal, and, except as set out in this section entitled “Termination of Employment”, no further amounts or damages will be payable to you by Shopify or its affiliates in respect of the termination of your employment (including, without limitation, in respect of notice of termination, severance, incentive compensation or other compensatory payments) and you waive any entitlement to notice at common law, provided that under no circumstance will you receive less than your minimum entitlements under applicable employment standards legislation. By signing below, you agree to receive any applicable required statutory severance pay via installments, in accordance with Shopify’s payroll practices, as amended from time to time. You also agree that this section entitled “Termination of Employment” will continue to apply to you (i) regardless of the length of your employment with Shopify or any change in your position or other terms of employment, and (ii) in the event you are constructively dismissed from employment. You acknowledge that any payment, benefit or other entitlement under this section that is in excess of your minimum entitlements under applicable employment standards legislation is conditional on you returning a signed copy of the Release within 7 days of your Last Day of Employment, and that if you fail to do so your entitlements will be limited to the minimum applicable requirements of employment standards legislation. You acknowledge and agree that you have not been induced by Shopify to leave prior employment and also understand that in determining your entitlements on termination no service with any previous employer will be recognized, except as necessary to comply with the minimum requirements of applicable employment standards legislation. </w:t>
      </w:r>
    </w:p>
    <w:p>
      <w:pPr>
        <w:pStyle w:val="TextBody"/>
        <w:bidi w:val="0"/>
        <w:spacing w:before="0" w:after="0"/>
        <w:jc w:val="left"/>
        <w:rPr/>
      </w:pPr>
      <w:r>
        <w:rPr/>
      </w:r>
    </w:p>
    <w:tbl>
      <w:tblPr>
        <w:tblW w:w="659" w:type="dxa"/>
        <w:jc w:val="right"/>
        <w:tblInd w:w="0" w:type="dxa"/>
        <w:tblLayout w:type="fixed"/>
        <w:tblCellMar>
          <w:top w:w="28" w:type="dxa"/>
          <w:left w:w="28" w:type="dxa"/>
          <w:bottom w:w="28" w:type="dxa"/>
          <w:right w:w="28" w:type="dxa"/>
        </w:tblCellMar>
      </w:tblPr>
      <w:tblGrid>
        <w:gridCol w:w="211"/>
        <w:gridCol w:w="185"/>
        <w:gridCol w:w="263"/>
      </w:tblGrid>
      <w:tr>
        <w:trPr/>
        <w:tc>
          <w:tcPr>
            <w:tcW w:w="211"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r>
      <w:tr>
        <w:trPr/>
        <w:tc>
          <w:tcPr>
            <w:tcW w:w="659"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40" w:before="0" w:after="283"/>
              <w:jc w:val="center"/>
              <w:rPr>
                <w:rFonts w:ascii="Adelle Sans;sans-serif" w:hAnsi="Adelle Sans;sans-serif"/>
                <w:b w:val="false"/>
                <w:i/>
                <w:color w:val="000000"/>
                <w:sz w:val="20"/>
              </w:rPr>
            </w:pPr>
            <w:r>
              <w:rPr>
                <w:rFonts w:ascii="Adelle Sans;sans-serif" w:hAnsi="Adelle Sans;sans-serif"/>
                <w:b w:val="false"/>
                <w:i/>
                <w:color w:val="000000"/>
                <w:sz w:val="20"/>
              </w:rPr>
              <w:t>/s/ JH</w:t>
            </w:r>
          </w:p>
        </w:tc>
      </w:tr>
    </w:tbl>
    <w:p>
      <w:pPr>
        <w:pStyle w:val="TextBody"/>
        <w:bidi w:val="0"/>
        <w:spacing w:lineRule="auto" w:line="240" w:before="0" w:after="0"/>
        <w:jc w:val="right"/>
        <w:rPr>
          <w:rFonts w:ascii="Adelle Sans;sans-serif" w:hAnsi="Adelle Sans;sans-serif"/>
          <w:b w:val="false"/>
          <w:i/>
          <w:color w:val="000000"/>
          <w:sz w:val="16"/>
        </w:rPr>
      </w:pPr>
      <w:r>
        <w:rPr>
          <w:rFonts w:ascii="Adelle Sans;sans-serif" w:hAnsi="Adelle Sans;sans-serif"/>
          <w:b w:val="false"/>
          <w:i/>
          <w:color w:val="000000"/>
          <w:sz w:val="16"/>
        </w:rPr>
        <w:t xml:space="preserve">Employee Initial to Confirm Review, Understanding and Acceptance of the </w:t>
      </w:r>
    </w:p>
    <w:p>
      <w:pPr>
        <w:pStyle w:val="TextBody"/>
        <w:bidi w:val="0"/>
        <w:spacing w:lineRule="auto" w:line="240" w:before="0" w:after="0"/>
        <w:jc w:val="right"/>
        <w:rPr>
          <w:rFonts w:ascii="Adelle Sans;sans-serif" w:hAnsi="Adelle Sans;sans-serif"/>
          <w:b w:val="false"/>
          <w:i/>
          <w:color w:val="000000"/>
          <w:sz w:val="16"/>
        </w:rPr>
      </w:pPr>
      <w:r>
        <w:rPr>
          <w:rFonts w:ascii="Adelle Sans;sans-serif" w:hAnsi="Adelle Sans;sans-serif"/>
          <w:b w:val="false"/>
          <w:i/>
          <w:color w:val="000000"/>
          <w:sz w:val="16"/>
        </w:rPr>
        <w:t>terms contained in the section entitled “Termination of Employment”.</w:t>
      </w:r>
    </w:p>
    <w:p>
      <w:pPr>
        <w:pStyle w:val="TextBody"/>
        <w:bidi w:val="0"/>
        <w:spacing w:before="0" w:after="0"/>
        <w:jc w:val="left"/>
        <w:rPr/>
      </w:pPr>
      <w:r>
        <w:rPr/>
      </w:r>
    </w:p>
    <w:p>
      <w:pPr>
        <w:pStyle w:val="TextBody"/>
        <w:bidi w:val="0"/>
        <w:spacing w:lineRule="auto" w:line="240" w:before="0" w:after="0"/>
        <w:ind w:left="0" w:right="0" w:hanging="360"/>
        <w:jc w:val="left"/>
        <w:rPr>
          <w:rFonts w:ascii="Adelle Sans;sans-serif" w:hAnsi="Adelle Sans;sans-serif"/>
          <w:b/>
          <w:color w:val="000000"/>
          <w:sz w:val="24"/>
        </w:rPr>
      </w:pPr>
      <w:r>
        <w:rPr>
          <w:rFonts w:ascii="Adelle Sans;sans-serif" w:hAnsi="Adelle Sans;sans-serif"/>
          <w:b/>
          <w:color w:val="000000"/>
          <w:sz w:val="24"/>
        </w:rPr>
        <w:t>11.Intellectual Property Rights &amp; Arbitration Agreement &amp; Privacy Consent</w:t>
      </w:r>
    </w:p>
    <w:p>
      <w:pPr>
        <w:pStyle w:val="TextBody"/>
        <w:bidi w:val="0"/>
        <w:spacing w:before="0" w:after="0"/>
        <w:jc w:val="left"/>
        <w:rPr/>
      </w:pPr>
      <w:r>
        <w:rPr/>
      </w:r>
    </w:p>
    <w:p>
      <w:pPr>
        <w:pStyle w:val="TextBody"/>
        <w:bidi w:val="0"/>
        <w:spacing w:lineRule="auto" w:line="240"/>
        <w:jc w:val="both"/>
        <w:rPr>
          <w:rFonts w:ascii="Adelle Sans Light;sans-serif" w:hAnsi="Adelle Sans Light;sans-serif"/>
          <w:b w:val="false"/>
          <w:color w:val="000000"/>
          <w:sz w:val="24"/>
        </w:rPr>
      </w:pPr>
      <w:r>
        <w:rPr>
          <w:rFonts w:ascii="Adelle Sans Light;sans-serif" w:hAnsi="Adelle Sans Light;sans-serif"/>
          <w:b w:val="false"/>
          <w:color w:val="000000"/>
          <w:sz w:val="24"/>
        </w:rPr>
        <w:t xml:space="preserve">We have enclosed our most recent standard Intellectual Property Rights &amp; Arbitration Agreement (“IPRAA”). The IPRAA provides details of your obligations to Shopify with respect to confidentiality, intellectual property, and other restricted activities and sets </w:t>
      </w:r>
    </w:p>
    <w:p>
      <w:pPr>
        <w:pStyle w:val="TextBody"/>
        <w:bidi w:val="0"/>
        <w:spacing w:before="0" w:after="0"/>
        <w:jc w:val="righ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75260"/>
                <wp:effectExtent l="0" t="0" r="0" b="0"/>
                <wp:wrapNone/>
                <wp:docPr id="56" name="Frame5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right"/>
        <w:rPr/>
      </w:pPr>
      <w:r>
        <w:rPr/>
      </w:r>
    </w:p>
    <w:p>
      <w:pPr>
        <w:pStyle w:val="TextBody"/>
        <w:bidi w:val="0"/>
        <w:spacing w:lineRule="auto" w:line="240" w:before="0" w:after="0"/>
        <w:jc w:val="both"/>
        <w:rPr>
          <w:rFonts w:ascii="Adelle Sans Light;sans-serif" w:hAnsi="Adelle Sans Light;sans-serif"/>
          <w:b w:val="false"/>
          <w:color w:val="000000"/>
          <w:sz w:val="24"/>
        </w:rPr>
      </w:pPr>
      <w:r>
        <w:rPr>
          <w:rFonts w:ascii="Adelle Sans Light;sans-serif" w:hAnsi="Adelle Sans Light;sans-serif"/>
          <w:b w:val="false"/>
          <w:color w:val="000000"/>
          <w:sz w:val="24"/>
        </w:rPr>
        <w:t>out our confidential dispute resolution process. The obligations provided in the IPRAA will survive the termination of your employment, regardless of the reason for termination. This offer of employment is conditional upon you accepting the terms of the IPRAA.</w:t>
      </w:r>
    </w:p>
    <w:p>
      <w:pPr>
        <w:pStyle w:val="TextBody"/>
        <w:bidi w:val="0"/>
        <w:spacing w:before="0" w:after="0"/>
        <w:jc w:val="both"/>
        <w:rPr/>
      </w:pPr>
      <w:r>
        <w:rPr/>
      </w:r>
    </w:p>
    <w:p>
      <w:pPr>
        <w:pStyle w:val="TextBody"/>
        <w:bidi w:val="0"/>
        <w:spacing w:lineRule="auto" w:line="240" w:before="0" w:after="0"/>
        <w:jc w:val="both"/>
        <w:rPr>
          <w:rFonts w:ascii="Adelle Sans Light;sans-serif" w:hAnsi="Adelle Sans Light;sans-serif"/>
          <w:b w:val="false"/>
          <w:color w:val="000000"/>
          <w:sz w:val="24"/>
        </w:rPr>
      </w:pPr>
      <w:r>
        <w:rPr>
          <w:rFonts w:ascii="Adelle Sans Light;sans-serif" w:hAnsi="Adelle Sans Light;sans-serif"/>
          <w:b w:val="false"/>
          <w:color w:val="000000"/>
          <w:sz w:val="24"/>
        </w:rPr>
        <w:t>By signing this agreement, you represent and warrant that you are lawfully entitled to work in Canada under the terms and conditions set out in this agreement. If you require a work permit in order to lawfully perform your duties in Canada, your employment is conditional upon and subject to obtaining and maintaining such work permit. For clarity, Shopify reserves the right to terminate your employment prior to the expiration of your work permit in accordance with the terms of this agreement. If applicable, you must notify the Talent team (your Business Partner, Talent Coordinator and/or the Mobility team) six months in advance of the expiry date of your work permit. In addition, should a situation arise where you might be unable to lawfully perform your duties, you must immediately advise the Talent team.</w:t>
      </w:r>
    </w:p>
    <w:p>
      <w:pPr>
        <w:pStyle w:val="TextBody"/>
        <w:bidi w:val="0"/>
        <w:spacing w:before="0" w:after="0"/>
        <w:jc w:val="both"/>
        <w:rPr/>
      </w:pPr>
      <w:r>
        <w:rPr/>
      </w:r>
    </w:p>
    <w:p>
      <w:pPr>
        <w:pStyle w:val="TextBody"/>
        <w:bidi w:val="0"/>
        <w:spacing w:lineRule="auto" w:line="240" w:before="0" w:after="0"/>
        <w:jc w:val="both"/>
        <w:rPr>
          <w:rFonts w:ascii="Adelle Sans Light;sans-serif" w:hAnsi="Adelle Sans Light;sans-serif"/>
          <w:b w:val="false"/>
          <w:color w:val="000000"/>
          <w:sz w:val="24"/>
        </w:rPr>
      </w:pPr>
      <w:r>
        <w:rPr>
          <w:rFonts w:ascii="Adelle Sans Light;sans-serif" w:hAnsi="Adelle Sans Light;sans-serif"/>
          <w:b w:val="false"/>
          <w:color w:val="000000"/>
          <w:sz w:val="24"/>
        </w:rPr>
        <w:t>You consent to Shopify collecting, processing, using, transmitting or retaining any of your personal information that is reasonably necessary for the purposes of establishing, administering or furthering the employment relationship between you and Shopify. The Employee Privacy Policy is available upon request from the Talent team or within Shopify’s Vault, and the Candidate Privacy Notice is available at https://www.shopify.com/careers/candidate-privacy-notice.</w:t>
      </w:r>
    </w:p>
    <w:p>
      <w:pPr>
        <w:pStyle w:val="TextBody"/>
        <w:bidi w:val="0"/>
        <w:spacing w:before="0" w:after="0"/>
        <w:jc w:val="left"/>
        <w:rPr/>
      </w:pPr>
      <w:r>
        <w:rPr/>
      </w:r>
    </w:p>
    <w:p>
      <w:pPr>
        <w:pStyle w:val="TextBody"/>
        <w:bidi w:val="0"/>
        <w:spacing w:lineRule="auto" w:line="240" w:before="0" w:after="0"/>
        <w:ind w:left="0" w:right="0" w:hanging="360"/>
        <w:jc w:val="left"/>
        <w:rPr>
          <w:rFonts w:ascii="Adelle Sans;sans-serif" w:hAnsi="Adelle Sans;sans-serif"/>
          <w:b/>
          <w:color w:val="000000"/>
          <w:sz w:val="24"/>
        </w:rPr>
      </w:pPr>
      <w:r>
        <w:rPr>
          <w:rFonts w:ascii="Adelle Sans;sans-serif" w:hAnsi="Adelle Sans;sans-serif"/>
          <w:b/>
          <w:color w:val="000000"/>
          <w:sz w:val="24"/>
        </w:rPr>
        <w:t>12.General</w:t>
      </w:r>
    </w:p>
    <w:p>
      <w:pPr>
        <w:pStyle w:val="TextBody"/>
        <w:bidi w:val="0"/>
        <w:spacing w:before="0" w:after="0"/>
        <w:jc w:val="left"/>
        <w:rPr/>
      </w:pPr>
      <w:r>
        <w:rPr/>
      </w:r>
    </w:p>
    <w:p>
      <w:pPr>
        <w:pStyle w:val="TextBody"/>
        <w:bidi w:val="0"/>
        <w:spacing w:lineRule="auto" w:line="240" w:before="0" w:after="0"/>
        <w:jc w:val="both"/>
        <w:rPr>
          <w:rFonts w:ascii="Adelle Sans Light;sans-serif" w:hAnsi="Adelle Sans Light;sans-serif"/>
          <w:b w:val="false"/>
          <w:color w:val="000000"/>
          <w:sz w:val="24"/>
        </w:rPr>
      </w:pPr>
      <w:r>
        <w:rPr>
          <w:rFonts w:ascii="Adelle Sans Light;sans-serif" w:hAnsi="Adelle Sans Light;sans-serif"/>
          <w:b w:val="false"/>
          <w:color w:val="000000"/>
          <w:sz w:val="24"/>
        </w:rPr>
        <w:t xml:space="preserve">This agreement, together with the documents incorporated by reference, constitutes the entire agreement between you and Shopify with respect to your employment with Shopify as of the Effective Date. If you accept this offer and commence employment with Shopify pursuant to this agreement, this agreement will supersede and replace all prior employment agreements between you and Shopify, except to the extent that (a) such prior agreements contain obligations to Shopify that survive the termination thereof (e.g. ongoing confidentiality obligations), or (b) this agreement, or any provision(s) thereof, is found to be unenforceable, in which case the prior agreement, or relevant provision(s) thereof, will continue to apply. If you fail to accept this offer – or if you do not commence employment with the Company pursuant to this agreement – this offer will be null and void and your employment will continue to be governed by the existing agreement between you and Shopify (USA) Inc., dated March 23, 2022. </w:t>
      </w:r>
    </w:p>
    <w:p>
      <w:pPr>
        <w:pStyle w:val="TextBody"/>
        <w:bidi w:val="0"/>
        <w:spacing w:before="0" w:after="0"/>
        <w:jc w:val="both"/>
        <w:rPr/>
      </w:pPr>
      <w:r>
        <w:rPr/>
      </w:r>
    </w:p>
    <w:p>
      <w:pPr>
        <w:pStyle w:val="TextBody"/>
        <w:bidi w:val="0"/>
        <w:spacing w:lineRule="auto" w:line="240" w:before="0" w:after="0"/>
        <w:jc w:val="both"/>
        <w:rPr>
          <w:rFonts w:ascii="Adelle Sans Light;sans-serif" w:hAnsi="Adelle Sans Light;sans-serif"/>
          <w:b w:val="false"/>
          <w:color w:val="000000"/>
          <w:sz w:val="24"/>
        </w:rPr>
      </w:pPr>
      <w:r>
        <w:rPr>
          <w:rFonts w:ascii="Adelle Sans Light;sans-serif" w:hAnsi="Adelle Sans Light;sans-serif"/>
          <w:b w:val="false"/>
          <w:color w:val="000000"/>
          <w:sz w:val="24"/>
        </w:rPr>
        <w:t>This agreement will be governed by and construed in accordance with the laws of the province in which you are employed and the applicable federal laws of Canada.</w:t>
      </w:r>
    </w:p>
    <w:p>
      <w:pPr>
        <w:pStyle w:val="TextBody"/>
        <w:bidi w:val="0"/>
        <w:spacing w:before="0" w:after="0"/>
        <w:jc w:val="both"/>
        <w:rPr/>
      </w:pPr>
      <w:r>
        <w:rPr/>
      </w:r>
    </w:p>
    <w:p>
      <w:pPr>
        <w:pStyle w:val="TextBody"/>
        <w:bidi w:val="0"/>
        <w:spacing w:lineRule="auto" w:line="240" w:before="0" w:after="0"/>
        <w:jc w:val="both"/>
        <w:rPr>
          <w:rFonts w:ascii="Adelle Sans Light;sans-serif" w:hAnsi="Adelle Sans Light;sans-serif"/>
          <w:b w:val="false"/>
          <w:color w:val="000000"/>
          <w:sz w:val="24"/>
        </w:rPr>
      </w:pPr>
      <w:r>
        <w:rPr>
          <w:rFonts w:ascii="Adelle Sans Light;sans-serif" w:hAnsi="Adelle Sans Light;sans-serif"/>
          <w:b w:val="false"/>
          <w:color w:val="000000"/>
          <w:sz w:val="24"/>
        </w:rPr>
        <w:t>If any provision in this agreement is determined to be invalid, void or unenforceable by an adjudicator of competent jurisdiction, the provision in question will not be deemed to affect or impair the validity or enforceability of any other provision of this agreement and such invalid or unenforceable provision or portion thereof will be severed from the remainder of this agreement.</w:t>
      </w:r>
    </w:p>
    <w:p>
      <w:pPr>
        <w:pStyle w:val="TextBody"/>
        <w:bidi w:val="0"/>
        <w:spacing w:before="0" w:after="0"/>
        <w:jc w:val="both"/>
        <w:rPr/>
      </w:pPr>
      <w:r>
        <w:rPr/>
      </w:r>
    </w:p>
    <w:p>
      <w:pPr>
        <w:pStyle w:val="TextBody"/>
        <w:bidi w:val="0"/>
        <w:spacing w:lineRule="auto" w:line="240" w:before="0" w:after="0"/>
        <w:jc w:val="both"/>
        <w:rPr>
          <w:rFonts w:ascii="Adelle Sans Light;sans-serif" w:hAnsi="Adelle Sans Light;sans-serif"/>
          <w:b w:val="false"/>
          <w:color w:val="000000"/>
          <w:sz w:val="24"/>
        </w:rPr>
      </w:pPr>
      <w:r>
        <w:rPr>
          <w:rFonts w:ascii="Adelle Sans Light;sans-serif" w:hAnsi="Adelle Sans Light;sans-serif"/>
          <w:b w:val="false"/>
          <w:color w:val="000000"/>
          <w:sz w:val="24"/>
        </w:rPr>
        <w:t xml:space="preserve">All amounts set out in this agreement are subject to applicable withholdings and deductions. </w:t>
      </w:r>
    </w:p>
    <w:p>
      <w:pPr>
        <w:pStyle w:val="TextBody"/>
        <w:bidi w:val="0"/>
        <w:spacing w:before="0" w:after="0"/>
        <w:jc w:val="both"/>
        <w:rPr/>
      </w:pPr>
      <w:r>
        <w:rPr/>
      </w:r>
    </w:p>
    <w:p>
      <w:pPr>
        <w:pStyle w:val="TextBody"/>
        <w:bidi w:val="0"/>
        <w:spacing w:lineRule="auto" w:line="240" w:before="0" w:after="0"/>
        <w:jc w:val="both"/>
        <w:rPr>
          <w:rFonts w:ascii="Adelle Sans Light;sans-serif" w:hAnsi="Adelle Sans Light;sans-serif"/>
          <w:b w:val="false"/>
          <w:color w:val="000000"/>
          <w:sz w:val="24"/>
        </w:rPr>
      </w:pPr>
      <w:r>
        <w:rPr>
          <w:rFonts w:ascii="Adelle Sans Light;sans-serif" w:hAnsi="Adelle Sans Light;sans-serif"/>
          <w:b w:val="false"/>
          <w:color w:val="000000"/>
          <w:sz w:val="24"/>
        </w:rPr>
        <w:t>In the event that the minimum standards set out in the applicable employment standards legislation (as may be amended from time to time) are more favourable to you than a term or provision provided for in this agreement, then the provisions of the applicable employment standards legislation will apply in respect of that term or provision.</w:t>
      </w:r>
    </w:p>
    <w:p>
      <w:pPr>
        <w:pStyle w:val="TextBody"/>
        <w:bidi w:val="0"/>
        <w:jc w:val="both"/>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75260"/>
                <wp:effectExtent l="0" t="0" r="0" b="0"/>
                <wp:wrapNone/>
                <wp:docPr id="57" name="Frame5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right"/>
        <w:rPr/>
      </w:pPr>
      <w:r>
        <w:rPr/>
      </w:r>
    </w:p>
    <w:p>
      <w:pPr>
        <w:pStyle w:val="TextBody"/>
        <w:bidi w:val="0"/>
        <w:spacing w:lineRule="auto" w:line="240" w:before="0" w:after="0"/>
        <w:jc w:val="both"/>
        <w:rPr>
          <w:rFonts w:ascii="Adelle Sans Light;sans-serif" w:hAnsi="Adelle Sans Light;sans-serif"/>
          <w:b w:val="false"/>
          <w:color w:val="000000"/>
          <w:sz w:val="24"/>
        </w:rPr>
      </w:pPr>
      <w:r>
        <w:rPr>
          <w:rFonts w:ascii="Adelle Sans Light;sans-serif" w:hAnsi="Adelle Sans Light;sans-serif"/>
          <w:b w:val="false"/>
          <w:color w:val="000000"/>
          <w:sz w:val="24"/>
        </w:rPr>
        <w:t xml:space="preserve">You acknowledge that you have been afforded an opportunity to obtain independent legal advice with respect to this agreement and its terms, and are executing it freely, voluntarily and without inducement or duress on the part of Shopify. </w:t>
      </w:r>
    </w:p>
    <w:p>
      <w:pPr>
        <w:pStyle w:val="TextBody"/>
        <w:bidi w:val="0"/>
        <w:spacing w:before="0" w:after="0"/>
        <w:jc w:val="both"/>
        <w:rPr/>
      </w:pPr>
      <w:r>
        <w:rPr/>
      </w:r>
    </w:p>
    <w:p>
      <w:pPr>
        <w:pStyle w:val="TextBody"/>
        <w:bidi w:val="0"/>
        <w:spacing w:lineRule="auto" w:line="240" w:before="0" w:after="0"/>
        <w:jc w:val="both"/>
        <w:rPr>
          <w:rFonts w:ascii="Adelle Sans Light;sans-serif" w:hAnsi="Adelle Sans Light;sans-serif"/>
          <w:b w:val="false"/>
          <w:color w:val="000000"/>
          <w:sz w:val="24"/>
        </w:rPr>
      </w:pPr>
      <w:r>
        <w:rPr>
          <w:rFonts w:ascii="Adelle Sans Light;sans-serif" w:hAnsi="Adelle Sans Light;sans-serif"/>
          <w:b w:val="false"/>
          <w:color w:val="000000"/>
          <w:sz w:val="24"/>
        </w:rPr>
        <w:t xml:space="preserve">If you are prepared to accept continued employment with Shopify in accordance with the terms and conditions outlined in this agreement and the documents incorporated by reference, please sign both the IPRAA and this agreement and return them via Docusign. </w:t>
      </w:r>
    </w:p>
    <w:p>
      <w:pPr>
        <w:pStyle w:val="TextBody"/>
        <w:bidi w:val="0"/>
        <w:spacing w:before="0" w:after="0"/>
        <w:jc w:val="both"/>
        <w:rPr/>
      </w:pPr>
      <w:r>
        <w:rPr/>
      </w:r>
    </w:p>
    <w:p>
      <w:pPr>
        <w:pStyle w:val="TextBody"/>
        <w:bidi w:val="0"/>
        <w:spacing w:lineRule="auto" w:line="240" w:before="0" w:after="0"/>
        <w:jc w:val="both"/>
        <w:rPr/>
      </w:pPr>
      <w:r>
        <w:rPr>
          <w:rFonts w:ascii="Adelle Sans Light;sans-serif" w:hAnsi="Adelle Sans Light;sans-serif"/>
          <w:b w:val="false"/>
          <w:color w:val="000000"/>
          <w:sz w:val="24"/>
        </w:rPr>
        <w:t xml:space="preserve">We look forward to your acceptance of this offer, which will expire on </w:t>
      </w:r>
      <w:r>
        <w:rPr>
          <w:rFonts w:ascii="Adelle Sans;sans-serif" w:hAnsi="Adelle Sans;sans-serif"/>
          <w:b/>
          <w:color w:val="000000"/>
          <w:sz w:val="24"/>
        </w:rPr>
        <w:t>July 31, 2026</w:t>
      </w:r>
      <w:r>
        <w:rPr>
          <w:rFonts w:ascii="Adelle Sans Light;sans-serif" w:hAnsi="Adelle Sans Light;sans-serif"/>
          <w:b w:val="false"/>
          <w:color w:val="000000"/>
          <w:sz w:val="24"/>
        </w:rPr>
        <w:t>.</w:t>
      </w:r>
    </w:p>
    <w:p>
      <w:pPr>
        <w:pStyle w:val="TextBody"/>
        <w:bidi w:val="0"/>
        <w:spacing w:before="0" w:after="0"/>
        <w:jc w:val="left"/>
        <w:rPr/>
      </w:pPr>
      <w:r>
        <w:rPr/>
      </w:r>
    </w:p>
    <w:p>
      <w:pPr>
        <w:pStyle w:val="TextBody"/>
        <w:bidi w:val="0"/>
        <w:spacing w:lineRule="auto" w:line="240" w:before="0" w:after="0"/>
        <w:jc w:val="left"/>
        <w:rPr>
          <w:rFonts w:ascii="Adelle Sans Light;sans-serif" w:hAnsi="Adelle Sans Light;sans-serif"/>
          <w:b w:val="false"/>
          <w:color w:val="000000"/>
          <w:sz w:val="24"/>
        </w:rPr>
      </w:pPr>
      <w:r>
        <w:rPr>
          <w:rFonts w:ascii="Adelle Sans Light;sans-serif" w:hAnsi="Adelle Sans Light;sans-serif"/>
          <w:b w:val="false"/>
          <w:color w:val="000000"/>
          <w:sz w:val="24"/>
        </w:rPr>
        <w:t>Yours truly,</w:t>
      </w:r>
    </w:p>
    <w:p>
      <w:pPr>
        <w:pStyle w:val="TextBody"/>
        <w:bidi w:val="0"/>
        <w:spacing w:lineRule="auto" w:line="240" w:before="0" w:after="0"/>
        <w:jc w:val="left"/>
        <w:rPr>
          <w:rFonts w:ascii="Adelle Sans Light;sans-serif" w:hAnsi="Adelle Sans Light;sans-serif"/>
          <w:b w:val="false"/>
          <w:color w:val="000000"/>
          <w:sz w:val="24"/>
        </w:rPr>
      </w:pPr>
      <w:r>
        <w:rPr>
          <w:rFonts w:ascii="Adelle Sans Light;sans-serif" w:hAnsi="Adelle Sans Light;sans-serif"/>
          <w:b w:val="false"/>
          <w:color w:val="000000"/>
          <w:sz w:val="24"/>
        </w:rPr>
        <w:t xml:space="preserve">Shopify Inc. </w:t>
      </w:r>
    </w:p>
    <w:p>
      <w:pPr>
        <w:pStyle w:val="TextBody"/>
        <w:bidi w:val="0"/>
        <w:spacing w:before="0" w:after="0"/>
        <w:jc w:val="left"/>
        <w:rPr/>
      </w:pPr>
      <w:r>
        <w:rPr/>
      </w:r>
    </w:p>
    <w:p>
      <w:pPr>
        <w:pStyle w:val="TextBody"/>
        <w:bidi w:val="0"/>
        <w:spacing w:lineRule="auto" w:line="240" w:before="0" w:after="0"/>
        <w:jc w:val="left"/>
        <w:rPr/>
      </w:pPr>
      <w:r>
        <w:rPr>
          <w:rFonts w:ascii="Adelle Sans Light;sans-serif" w:hAnsi="Adelle Sans Light;sans-serif"/>
          <w:b w:val="false"/>
          <w:color w:val="000000"/>
          <w:sz w:val="24"/>
        </w:rPr>
        <w:t xml:space="preserve">/s/ </w:t>
      </w:r>
      <w:r>
        <w:rPr>
          <w:rFonts w:ascii="Adelle Sans Light;sans-serif" w:hAnsi="Adelle Sans Light;sans-serif"/>
          <w:b w:val="false"/>
          <w:i/>
          <w:color w:val="000000"/>
          <w:sz w:val="24"/>
        </w:rPr>
        <w:t>Tobias Lütke</w:t>
      </w:r>
    </w:p>
    <w:p>
      <w:pPr>
        <w:pStyle w:val="TextBody"/>
        <w:bidi w:val="0"/>
        <w:spacing w:before="0" w:after="0"/>
        <w:jc w:val="left"/>
        <w:rPr/>
      </w:pPr>
      <w:r>
        <w:rPr/>
      </w:r>
    </w:p>
    <w:p>
      <w:pPr>
        <w:pStyle w:val="TextBody"/>
        <w:bidi w:val="0"/>
        <w:spacing w:lineRule="auto" w:line="240" w:before="0" w:after="0"/>
        <w:jc w:val="left"/>
        <w:rPr>
          <w:rFonts w:ascii="Adelle Sans Light;sans-serif" w:hAnsi="Adelle Sans Light;sans-serif"/>
          <w:b w:val="false"/>
          <w:color w:val="000000"/>
          <w:sz w:val="24"/>
        </w:rPr>
      </w:pPr>
      <w:r>
        <w:rPr>
          <w:rFonts w:ascii="Adelle Sans Light;sans-serif" w:hAnsi="Adelle Sans Light;sans-serif"/>
          <w:b w:val="false"/>
          <w:color w:val="000000"/>
          <w:sz w:val="24"/>
        </w:rPr>
        <w:t xml:space="preserve">Per: Tobias Lütke </w:t>
      </w:r>
    </w:p>
    <w:p>
      <w:pPr>
        <w:pStyle w:val="TextBody"/>
        <w:bidi w:val="0"/>
        <w:spacing w:lineRule="auto" w:line="240" w:before="0" w:after="0"/>
        <w:jc w:val="left"/>
        <w:rPr>
          <w:rFonts w:ascii="Adelle Sans Light;sans-serif" w:hAnsi="Adelle Sans Light;sans-serif"/>
          <w:b w:val="false"/>
          <w:color w:val="000000"/>
          <w:sz w:val="24"/>
        </w:rPr>
      </w:pPr>
      <w:r>
        <w:rPr>
          <w:rFonts w:ascii="Adelle Sans Light;sans-serif" w:hAnsi="Adelle Sans Light;sans-serif"/>
          <w:b w:val="false"/>
          <w:color w:val="000000"/>
          <w:sz w:val="24"/>
        </w:rPr>
        <w:t>Chief Executive Officer</w:t>
      </w:r>
    </w:p>
    <w:p>
      <w:pPr>
        <w:pStyle w:val="TextBody"/>
        <w:bidi w:val="0"/>
        <w:spacing w:before="0" w:after="283"/>
        <w:jc w:val="left"/>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75260"/>
                <wp:effectExtent l="0" t="0" r="0" b="0"/>
                <wp:wrapNone/>
                <wp:docPr id="58" name="Frame5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right"/>
        <w:rPr/>
      </w:pPr>
      <w:r>
        <w:rPr/>
      </w:r>
    </w:p>
    <w:p>
      <w:pPr>
        <w:pStyle w:val="TextBody"/>
        <w:bidi w:val="0"/>
        <w:spacing w:lineRule="auto" w:line="240" w:before="0" w:after="0"/>
        <w:jc w:val="center"/>
        <w:rPr>
          <w:rFonts w:ascii="Adelle Sans;sans-serif" w:hAnsi="Adelle Sans;sans-serif"/>
          <w:b/>
          <w:color w:val="000000"/>
          <w:sz w:val="24"/>
        </w:rPr>
      </w:pPr>
      <w:r>
        <w:rPr>
          <w:rFonts w:ascii="Adelle Sans;sans-serif" w:hAnsi="Adelle Sans;sans-serif"/>
          <w:b/>
          <w:color w:val="000000"/>
          <w:sz w:val="24"/>
        </w:rPr>
        <w:t>EMPLOYEE’S AGREEMENT</w:t>
      </w:r>
    </w:p>
    <w:p>
      <w:pPr>
        <w:pStyle w:val="TextBody"/>
        <w:bidi w:val="0"/>
        <w:spacing w:before="0" w:after="0"/>
        <w:jc w:val="left"/>
        <w:rPr/>
      </w:pPr>
      <w:r>
        <w:rPr/>
      </w:r>
    </w:p>
    <w:p>
      <w:pPr>
        <w:pStyle w:val="TextBody"/>
        <w:bidi w:val="0"/>
        <w:spacing w:lineRule="auto" w:line="240" w:before="0" w:after="0"/>
        <w:jc w:val="both"/>
        <w:rPr>
          <w:rFonts w:ascii="Adelle Sans Light;sans-serif" w:hAnsi="Adelle Sans Light;sans-serif"/>
          <w:b w:val="false"/>
          <w:color w:val="000000"/>
          <w:sz w:val="24"/>
        </w:rPr>
      </w:pPr>
      <w:r>
        <w:rPr>
          <w:rFonts w:ascii="Adelle Sans Light;sans-serif" w:hAnsi="Adelle Sans Light;sans-serif"/>
          <w:b w:val="false"/>
          <w:color w:val="000000"/>
          <w:sz w:val="24"/>
        </w:rPr>
        <w:t xml:space="preserve">I have read, understood and agree with the foregoing. I have had a reasonable opportunity to consider this agreement. I have received good and sufficient consideration for the terms and conditions set out in this agreement, including the Relocation Assistance, and accept continued employment with Shopify on those terms and conditions, including without limitation, the terms and conditions relating to the Shopify Rewards Wallet set out in the section of this agreement entitled “Shopify Rewards Wallet”, and the provisions governing my entitlements upon termination of employment set out in the section of this agreement entitled “Termination of Employment”. I further understand that the IPRAA contains provisions requiring disputes in respect of my employment to be subject to private arbitration, unless prohibited by law. I acknowledge and agree that I will not be able to participate in civil or class action claims in respect of my employment, subject to and in accordance with the terms of the IPRAA. </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bl>
      <w:tblPr>
        <w:tblW w:w="2930" w:type="dxa"/>
        <w:jc w:val="left"/>
        <w:tblInd w:w="0" w:type="dxa"/>
        <w:tblLayout w:type="fixed"/>
        <w:tblCellMar>
          <w:top w:w="28" w:type="dxa"/>
          <w:left w:w="28" w:type="dxa"/>
          <w:bottom w:w="28" w:type="dxa"/>
          <w:right w:w="28" w:type="dxa"/>
        </w:tblCellMar>
      </w:tblPr>
      <w:tblGrid>
        <w:gridCol w:w="297"/>
        <w:gridCol w:w="261"/>
        <w:gridCol w:w="261"/>
        <w:gridCol w:w="261"/>
        <w:gridCol w:w="261"/>
        <w:gridCol w:w="261"/>
        <w:gridCol w:w="109"/>
        <w:gridCol w:w="109"/>
        <w:gridCol w:w="109"/>
        <w:gridCol w:w="156"/>
        <w:gridCol w:w="156"/>
        <w:gridCol w:w="156"/>
        <w:gridCol w:w="156"/>
        <w:gridCol w:w="156"/>
        <w:gridCol w:w="221"/>
      </w:tblGrid>
      <w:tr>
        <w:trPr/>
        <w:tc>
          <w:tcPr>
            <w:tcW w:w="297"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r>
      <w:tr>
        <w:trPr/>
        <w:tc>
          <w:tcPr>
            <w:tcW w:w="1602"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val="false"/>
                <w:i/>
                <w:color w:val="000000"/>
                <w:sz w:val="20"/>
              </w:rPr>
            </w:pPr>
            <w:r>
              <w:rPr>
                <w:rFonts w:ascii="Arial;sans-serif" w:hAnsi="Arial;sans-serif"/>
                <w:b w:val="false"/>
                <w:i/>
                <w:color w:val="000000"/>
                <w:sz w:val="20"/>
              </w:rPr>
              <w:t>/s/ Jessica Hertz</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7/31/2026</w:t>
            </w:r>
          </w:p>
        </w:tc>
      </w:tr>
      <w:tr>
        <w:trPr/>
        <w:tc>
          <w:tcPr>
            <w:tcW w:w="1602"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Jessica Hertz</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Date</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83"/>
        <w:jc w:val="left"/>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75260"/>
                <wp:effectExtent l="0" t="0" r="0" b="0"/>
                <wp:wrapNone/>
                <wp:docPr id="59" name="Frame5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right"/>
        <w:rPr/>
      </w:pPr>
      <w:r>
        <w:rPr/>
      </w:r>
    </w:p>
    <w:p>
      <w:pPr>
        <w:pStyle w:val="TextBody"/>
        <w:bidi w:val="0"/>
        <w:spacing w:before="0" w:after="0"/>
        <w:jc w:val="left"/>
        <w:rPr/>
      </w:pPr>
      <w:r>
        <w:rPr/>
      </w:r>
    </w:p>
    <w:p>
      <w:pPr>
        <w:pStyle w:val="TextBody"/>
        <w:bidi w:val="0"/>
        <w:spacing w:lineRule="auto" w:line="240" w:before="0" w:after="0"/>
        <w:jc w:val="center"/>
        <w:rPr>
          <w:rFonts w:ascii="Adelle Sans Light;sans-serif" w:hAnsi="Adelle Sans Light;sans-serif"/>
          <w:b/>
          <w:color w:val="000000"/>
          <w:sz w:val="24"/>
        </w:rPr>
      </w:pPr>
      <w:r>
        <w:rPr>
          <w:rFonts w:ascii="Adelle Sans Light;sans-serif" w:hAnsi="Adelle Sans Light;sans-serif"/>
          <w:b/>
          <w:color w:val="000000"/>
          <w:sz w:val="24"/>
        </w:rPr>
        <w:t xml:space="preserve">Relocation Assistance Exhibit </w:t>
      </w:r>
    </w:p>
    <w:p>
      <w:pPr>
        <w:pStyle w:val="TextBody"/>
        <w:bidi w:val="0"/>
        <w:spacing w:before="0" w:after="0"/>
        <w:jc w:val="center"/>
        <w:rPr/>
      </w:pPr>
      <w:r>
        <w:rPr/>
      </w:r>
    </w:p>
    <w:p>
      <w:pPr>
        <w:pStyle w:val="TextBody"/>
        <w:bidi w:val="0"/>
        <w:spacing w:lineRule="auto" w:line="240"/>
        <w:jc w:val="center"/>
        <w:rPr/>
      </w:pPr>
      <w:r>
        <w:rPr>
          <w:rFonts w:ascii="Adelle Sans Light;sans-serif" w:hAnsi="Adelle Sans Light;sans-serif"/>
          <w:b/>
          <w:color w:val="000000"/>
          <w:sz w:val="24"/>
        </w:rPr>
        <w:t>[</w:t>
      </w:r>
      <w:r>
        <w:rPr>
          <w:rFonts w:ascii="Adelle Sans Light;sans-serif" w:hAnsi="Adelle Sans Light;sans-serif"/>
          <w:b/>
          <w:i/>
          <w:color w:val="000000"/>
          <w:sz w:val="24"/>
        </w:rPr>
        <w:t>Omitted pursuant to Item 601(a)(5) of Regulation S-K]</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75260"/>
                <wp:effectExtent l="0" t="0" r="0" b="0"/>
                <wp:wrapNone/>
                <wp:docPr id="60" name="Frame5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80" w:after="283"/>
        <w:jc w:val="left"/>
        <w:rPr>
          <w:color w:val="000000"/>
        </w:rPr>
      </w:pPr>
      <w:r>
        <w:rPr>
          <w:color w:val="000000"/>
        </w:rPr>
        <w:t> </w:t>
      </w:r>
    </w:p>
    <w:p>
      <w:pPr>
        <w:pStyle w:val="TextBody"/>
        <w:bidi w:val="0"/>
        <w:spacing w:lineRule="auto" w:line="288" w:before="0" w:after="0"/>
        <w:jc w:val="right"/>
        <w:rPr>
          <w:rFonts w:ascii="Adelle Sans;sans-serif" w:hAnsi="Adelle Sans;sans-serif"/>
          <w:b/>
          <w:color w:val="000000"/>
          <w:sz w:val="20"/>
        </w:rPr>
      </w:pPr>
      <w:r>
        <w:rPr>
          <w:rFonts w:ascii="Adelle Sans;sans-serif" w:hAnsi="Adelle Sans;sans-serif"/>
          <w:b/>
          <w:color w:val="000000"/>
          <w:sz w:val="20"/>
        </w:rPr>
        <w:t xml:space="preserve">EXHIBIT 31.1 </w:t>
      </w:r>
    </w:p>
    <w:p>
      <w:pPr>
        <w:pStyle w:val="TextBody"/>
        <w:bidi w:val="0"/>
        <w:spacing w:lineRule="auto" w:line="288" w:before="0" w:after="0"/>
        <w:jc w:val="center"/>
        <w:rPr>
          <w:rFonts w:ascii="Adelle Sans;sans-serif" w:hAnsi="Adelle Sans;sans-serif"/>
          <w:b/>
          <w:color w:val="000000"/>
          <w:sz w:val="20"/>
        </w:rPr>
      </w:pPr>
      <w:r>
        <w:rPr>
          <w:rFonts w:ascii="Adelle Sans;sans-serif" w:hAnsi="Adelle Sans;sans-serif"/>
          <w:b/>
          <w:color w:val="000000"/>
          <w:sz w:val="20"/>
        </w:rPr>
        <w:t>CERTIFICATION</w:t>
      </w:r>
    </w:p>
    <w:p>
      <w:pPr>
        <w:pStyle w:val="TextBody"/>
        <w:bidi w:val="0"/>
        <w:spacing w:lineRule="auto" w:line="288" w:before="0" w:after="0"/>
        <w:jc w:val="center"/>
        <w:rPr>
          <w:rFonts w:ascii="Adelle Sans;sans-serif" w:hAnsi="Adelle Sans;sans-serif"/>
          <w:b/>
          <w:color w:val="000000"/>
          <w:sz w:val="20"/>
        </w:rPr>
      </w:pPr>
      <w:r>
        <w:rPr>
          <w:rFonts w:ascii="Adelle Sans;sans-serif" w:hAnsi="Adelle Sans;sans-serif"/>
          <w:b/>
          <w:color w:val="000000"/>
          <w:sz w:val="20"/>
        </w:rPr>
        <w:t>PURSUANT TO SECTION 302 OF THE SARBANES-OXLEY ACT OF 2002</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Adelle Sans;sans-serif" w:hAnsi="Adelle Sans;sans-serif"/>
          <w:b w:val="false"/>
          <w:color w:val="000000"/>
          <w:sz w:val="20"/>
        </w:rPr>
      </w:pPr>
      <w:r>
        <w:rPr>
          <w:rFonts w:ascii="Adelle Sans;sans-serif" w:hAnsi="Adelle Sans;sans-serif"/>
          <w:b w:val="false"/>
          <w:color w:val="000000"/>
          <w:sz w:val="20"/>
        </w:rPr>
        <w:t>I, Tobias Lütke, certify that:</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Adelle Sans;sans-serif" w:hAnsi="Adelle Sans;sans-serif"/>
          <w:b w:val="false"/>
          <w:color w:val="000000"/>
          <w:sz w:val="20"/>
        </w:rPr>
      </w:pPr>
      <w:r>
        <w:rPr>
          <w:rFonts w:ascii="Adelle Sans;sans-serif" w:hAnsi="Adelle Sans;sans-serif"/>
          <w:b w:val="false"/>
          <w:color w:val="000000"/>
          <w:sz w:val="20"/>
        </w:rPr>
        <w:t>1. I have reviewed this quarterly report on Form 10-Q of Shopify Inc.;</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Adelle Sans;sans-serif" w:hAnsi="Adelle Sans;sans-serif"/>
          <w:b w:val="false"/>
          <w:color w:val="000000"/>
          <w:sz w:val="20"/>
        </w:rPr>
      </w:pPr>
      <w:r>
        <w:rPr>
          <w:rFonts w:ascii="Adelle Sans;sans-serif" w:hAnsi="Adelle Sans;sans-serif"/>
          <w:b w:val="false"/>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Adelle Sans;sans-serif" w:hAnsi="Adelle Sans;sans-serif"/>
          <w:b w:val="false"/>
          <w:color w:val="000000"/>
          <w:sz w:val="20"/>
        </w:rPr>
      </w:pPr>
      <w:r>
        <w:rPr>
          <w:rFonts w:ascii="Adelle Sans;sans-serif" w:hAnsi="Adelle Sans;sans-serif"/>
          <w:b w:val="false"/>
          <w:color w:val="000000"/>
          <w:sz w:val="20"/>
        </w:rPr>
        <w:t>3. Based on my knowledge, the financial statements, and other financial information included in this report, fairly present in all material respects the financial condition, results of operations and cash flows of the issuer as of, and for, the periods presented in this report;</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Adelle Sans;sans-serif" w:hAnsi="Adelle Sans;sans-serif"/>
          <w:b w:val="false"/>
          <w:color w:val="000000"/>
          <w:sz w:val="20"/>
        </w:rPr>
      </w:pPr>
      <w:r>
        <w:rPr>
          <w:rFonts w:ascii="Adelle Sans;sans-serif" w:hAnsi="Adelle Sans;sans-serif"/>
          <w:b w:val="false"/>
          <w:color w:val="000000"/>
          <w:sz w:val="20"/>
        </w:rPr>
        <w:t>4. The issuer's other certifying officer and I are responsible for establishing and maintaining disclosure controls and procedures (as defined in Exchange Act Rules 13a-15(e) and 15d-15(e)) and internal control over financial reporting (as defined in Exchange Act Rules 13a-15(f) and 15d-15(f)) for the issuer and have:</w:t>
      </w:r>
    </w:p>
    <w:p>
      <w:pPr>
        <w:pStyle w:val="TextBody"/>
        <w:bidi w:val="0"/>
        <w:spacing w:before="0" w:after="0"/>
        <w:jc w:val="left"/>
        <w:rPr/>
      </w:pPr>
      <w:r>
        <w:rPr/>
      </w:r>
    </w:p>
    <w:p>
      <w:pPr>
        <w:pStyle w:val="TextBody"/>
        <w:bidi w:val="0"/>
        <w:spacing w:lineRule="auto" w:line="288" w:before="0" w:after="0"/>
        <w:jc w:val="left"/>
        <w:rPr>
          <w:rFonts w:ascii="Adelle Sans;sans-serif" w:hAnsi="Adelle Sans;sans-serif"/>
          <w:b w:val="false"/>
          <w:color w:val="000000"/>
          <w:sz w:val="20"/>
        </w:rPr>
      </w:pPr>
      <w:r>
        <w:rPr>
          <w:rFonts w:ascii="Adelle Sans;sans-serif" w:hAnsi="Adelle Sans;sans-serif"/>
          <w:b w:val="false"/>
          <w:color w:val="000000"/>
          <w:sz w:val="20"/>
        </w:rPr>
        <w:t>(a) designed such disclosure controls and procedures, or caused such disclosure controls and procedures to be designed under our supervision, to ensure that material information relating to the issuer, including its consolidated subsidiaries, is made known to us by others within those entities, particularly during the period in which this report is being prepared;</w:t>
      </w:r>
    </w:p>
    <w:p>
      <w:pPr>
        <w:pStyle w:val="TextBody"/>
        <w:bidi w:val="0"/>
        <w:spacing w:before="0" w:after="0"/>
        <w:jc w:val="left"/>
        <w:rPr/>
      </w:pPr>
      <w:r>
        <w:rPr/>
      </w:r>
    </w:p>
    <w:p>
      <w:pPr>
        <w:pStyle w:val="TextBody"/>
        <w:bidi w:val="0"/>
        <w:spacing w:lineRule="auto" w:line="288" w:before="0" w:after="0"/>
        <w:jc w:val="left"/>
        <w:rPr>
          <w:rFonts w:ascii="Adelle Sans;sans-serif" w:hAnsi="Adelle Sans;sans-serif"/>
          <w:b w:val="false"/>
          <w:color w:val="000000"/>
          <w:sz w:val="20"/>
        </w:rPr>
      </w:pPr>
      <w:r>
        <w:rPr>
          <w:rFonts w:ascii="Adelle Sans;sans-serif" w:hAnsi="Adelle Sans;sans-serif"/>
          <w:b w:val="false"/>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jc w:val="left"/>
        <w:rPr/>
      </w:pPr>
      <w:r>
        <w:rPr/>
      </w:r>
    </w:p>
    <w:p>
      <w:pPr>
        <w:pStyle w:val="TextBody"/>
        <w:bidi w:val="0"/>
        <w:spacing w:lineRule="auto" w:line="288" w:before="0" w:after="0"/>
        <w:jc w:val="left"/>
        <w:rPr>
          <w:rFonts w:ascii="Adelle Sans;sans-serif" w:hAnsi="Adelle Sans;sans-serif"/>
          <w:b w:val="false"/>
          <w:color w:val="000000"/>
          <w:sz w:val="20"/>
        </w:rPr>
      </w:pPr>
      <w:r>
        <w:rPr>
          <w:rFonts w:ascii="Adelle Sans;sans-serif" w:hAnsi="Adelle Sans;sans-serif"/>
          <w:b w:val="false"/>
          <w:color w:val="000000"/>
          <w:sz w:val="20"/>
        </w:rPr>
        <w:t>(c) evaluated the effectiveness of the issuer's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jc w:val="left"/>
        <w:rPr/>
      </w:pPr>
      <w:r>
        <w:rPr/>
      </w:r>
    </w:p>
    <w:p>
      <w:pPr>
        <w:pStyle w:val="TextBody"/>
        <w:bidi w:val="0"/>
        <w:spacing w:lineRule="auto" w:line="288" w:before="0" w:after="0"/>
        <w:jc w:val="left"/>
        <w:rPr>
          <w:rFonts w:ascii="Adelle Sans;sans-serif" w:hAnsi="Adelle Sans;sans-serif"/>
          <w:b w:val="false"/>
          <w:color w:val="000000"/>
          <w:sz w:val="20"/>
        </w:rPr>
      </w:pPr>
      <w:r>
        <w:rPr>
          <w:rFonts w:ascii="Adelle Sans;sans-serif" w:hAnsi="Adelle Sans;sans-serif"/>
          <w:b w:val="false"/>
          <w:color w:val="000000"/>
          <w:sz w:val="20"/>
        </w:rPr>
        <w:t>(d) disclosed in this report any change in the issuer's internal control over financial reporting that occurred during the issuer's most recent fiscal quarter (the issuer's fourth fiscal quarter in the case of an annual report) that has materially affected, or is reasonably likely to materially affect, the issuer's internal control over financial reporting; and</w:t>
      </w:r>
    </w:p>
    <w:p>
      <w:pPr>
        <w:pStyle w:val="TextBody"/>
        <w:bidi w:val="0"/>
        <w:spacing w:before="0" w:after="0"/>
        <w:jc w:val="left"/>
        <w:rPr/>
      </w:pPr>
      <w:r>
        <w:rPr/>
      </w:r>
    </w:p>
    <w:p>
      <w:pPr>
        <w:pStyle w:val="TextBody"/>
        <w:bidi w:val="0"/>
        <w:spacing w:lineRule="auto" w:line="288" w:before="0" w:after="0"/>
        <w:jc w:val="left"/>
        <w:rPr>
          <w:rFonts w:ascii="Adelle Sans;sans-serif" w:hAnsi="Adelle Sans;sans-serif"/>
          <w:b w:val="false"/>
          <w:color w:val="000000"/>
          <w:sz w:val="20"/>
        </w:rPr>
      </w:pPr>
      <w:r>
        <w:rPr>
          <w:rFonts w:ascii="Adelle Sans;sans-serif" w:hAnsi="Adelle Sans;sans-serif"/>
          <w:b w:val="false"/>
          <w:color w:val="000000"/>
          <w:sz w:val="20"/>
        </w:rPr>
        <w:t>5. The issuer's other certifying officer and I have disclosed, based on our most recent evaluation of internal control over financial reporting, to the issuer's auditors and the audit committee of the issuer's board of directors (or persons performing the equivalent functions):</w:t>
      </w:r>
    </w:p>
    <w:p>
      <w:pPr>
        <w:pStyle w:val="TextBody"/>
        <w:bidi w:val="0"/>
        <w:spacing w:before="0" w:after="0"/>
        <w:jc w:val="left"/>
        <w:rPr/>
      </w:pPr>
      <w:r>
        <w:rPr/>
      </w:r>
    </w:p>
    <w:p>
      <w:pPr>
        <w:pStyle w:val="TextBody"/>
        <w:bidi w:val="0"/>
        <w:spacing w:lineRule="auto" w:line="288" w:before="0" w:after="0"/>
        <w:jc w:val="left"/>
        <w:rPr>
          <w:rFonts w:ascii="Adelle Sans;sans-serif" w:hAnsi="Adelle Sans;sans-serif"/>
          <w:b w:val="false"/>
          <w:color w:val="000000"/>
          <w:sz w:val="20"/>
        </w:rPr>
      </w:pPr>
      <w:r>
        <w:rPr>
          <w:rFonts w:ascii="Adelle Sans;sans-serif" w:hAnsi="Adelle Sans;sans-serif"/>
          <w:b w:val="false"/>
          <w:color w:val="000000"/>
          <w:sz w:val="20"/>
        </w:rPr>
        <w:t>(a) all significant deficiencies and material weaknesses in the design or operation of internal control over financial reporting which are reasonably likely to adversely affect the issuer's ability to record, process, summarize and report financial information; and</w:t>
      </w:r>
    </w:p>
    <w:p>
      <w:pPr>
        <w:pStyle w:val="TextBody"/>
        <w:bidi w:val="0"/>
        <w:spacing w:before="0" w:after="0"/>
        <w:jc w:val="left"/>
        <w:rPr/>
      </w:pPr>
      <w:r>
        <w:rPr/>
      </w:r>
    </w:p>
    <w:p>
      <w:pPr>
        <w:pStyle w:val="TextBody"/>
        <w:bidi w:val="0"/>
        <w:spacing w:lineRule="auto" w:line="288" w:before="0" w:after="0"/>
        <w:jc w:val="left"/>
        <w:rPr>
          <w:rFonts w:ascii="Adelle Sans;sans-serif" w:hAnsi="Adelle Sans;sans-serif"/>
          <w:b w:val="false"/>
          <w:color w:val="000000"/>
          <w:sz w:val="20"/>
        </w:rPr>
      </w:pPr>
      <w:r>
        <w:rPr>
          <w:rFonts w:ascii="Adelle Sans;sans-serif" w:hAnsi="Adelle Sans;sans-serif"/>
          <w:b w:val="false"/>
          <w:color w:val="000000"/>
          <w:sz w:val="20"/>
        </w:rPr>
        <w:t>(b) any fraud, whether or not material, that involves management or other employees who have a significant role in the issuer's internal control over financial reporting.</w:t>
      </w:r>
    </w:p>
    <w:p>
      <w:pPr>
        <w:pStyle w:val="TextBody"/>
        <w:bidi w:val="0"/>
        <w:spacing w:lineRule="auto" w:line="288" w:before="0" w:after="0"/>
        <w:jc w:val="left"/>
        <w:rPr>
          <w:color w:val="000000"/>
        </w:rPr>
      </w:pPr>
      <w:r>
        <w:rPr>
          <w:color w:val="000000"/>
        </w:rPr>
        <w:t> </w:t>
      </w:r>
    </w:p>
    <w:p>
      <w:pPr>
        <w:pStyle w:val="TextBody"/>
        <w:bidi w:val="0"/>
        <w:spacing w:before="0" w:after="0"/>
        <w:jc w:val="left"/>
        <w:rPr/>
      </w:pPr>
      <w:r>
        <w:rPr/>
      </w:r>
    </w:p>
    <w:p>
      <w:pPr>
        <w:pStyle w:val="TextBody"/>
        <w:bidi w:val="0"/>
        <w:spacing w:lineRule="auto" w:line="288" w:before="0" w:after="0"/>
        <w:jc w:val="left"/>
        <w:rPr/>
      </w:pPr>
      <w:r>
        <w:rPr>
          <w:color w:val="000000"/>
        </w:rPr>
        <w:t> </w:t>
      </w:r>
      <w:r>
        <w:rPr>
          <w:rFonts w:ascii="Adelle Sans;sans-serif" w:hAnsi="Adelle Sans;sans-serif"/>
          <w:b w:val="false"/>
          <w:color w:val="000000"/>
          <w:sz w:val="20"/>
        </w:rPr>
        <w:t xml:space="preserve">Date: </w:t>
      </w:r>
      <w:r>
        <w:rPr>
          <w:rFonts w:ascii="Adelle Sans;sans-serif" w:hAnsi="Adelle Sans;sans-serif"/>
          <w:b/>
          <w:color w:val="000000"/>
          <w:sz w:val="20"/>
        </w:rPr>
        <w:t>August 5, 2026</w:t>
      </w:r>
    </w:p>
    <w:tbl>
      <w:tblPr>
        <w:tblW w:w="2730" w:type="dxa"/>
        <w:jc w:val="left"/>
        <w:tblInd w:w="0" w:type="dxa"/>
        <w:tblLayout w:type="fixed"/>
        <w:tblCellMar>
          <w:top w:w="28" w:type="dxa"/>
          <w:left w:w="28" w:type="dxa"/>
          <w:bottom w:w="28" w:type="dxa"/>
          <w:right w:w="28" w:type="dxa"/>
        </w:tblCellMar>
      </w:tblPr>
      <w:tblGrid>
        <w:gridCol w:w="872"/>
        <w:gridCol w:w="768"/>
        <w:gridCol w:w="1090"/>
      </w:tblGrid>
      <w:tr>
        <w:trPr/>
        <w:tc>
          <w:tcPr>
            <w:tcW w:w="872" w:type="dxa"/>
            <w:tcBorders/>
            <w:vAlign w:val="center"/>
          </w:tcPr>
          <w:p>
            <w:pPr>
              <w:pStyle w:val="TableContents"/>
              <w:bidi w:val="0"/>
              <w:spacing w:before="0" w:after="283"/>
              <w:jc w:val="left"/>
              <w:rPr>
                <w:sz w:val="4"/>
                <w:szCs w:val="4"/>
              </w:rPr>
            </w:pPr>
            <w:r>
              <w:rPr>
                <w:sz w:val="4"/>
                <w:szCs w:val="4"/>
              </w:rPr>
            </w:r>
          </w:p>
        </w:tc>
        <w:tc>
          <w:tcPr>
            <w:tcW w:w="768" w:type="dxa"/>
            <w:tcBorders/>
            <w:vAlign w:val="center"/>
          </w:tcPr>
          <w:p>
            <w:pPr>
              <w:pStyle w:val="TableContents"/>
              <w:bidi w:val="0"/>
              <w:spacing w:before="0" w:after="283"/>
              <w:jc w:val="left"/>
              <w:rPr>
                <w:sz w:val="4"/>
                <w:szCs w:val="4"/>
              </w:rPr>
            </w:pPr>
            <w:r>
              <w:rPr>
                <w:sz w:val="4"/>
                <w:szCs w:val="4"/>
              </w:rPr>
            </w:r>
          </w:p>
        </w:tc>
        <w:tc>
          <w:tcPr>
            <w:tcW w:w="1090" w:type="dxa"/>
            <w:tcBorders/>
            <w:vAlign w:val="center"/>
          </w:tcPr>
          <w:p>
            <w:pPr>
              <w:pStyle w:val="TableContents"/>
              <w:bidi w:val="0"/>
              <w:spacing w:before="0" w:after="283"/>
              <w:jc w:val="left"/>
              <w:rPr>
                <w:sz w:val="4"/>
                <w:szCs w:val="4"/>
              </w:rPr>
            </w:pPr>
            <w:r>
              <w:rPr>
                <w:sz w:val="4"/>
                <w:szCs w:val="4"/>
              </w:rPr>
            </w:r>
          </w:p>
        </w:tc>
      </w:tr>
      <w:tr>
        <w:trPr/>
        <w:tc>
          <w:tcPr>
            <w:tcW w:w="2730" w:type="dxa"/>
            <w:gridSpan w:val="3"/>
            <w:tcBorders/>
            <w:tcMar>
              <w:top w:w="0" w:type="dxa"/>
              <w:left w:w="0" w:type="dxa"/>
              <w:bottom w:w="0" w:type="dxa"/>
              <w:right w:w="0" w:type="dxa"/>
            </w:tcMar>
            <w:vAlign w:val="center"/>
          </w:tcPr>
          <w:p>
            <w:pPr>
              <w:pStyle w:val="TableContents"/>
              <w:bidi w:val="0"/>
              <w:spacing w:lineRule="auto" w:line="240" w:before="0" w:after="100"/>
              <w:ind w:left="0" w:right="0" w:hanging="180"/>
              <w:jc w:val="left"/>
              <w:rPr>
                <w:rFonts w:ascii="Adelle Sans;sans-serif" w:hAnsi="Adelle Sans;sans-serif"/>
                <w:b w:val="false"/>
                <w:i/>
                <w:color w:val="000000"/>
                <w:sz w:val="20"/>
              </w:rPr>
            </w:pPr>
            <w:r>
              <w:rPr>
                <w:rFonts w:ascii="Adelle Sans;sans-serif" w:hAnsi="Adelle Sans;sans-serif"/>
                <w:b w:val="false"/>
                <w:i/>
                <w:color w:val="000000"/>
                <w:sz w:val="20"/>
              </w:rPr>
              <w:t>/s/ Tobias Lütke</w:t>
            </w:r>
          </w:p>
        </w:tc>
      </w:tr>
      <w:tr>
        <w:trPr/>
        <w:tc>
          <w:tcPr>
            <w:tcW w:w="27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delle Sans;sans-serif" w:hAnsi="Adelle Sans;sans-serif"/>
                <w:b w:val="false"/>
                <w:color w:val="000000"/>
                <w:sz w:val="20"/>
              </w:rPr>
            </w:pPr>
            <w:r>
              <w:rPr>
                <w:rFonts w:ascii="Adelle Sans;sans-serif" w:hAnsi="Adelle Sans;sans-serif"/>
                <w:b w:val="false"/>
                <w:color w:val="000000"/>
                <w:sz w:val="20"/>
              </w:rPr>
              <w:t>Tobias Lütke</w:t>
            </w:r>
          </w:p>
        </w:tc>
      </w:tr>
      <w:tr>
        <w:trPr/>
        <w:tc>
          <w:tcPr>
            <w:tcW w:w="27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delle Sans;sans-serif" w:hAnsi="Adelle Sans;sans-serif"/>
                <w:b w:val="false"/>
                <w:color w:val="000000"/>
                <w:sz w:val="20"/>
              </w:rPr>
            </w:pPr>
            <w:r>
              <w:rPr>
                <w:rFonts w:ascii="Adelle Sans;sans-serif" w:hAnsi="Adelle Sans;sans-serif"/>
                <w:b w:val="false"/>
                <w:color w:val="000000"/>
                <w:sz w:val="20"/>
              </w:rPr>
              <w:t>Chief Executive Officer</w:t>
            </w:r>
          </w:p>
        </w:tc>
      </w:tr>
      <w:tr>
        <w:trPr/>
        <w:tc>
          <w:tcPr>
            <w:tcW w:w="27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delle Sans;sans-serif" w:hAnsi="Adelle Sans;sans-serif"/>
                <w:b w:val="false"/>
                <w:color w:val="000000"/>
                <w:sz w:val="20"/>
              </w:rPr>
            </w:pPr>
            <w:r>
              <w:rPr>
                <w:rFonts w:ascii="Adelle Sans;sans-serif" w:hAnsi="Adelle Sans;sans-serif"/>
                <w:b w:val="false"/>
                <w:color w:val="000000"/>
                <w:sz w:val="20"/>
              </w:rPr>
              <w:t>Principal Executive Officer</w:t>
            </w:r>
          </w:p>
        </w:tc>
      </w:tr>
    </w:tbl>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75260"/>
                <wp:effectExtent l="0" t="0" r="0" b="0"/>
                <wp:wrapNone/>
                <wp:docPr id="61" name="Frame5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Adelle Sans;sans-serif" w:hAnsi="Adelle Sans;sans-serif"/>
          <w:b/>
          <w:color w:val="000000"/>
          <w:sz w:val="20"/>
        </w:rPr>
      </w:pPr>
      <w:r>
        <w:rPr>
          <w:rFonts w:ascii="Adelle Sans;sans-serif" w:hAnsi="Adelle Sans;sans-serif"/>
          <w:b/>
          <w:color w:val="000000"/>
          <w:sz w:val="20"/>
        </w:rPr>
        <w:t>CERTIFICATION</w:t>
      </w:r>
    </w:p>
    <w:p>
      <w:pPr>
        <w:pStyle w:val="TextBody"/>
        <w:bidi w:val="0"/>
        <w:spacing w:lineRule="auto" w:line="288" w:before="0" w:after="0"/>
        <w:jc w:val="center"/>
        <w:rPr>
          <w:rFonts w:ascii="Adelle Sans;sans-serif" w:hAnsi="Adelle Sans;sans-serif"/>
          <w:b/>
          <w:color w:val="000000"/>
          <w:sz w:val="20"/>
        </w:rPr>
      </w:pPr>
      <w:r>
        <w:rPr>
          <w:rFonts w:ascii="Adelle Sans;sans-serif" w:hAnsi="Adelle Sans;sans-serif"/>
          <w:b/>
          <w:color w:val="000000"/>
          <w:sz w:val="20"/>
        </w:rPr>
        <w:t>PURSUANT TO SECTION 302 OF THE SARBANES-OXLEY ACT OF 2002</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Adelle Sans;sans-serif" w:hAnsi="Adelle Sans;sans-serif"/>
          <w:b w:val="false"/>
          <w:color w:val="000000"/>
          <w:sz w:val="20"/>
        </w:rPr>
      </w:pPr>
      <w:r>
        <w:rPr>
          <w:rFonts w:ascii="Adelle Sans;sans-serif" w:hAnsi="Adelle Sans;sans-serif"/>
          <w:b w:val="false"/>
          <w:color w:val="000000"/>
          <w:sz w:val="20"/>
        </w:rPr>
        <w:t>I, Jeff Hoffmeister, certify that:</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Adelle Sans;sans-serif" w:hAnsi="Adelle Sans;sans-serif"/>
          <w:b w:val="false"/>
          <w:color w:val="000000"/>
          <w:sz w:val="20"/>
        </w:rPr>
      </w:pPr>
      <w:r>
        <w:rPr>
          <w:rFonts w:ascii="Adelle Sans;sans-serif" w:hAnsi="Adelle Sans;sans-serif"/>
          <w:b w:val="false"/>
          <w:color w:val="000000"/>
          <w:sz w:val="20"/>
        </w:rPr>
        <w:t>1. I have reviewed this quarterly report on Form 10-Q of Shopify Inc.;</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Adelle Sans;sans-serif" w:hAnsi="Adelle Sans;sans-serif"/>
          <w:b w:val="false"/>
          <w:color w:val="000000"/>
          <w:sz w:val="20"/>
        </w:rPr>
      </w:pPr>
      <w:r>
        <w:rPr>
          <w:rFonts w:ascii="Adelle Sans;sans-serif" w:hAnsi="Adelle Sans;sans-serif"/>
          <w:b w:val="false"/>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Adelle Sans;sans-serif" w:hAnsi="Adelle Sans;sans-serif"/>
          <w:b w:val="false"/>
          <w:color w:val="000000"/>
          <w:sz w:val="20"/>
        </w:rPr>
      </w:pPr>
      <w:r>
        <w:rPr>
          <w:rFonts w:ascii="Adelle Sans;sans-serif" w:hAnsi="Adelle Sans;sans-serif"/>
          <w:b w:val="false"/>
          <w:color w:val="000000"/>
          <w:sz w:val="20"/>
        </w:rPr>
        <w:t>3. Based on my knowledge, the financial statements, and other financial information included in this report, fairly present in all material respects the financial condition, results of operations and cash flows of the issuer as of, and for, the periods presented in this report;</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Adelle Sans;sans-serif" w:hAnsi="Adelle Sans;sans-serif"/>
          <w:b w:val="false"/>
          <w:color w:val="000000"/>
          <w:sz w:val="20"/>
        </w:rPr>
      </w:pPr>
      <w:r>
        <w:rPr>
          <w:rFonts w:ascii="Adelle Sans;sans-serif" w:hAnsi="Adelle Sans;sans-serif"/>
          <w:b w:val="false"/>
          <w:color w:val="000000"/>
          <w:sz w:val="20"/>
        </w:rPr>
        <w:t>4. The issuer's other certifying officer and I are responsible for establishing and maintaining disclosure controls and procedures (as defined in Exchange Act Rules 13a-15(e) and 15d-15(e)) and internal control over financial reporting (as defined in Exchange Act Rules 13a-15(f) and 15d-15(f)) for the issuer and have:</w:t>
      </w:r>
    </w:p>
    <w:p>
      <w:pPr>
        <w:pStyle w:val="TextBody"/>
        <w:bidi w:val="0"/>
        <w:spacing w:before="0" w:after="0"/>
        <w:jc w:val="left"/>
        <w:rPr/>
      </w:pPr>
      <w:r>
        <w:rPr/>
      </w:r>
    </w:p>
    <w:p>
      <w:pPr>
        <w:pStyle w:val="TextBody"/>
        <w:bidi w:val="0"/>
        <w:spacing w:lineRule="auto" w:line="288" w:before="0" w:after="0"/>
        <w:jc w:val="left"/>
        <w:rPr>
          <w:rFonts w:ascii="Adelle Sans;sans-serif" w:hAnsi="Adelle Sans;sans-serif"/>
          <w:b w:val="false"/>
          <w:color w:val="000000"/>
          <w:sz w:val="20"/>
        </w:rPr>
      </w:pPr>
      <w:r>
        <w:rPr>
          <w:rFonts w:ascii="Adelle Sans;sans-serif" w:hAnsi="Adelle Sans;sans-serif"/>
          <w:b w:val="false"/>
          <w:color w:val="000000"/>
          <w:sz w:val="20"/>
        </w:rPr>
        <w:t>(a) designed such disclosure controls and procedures, or caused such disclosure controls and procedures to be designed under our supervision, to ensure that material information relating to the issuer, including its consolidated subsidiaries, is made known to us by others within those entities, particularly during the period in which this report is being prepared;</w:t>
      </w:r>
    </w:p>
    <w:p>
      <w:pPr>
        <w:pStyle w:val="TextBody"/>
        <w:bidi w:val="0"/>
        <w:spacing w:before="0" w:after="0"/>
        <w:jc w:val="left"/>
        <w:rPr/>
      </w:pPr>
      <w:r>
        <w:rPr/>
      </w:r>
    </w:p>
    <w:p>
      <w:pPr>
        <w:pStyle w:val="TextBody"/>
        <w:bidi w:val="0"/>
        <w:spacing w:lineRule="auto" w:line="288" w:before="0" w:after="0"/>
        <w:jc w:val="left"/>
        <w:rPr>
          <w:rFonts w:ascii="Adelle Sans;sans-serif" w:hAnsi="Adelle Sans;sans-serif"/>
          <w:b w:val="false"/>
          <w:color w:val="000000"/>
          <w:sz w:val="20"/>
        </w:rPr>
      </w:pPr>
      <w:r>
        <w:rPr>
          <w:rFonts w:ascii="Adelle Sans;sans-serif" w:hAnsi="Adelle Sans;sans-serif"/>
          <w:b w:val="false"/>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jc w:val="left"/>
        <w:rPr/>
      </w:pPr>
      <w:r>
        <w:rPr/>
      </w:r>
    </w:p>
    <w:p>
      <w:pPr>
        <w:pStyle w:val="TextBody"/>
        <w:bidi w:val="0"/>
        <w:spacing w:lineRule="auto" w:line="288" w:before="0" w:after="0"/>
        <w:jc w:val="left"/>
        <w:rPr>
          <w:rFonts w:ascii="Adelle Sans;sans-serif" w:hAnsi="Adelle Sans;sans-serif"/>
          <w:b w:val="false"/>
          <w:color w:val="000000"/>
          <w:sz w:val="20"/>
        </w:rPr>
      </w:pPr>
      <w:r>
        <w:rPr>
          <w:rFonts w:ascii="Adelle Sans;sans-serif" w:hAnsi="Adelle Sans;sans-serif"/>
          <w:b w:val="false"/>
          <w:color w:val="000000"/>
          <w:sz w:val="20"/>
        </w:rPr>
        <w:t>(c) evaluated the effectiveness of the issuer's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jc w:val="left"/>
        <w:rPr/>
      </w:pPr>
      <w:r>
        <w:rPr/>
      </w:r>
    </w:p>
    <w:p>
      <w:pPr>
        <w:pStyle w:val="TextBody"/>
        <w:bidi w:val="0"/>
        <w:spacing w:lineRule="auto" w:line="288" w:before="0" w:after="0"/>
        <w:jc w:val="left"/>
        <w:rPr>
          <w:rFonts w:ascii="Adelle Sans;sans-serif" w:hAnsi="Adelle Sans;sans-serif"/>
          <w:b w:val="false"/>
          <w:color w:val="000000"/>
          <w:sz w:val="20"/>
        </w:rPr>
      </w:pPr>
      <w:r>
        <w:rPr>
          <w:rFonts w:ascii="Adelle Sans;sans-serif" w:hAnsi="Adelle Sans;sans-serif"/>
          <w:b w:val="false"/>
          <w:color w:val="000000"/>
          <w:sz w:val="20"/>
        </w:rPr>
        <w:t>(d) disclosed in this report any change in the issuer's internal control over financial reporting that occurred during the issuer's most recent fiscal quarter (the issuer's fourth fiscal quarter in the case of an annual report) that has materially affected, or is reasonably likely to materially affect, the issuer's internal control over financial reporting; and</w:t>
      </w:r>
    </w:p>
    <w:p>
      <w:pPr>
        <w:pStyle w:val="TextBody"/>
        <w:bidi w:val="0"/>
        <w:spacing w:before="0" w:after="0"/>
        <w:jc w:val="left"/>
        <w:rPr/>
      </w:pPr>
      <w:r>
        <w:rPr/>
      </w:r>
    </w:p>
    <w:p>
      <w:pPr>
        <w:pStyle w:val="TextBody"/>
        <w:bidi w:val="0"/>
        <w:spacing w:lineRule="auto" w:line="288" w:before="0" w:after="0"/>
        <w:jc w:val="left"/>
        <w:rPr>
          <w:rFonts w:ascii="Adelle Sans;sans-serif" w:hAnsi="Adelle Sans;sans-serif"/>
          <w:b w:val="false"/>
          <w:color w:val="000000"/>
          <w:sz w:val="20"/>
        </w:rPr>
      </w:pPr>
      <w:r>
        <w:rPr>
          <w:rFonts w:ascii="Adelle Sans;sans-serif" w:hAnsi="Adelle Sans;sans-serif"/>
          <w:b w:val="false"/>
          <w:color w:val="000000"/>
          <w:sz w:val="20"/>
        </w:rPr>
        <w:t>5. The issuer's other certifying officer and I have disclosed, based on our most recent evaluation of internal control over financial reporting, to the issuer's auditors and the audit committee of the issuer's board of directors (or persons performing the equivalent functions):</w:t>
      </w:r>
    </w:p>
    <w:p>
      <w:pPr>
        <w:pStyle w:val="TextBody"/>
        <w:bidi w:val="0"/>
        <w:spacing w:before="0" w:after="0"/>
        <w:jc w:val="left"/>
        <w:rPr/>
      </w:pPr>
      <w:r>
        <w:rPr/>
      </w:r>
    </w:p>
    <w:p>
      <w:pPr>
        <w:pStyle w:val="TextBody"/>
        <w:bidi w:val="0"/>
        <w:spacing w:lineRule="auto" w:line="288" w:before="0" w:after="0"/>
        <w:jc w:val="left"/>
        <w:rPr>
          <w:rFonts w:ascii="Adelle Sans;sans-serif" w:hAnsi="Adelle Sans;sans-serif"/>
          <w:b w:val="false"/>
          <w:color w:val="000000"/>
          <w:sz w:val="20"/>
        </w:rPr>
      </w:pPr>
      <w:r>
        <w:rPr>
          <w:rFonts w:ascii="Adelle Sans;sans-serif" w:hAnsi="Adelle Sans;sans-serif"/>
          <w:b w:val="false"/>
          <w:color w:val="000000"/>
          <w:sz w:val="20"/>
        </w:rPr>
        <w:t>(a) all significant deficiencies and material weaknesses in the design or operation of internal control over financial reporting which are reasonably likely to adversely affect the issuer's ability to record, process, summarize and report financial information; and</w:t>
      </w:r>
    </w:p>
    <w:p>
      <w:pPr>
        <w:pStyle w:val="TextBody"/>
        <w:bidi w:val="0"/>
        <w:spacing w:before="0" w:after="0"/>
        <w:jc w:val="left"/>
        <w:rPr/>
      </w:pPr>
      <w:r>
        <w:rPr/>
      </w:r>
    </w:p>
    <w:p>
      <w:pPr>
        <w:pStyle w:val="TextBody"/>
        <w:bidi w:val="0"/>
        <w:spacing w:lineRule="auto" w:line="288" w:before="0" w:after="0"/>
        <w:jc w:val="left"/>
        <w:rPr>
          <w:rFonts w:ascii="Adelle Sans;sans-serif" w:hAnsi="Adelle Sans;sans-serif"/>
          <w:b w:val="false"/>
          <w:color w:val="000000"/>
          <w:sz w:val="20"/>
        </w:rPr>
      </w:pPr>
      <w:r>
        <w:rPr>
          <w:rFonts w:ascii="Adelle Sans;sans-serif" w:hAnsi="Adelle Sans;sans-serif"/>
          <w:b w:val="false"/>
          <w:color w:val="000000"/>
          <w:sz w:val="20"/>
        </w:rPr>
        <w:t>(b) any fraud, whether or not material, that involves management or other employees who have a significant role in the issuer's internal control over financial reporting.</w:t>
      </w:r>
    </w:p>
    <w:p>
      <w:pPr>
        <w:pStyle w:val="TextBody"/>
        <w:bidi w:val="0"/>
        <w:spacing w:lineRule="auto" w:line="288" w:before="0" w:after="0"/>
        <w:jc w:val="left"/>
        <w:rPr>
          <w:color w:val="000000"/>
        </w:rPr>
      </w:pPr>
      <w:r>
        <w:rPr>
          <w:color w:val="000000"/>
        </w:rPr>
        <w:t> </w:t>
      </w:r>
    </w:p>
    <w:p>
      <w:pPr>
        <w:pStyle w:val="TextBody"/>
        <w:bidi w:val="0"/>
        <w:spacing w:before="0" w:after="0"/>
        <w:jc w:val="left"/>
        <w:rPr/>
      </w:pPr>
      <w:r>
        <w:rPr/>
      </w:r>
    </w:p>
    <w:p>
      <w:pPr>
        <w:pStyle w:val="TextBody"/>
        <w:bidi w:val="0"/>
        <w:spacing w:lineRule="auto" w:line="288" w:before="0" w:after="0"/>
        <w:jc w:val="left"/>
        <w:rPr/>
      </w:pPr>
      <w:r>
        <w:rPr>
          <w:color w:val="000000"/>
        </w:rPr>
        <w:t> </w:t>
      </w:r>
      <w:r>
        <w:rPr>
          <w:rFonts w:ascii="Adelle Sans;sans-serif" w:hAnsi="Adelle Sans;sans-serif"/>
          <w:b w:val="false"/>
          <w:color w:val="000000"/>
          <w:sz w:val="20"/>
        </w:rPr>
        <w:t xml:space="preserve">Date: </w:t>
      </w:r>
      <w:r>
        <w:rPr>
          <w:rFonts w:ascii="Adelle Sans;sans-serif" w:hAnsi="Adelle Sans;sans-serif"/>
          <w:b/>
          <w:color w:val="000000"/>
          <w:sz w:val="20"/>
        </w:rPr>
        <w:t>August 5, 2026</w:t>
      </w:r>
    </w:p>
    <w:tbl>
      <w:tblPr>
        <w:tblW w:w="2789" w:type="dxa"/>
        <w:jc w:val="left"/>
        <w:tblInd w:w="0" w:type="dxa"/>
        <w:tblLayout w:type="fixed"/>
        <w:tblCellMar>
          <w:top w:w="28" w:type="dxa"/>
          <w:left w:w="28" w:type="dxa"/>
          <w:bottom w:w="28" w:type="dxa"/>
          <w:right w:w="28" w:type="dxa"/>
        </w:tblCellMar>
      </w:tblPr>
      <w:tblGrid>
        <w:gridCol w:w="892"/>
        <w:gridCol w:w="785"/>
        <w:gridCol w:w="1112"/>
      </w:tblGrid>
      <w:tr>
        <w:trPr/>
        <w:tc>
          <w:tcPr>
            <w:tcW w:w="892"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112" w:type="dxa"/>
            <w:tcBorders/>
            <w:vAlign w:val="center"/>
          </w:tcPr>
          <w:p>
            <w:pPr>
              <w:pStyle w:val="TableContents"/>
              <w:bidi w:val="0"/>
              <w:spacing w:before="0" w:after="283"/>
              <w:jc w:val="left"/>
              <w:rPr>
                <w:sz w:val="4"/>
                <w:szCs w:val="4"/>
              </w:rPr>
            </w:pPr>
            <w:r>
              <w:rPr>
                <w:sz w:val="4"/>
                <w:szCs w:val="4"/>
              </w:rPr>
            </w:r>
          </w:p>
        </w:tc>
      </w:tr>
      <w:tr>
        <w:trPr/>
        <w:tc>
          <w:tcPr>
            <w:tcW w:w="2789" w:type="dxa"/>
            <w:gridSpan w:val="3"/>
            <w:tcBorders/>
            <w:tcMar>
              <w:top w:w="0" w:type="dxa"/>
              <w:left w:w="0" w:type="dxa"/>
              <w:bottom w:w="0" w:type="dxa"/>
              <w:right w:w="0" w:type="dxa"/>
            </w:tcMar>
            <w:vAlign w:val="center"/>
          </w:tcPr>
          <w:p>
            <w:pPr>
              <w:pStyle w:val="TableContents"/>
              <w:bidi w:val="0"/>
              <w:spacing w:lineRule="auto" w:line="240" w:before="0" w:after="100"/>
              <w:ind w:left="0" w:right="0" w:hanging="180"/>
              <w:jc w:val="left"/>
              <w:rPr>
                <w:rFonts w:ascii="Adelle Sans;sans-serif" w:hAnsi="Adelle Sans;sans-serif"/>
                <w:b w:val="false"/>
                <w:i/>
                <w:color w:val="000000"/>
                <w:sz w:val="20"/>
              </w:rPr>
            </w:pPr>
            <w:r>
              <w:rPr>
                <w:rFonts w:ascii="Adelle Sans;sans-serif" w:hAnsi="Adelle Sans;sans-serif"/>
                <w:b w:val="false"/>
                <w:i/>
                <w:color w:val="000000"/>
                <w:sz w:val="20"/>
              </w:rPr>
              <w:t>/s/ Jeff Hoffmeister</w:t>
            </w:r>
          </w:p>
        </w:tc>
      </w:tr>
      <w:tr>
        <w:trPr/>
        <w:tc>
          <w:tcPr>
            <w:tcW w:w="27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delle Sans;sans-serif" w:hAnsi="Adelle Sans;sans-serif"/>
                <w:b w:val="false"/>
                <w:color w:val="000000"/>
                <w:sz w:val="20"/>
              </w:rPr>
            </w:pPr>
            <w:r>
              <w:rPr>
                <w:rFonts w:ascii="Adelle Sans;sans-serif" w:hAnsi="Adelle Sans;sans-serif"/>
                <w:b w:val="false"/>
                <w:color w:val="000000"/>
                <w:sz w:val="20"/>
              </w:rPr>
              <w:t>Jeff Hoffmeister</w:t>
            </w:r>
          </w:p>
        </w:tc>
      </w:tr>
      <w:tr>
        <w:trPr/>
        <w:tc>
          <w:tcPr>
            <w:tcW w:w="27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delle Sans;sans-serif" w:hAnsi="Adelle Sans;sans-serif"/>
                <w:b w:val="false"/>
                <w:color w:val="000000"/>
                <w:sz w:val="20"/>
              </w:rPr>
            </w:pPr>
            <w:r>
              <w:rPr>
                <w:rFonts w:ascii="Adelle Sans;sans-serif" w:hAnsi="Adelle Sans;sans-serif"/>
                <w:b w:val="false"/>
                <w:color w:val="000000"/>
                <w:sz w:val="20"/>
              </w:rPr>
              <w:t>Chief Financial Officer</w:t>
            </w:r>
          </w:p>
        </w:tc>
      </w:tr>
      <w:tr>
        <w:trPr/>
        <w:tc>
          <w:tcPr>
            <w:tcW w:w="27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delle Sans;sans-serif" w:hAnsi="Adelle Sans;sans-serif"/>
                <w:b w:val="false"/>
                <w:color w:val="000000"/>
                <w:sz w:val="20"/>
              </w:rPr>
            </w:pPr>
            <w:r>
              <w:rPr>
                <w:rFonts w:ascii="Adelle Sans;sans-serif" w:hAnsi="Adelle Sans;sans-serif"/>
                <w:b w:val="false"/>
                <w:color w:val="000000"/>
                <w:sz w:val="20"/>
              </w:rPr>
              <w:t>(Principal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75260"/>
                <wp:effectExtent l="0" t="0" r="0" b="0"/>
                <wp:wrapNone/>
                <wp:docPr id="62" name="Frame6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Adelle Sans;sans-serif" w:hAnsi="Adelle Sans;sans-serif"/>
          <w:b/>
          <w:color w:val="000000"/>
          <w:sz w:val="20"/>
        </w:rPr>
      </w:pPr>
      <w:r>
        <w:rPr>
          <w:rFonts w:ascii="Adelle Sans;sans-serif" w:hAnsi="Adelle Sans;sans-serif"/>
          <w:b/>
          <w:color w:val="000000"/>
          <w:sz w:val="20"/>
        </w:rPr>
        <w:t xml:space="preserve">EXHIBIT 32.1 </w:t>
      </w:r>
    </w:p>
    <w:p>
      <w:pPr>
        <w:pStyle w:val="TextBody"/>
        <w:bidi w:val="0"/>
        <w:spacing w:lineRule="auto" w:line="288" w:before="0" w:after="0"/>
        <w:jc w:val="center"/>
        <w:rPr>
          <w:rFonts w:ascii="Adelle Sans;sans-serif" w:hAnsi="Adelle Sans;sans-serif"/>
          <w:b/>
          <w:color w:val="000000"/>
          <w:sz w:val="20"/>
        </w:rPr>
      </w:pPr>
      <w:r>
        <w:rPr>
          <w:rFonts w:ascii="Adelle Sans;sans-serif" w:hAnsi="Adelle Sans;sans-serif"/>
          <w:b/>
          <w:color w:val="000000"/>
          <w:sz w:val="20"/>
        </w:rPr>
        <w:t>CERTIFICATION PURSUANT TO 18 U.S.C. SECTION 1350, AS ADOPTED</w:t>
      </w:r>
    </w:p>
    <w:p>
      <w:pPr>
        <w:pStyle w:val="TextBody"/>
        <w:bidi w:val="0"/>
        <w:spacing w:lineRule="auto" w:line="288" w:before="0" w:after="0"/>
        <w:jc w:val="center"/>
        <w:rPr>
          <w:rFonts w:ascii="Adelle Sans;sans-serif" w:hAnsi="Adelle Sans;sans-serif"/>
          <w:b/>
          <w:color w:val="000000"/>
          <w:sz w:val="20"/>
        </w:rPr>
      </w:pPr>
      <w:r>
        <w:rPr>
          <w:rFonts w:ascii="Adelle Sans;sans-serif" w:hAnsi="Adelle Sans;sans-serif"/>
          <w:b/>
          <w:color w:val="000000"/>
          <w:sz w:val="20"/>
        </w:rPr>
        <w:t>PURSUANT TO SECTION 906 OF THE SARBANES-OXLEY ACT OF 2002</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Adelle Sans;sans-serif" w:hAnsi="Adelle Sans;sans-serif"/>
          <w:b w:val="false"/>
          <w:color w:val="000000"/>
          <w:sz w:val="20"/>
        </w:rPr>
      </w:pPr>
      <w:r>
        <w:rPr>
          <w:rFonts w:ascii="Adelle Sans;sans-serif" w:hAnsi="Adelle Sans;sans-serif"/>
          <w:b w:val="false"/>
          <w:color w:val="000000"/>
          <w:sz w:val="20"/>
        </w:rPr>
        <w:t>In connection with the quarterly report of Shopify Inc. (the "Company") on Form 10-Q for the quarter ended June 30, 2026, as filed with the Securities and Exchange Commission on the date hereof (the "Report"), I, Tobias Lütke, Chief Executive Officer of the Company, certify, pursuant to 18 U.S.C. section 1350, as adopted pursuant to Section 906 of the Sarbanes-Oxley Act of 2002, that, to my knowledge:</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Adelle Sans;sans-serif" w:hAnsi="Adelle Sans;sans-serif"/>
          <w:b w:val="false"/>
          <w:color w:val="000000"/>
          <w:sz w:val="20"/>
        </w:rPr>
      </w:pPr>
      <w:r>
        <w:rPr>
          <w:rFonts w:ascii="Adelle Sans;sans-serif" w:hAnsi="Adelle Sans;sans-serif"/>
          <w:b w:val="false"/>
          <w:color w:val="000000"/>
          <w:sz w:val="20"/>
        </w:rPr>
        <w:t>(1) The Report fully complies with the requirements of section 13(a) or 15(d) of the Securities Exchange Act of 1934, as amended; and</w:t>
      </w:r>
    </w:p>
    <w:p>
      <w:pPr>
        <w:pStyle w:val="TextBody"/>
        <w:bidi w:val="0"/>
        <w:spacing w:before="0" w:after="0"/>
        <w:jc w:val="left"/>
        <w:rPr/>
      </w:pPr>
      <w:r>
        <w:rPr/>
      </w:r>
    </w:p>
    <w:p>
      <w:pPr>
        <w:pStyle w:val="TextBody"/>
        <w:bidi w:val="0"/>
        <w:spacing w:lineRule="auto" w:line="288" w:before="0" w:after="0"/>
        <w:jc w:val="left"/>
        <w:rPr>
          <w:rFonts w:ascii="Adelle Sans;sans-serif" w:hAnsi="Adelle Sans;sans-serif"/>
          <w:b w:val="false"/>
          <w:color w:val="000000"/>
          <w:sz w:val="20"/>
        </w:rPr>
      </w:pPr>
      <w:r>
        <w:rPr>
          <w:rFonts w:ascii="Adelle Sans;sans-serif" w:hAnsi="Adelle Sans;sans-serif"/>
          <w:b w:val="false"/>
          <w:color w:val="000000"/>
          <w:sz w:val="20"/>
        </w:rPr>
        <w:t>(2) The information contained in the Report fairly presents, in all material respects, the financial condition and results of operations of the Company.</w:t>
      </w:r>
    </w:p>
    <w:p>
      <w:pPr>
        <w:pStyle w:val="TextBody"/>
        <w:bidi w:val="0"/>
        <w:spacing w:before="0" w:after="0"/>
        <w:jc w:val="left"/>
        <w:rPr/>
      </w:pPr>
      <w:r>
        <w:rPr/>
      </w:r>
    </w:p>
    <w:p>
      <w:pPr>
        <w:pStyle w:val="TextBody"/>
        <w:bidi w:val="0"/>
        <w:spacing w:lineRule="auto" w:line="288" w:before="240" w:after="283"/>
        <w:jc w:val="left"/>
        <w:rPr/>
      </w:pPr>
      <w:r>
        <w:rPr>
          <w:rFonts w:ascii="Adelle Sans;sans-serif" w:hAnsi="Adelle Sans;sans-serif"/>
          <w:b w:val="false"/>
          <w:color w:val="000000"/>
          <w:sz w:val="20"/>
        </w:rPr>
        <w:t xml:space="preserve">Date: </w:t>
      </w:r>
      <w:r>
        <w:rPr>
          <w:rFonts w:ascii="Adelle Sans;sans-serif" w:hAnsi="Adelle Sans;sans-serif"/>
          <w:b/>
          <w:color w:val="000000"/>
          <w:sz w:val="20"/>
        </w:rPr>
        <w:t>August 5, 2026</w:t>
      </w:r>
    </w:p>
    <w:tbl>
      <w:tblPr>
        <w:tblW w:w="2880" w:type="dxa"/>
        <w:jc w:val="left"/>
        <w:tblInd w:w="0" w:type="dxa"/>
        <w:tblLayout w:type="fixed"/>
        <w:tblCellMar>
          <w:top w:w="28" w:type="dxa"/>
          <w:left w:w="28" w:type="dxa"/>
          <w:bottom w:w="28" w:type="dxa"/>
          <w:right w:w="28" w:type="dxa"/>
        </w:tblCellMar>
      </w:tblPr>
      <w:tblGrid>
        <w:gridCol w:w="919"/>
        <w:gridCol w:w="810"/>
        <w:gridCol w:w="1151"/>
      </w:tblGrid>
      <w:tr>
        <w:trPr/>
        <w:tc>
          <w:tcPr>
            <w:tcW w:w="919" w:type="dxa"/>
            <w:tcBorders/>
            <w:vAlign w:val="center"/>
          </w:tcPr>
          <w:p>
            <w:pPr>
              <w:pStyle w:val="TableContents"/>
              <w:bidi w:val="0"/>
              <w:spacing w:before="0" w:after="283"/>
              <w:jc w:val="left"/>
              <w:rPr>
                <w:sz w:val="4"/>
                <w:szCs w:val="4"/>
              </w:rPr>
            </w:pPr>
            <w:r>
              <w:rPr>
                <w:sz w:val="4"/>
                <w:szCs w:val="4"/>
              </w:rPr>
            </w:r>
          </w:p>
        </w:tc>
        <w:tc>
          <w:tcPr>
            <w:tcW w:w="810" w:type="dxa"/>
            <w:tcBorders/>
            <w:vAlign w:val="center"/>
          </w:tcPr>
          <w:p>
            <w:pPr>
              <w:pStyle w:val="TableContents"/>
              <w:bidi w:val="0"/>
              <w:spacing w:before="0" w:after="283"/>
              <w:jc w:val="left"/>
              <w:rPr>
                <w:sz w:val="4"/>
                <w:szCs w:val="4"/>
              </w:rPr>
            </w:pPr>
            <w:r>
              <w:rPr>
                <w:sz w:val="4"/>
                <w:szCs w:val="4"/>
              </w:rPr>
            </w:r>
          </w:p>
        </w:tc>
        <w:tc>
          <w:tcPr>
            <w:tcW w:w="1151" w:type="dxa"/>
            <w:tcBorders/>
            <w:vAlign w:val="center"/>
          </w:tcPr>
          <w:p>
            <w:pPr>
              <w:pStyle w:val="TableContents"/>
              <w:bidi w:val="0"/>
              <w:spacing w:before="0" w:after="283"/>
              <w:jc w:val="left"/>
              <w:rPr>
                <w:sz w:val="4"/>
                <w:szCs w:val="4"/>
              </w:rPr>
            </w:pPr>
            <w:r>
              <w:rPr>
                <w:sz w:val="4"/>
                <w:szCs w:val="4"/>
              </w:rPr>
            </w:r>
          </w:p>
        </w:tc>
      </w:tr>
      <w:tr>
        <w:trPr/>
        <w:tc>
          <w:tcPr>
            <w:tcW w:w="2880" w:type="dxa"/>
            <w:gridSpan w:val="3"/>
            <w:tcBorders/>
            <w:tcMar>
              <w:top w:w="0" w:type="dxa"/>
              <w:left w:w="0" w:type="dxa"/>
              <w:bottom w:w="0" w:type="dxa"/>
              <w:right w:w="0" w:type="dxa"/>
            </w:tcMar>
            <w:vAlign w:val="center"/>
          </w:tcPr>
          <w:p>
            <w:pPr>
              <w:pStyle w:val="TableContents"/>
              <w:bidi w:val="0"/>
              <w:spacing w:lineRule="auto" w:line="240" w:before="0" w:after="100"/>
              <w:ind w:left="0" w:right="0" w:hanging="180"/>
              <w:jc w:val="left"/>
              <w:rPr>
                <w:rFonts w:ascii="Adelle Sans;sans-serif" w:hAnsi="Adelle Sans;sans-serif"/>
                <w:b w:val="false"/>
                <w:i/>
                <w:color w:val="000000"/>
                <w:sz w:val="20"/>
              </w:rPr>
            </w:pPr>
            <w:r>
              <w:rPr>
                <w:rFonts w:ascii="Adelle Sans;sans-serif" w:hAnsi="Adelle Sans;sans-serif"/>
                <w:b w:val="false"/>
                <w:i/>
                <w:color w:val="000000"/>
                <w:sz w:val="20"/>
              </w:rPr>
              <w:t xml:space="preserve">/s/ Tobias Lütke </w:t>
            </w:r>
          </w:p>
        </w:tc>
      </w:tr>
      <w:tr>
        <w:trPr/>
        <w:tc>
          <w:tcPr>
            <w:tcW w:w="28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delle Sans;sans-serif" w:hAnsi="Adelle Sans;sans-serif"/>
                <w:b w:val="false"/>
                <w:color w:val="000000"/>
                <w:sz w:val="20"/>
              </w:rPr>
            </w:pPr>
            <w:r>
              <w:rPr>
                <w:rFonts w:ascii="Adelle Sans;sans-serif" w:hAnsi="Adelle Sans;sans-serif"/>
                <w:b w:val="false"/>
                <w:color w:val="000000"/>
                <w:sz w:val="20"/>
              </w:rPr>
              <w:t>Tobias Lütke</w:t>
            </w:r>
          </w:p>
        </w:tc>
      </w:tr>
      <w:tr>
        <w:trPr/>
        <w:tc>
          <w:tcPr>
            <w:tcW w:w="28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delle Sans;sans-serif" w:hAnsi="Adelle Sans;sans-serif"/>
                <w:b w:val="false"/>
                <w:color w:val="000000"/>
                <w:sz w:val="20"/>
              </w:rPr>
            </w:pPr>
            <w:r>
              <w:rPr>
                <w:rFonts w:ascii="Adelle Sans;sans-serif" w:hAnsi="Adelle Sans;sans-serif"/>
                <w:b w:val="false"/>
                <w:color w:val="000000"/>
                <w:sz w:val="20"/>
              </w:rPr>
              <w:t>Chief Executive Officer</w:t>
            </w:r>
          </w:p>
        </w:tc>
      </w:tr>
      <w:tr>
        <w:trPr/>
        <w:tc>
          <w:tcPr>
            <w:tcW w:w="28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delle Sans;sans-serif" w:hAnsi="Adelle Sans;sans-serif"/>
                <w:b w:val="false"/>
                <w:color w:val="000000"/>
                <w:sz w:val="20"/>
              </w:rPr>
            </w:pPr>
            <w:r>
              <w:rPr>
                <w:rFonts w:ascii="Adelle Sans;sans-serif" w:hAnsi="Adelle Sans;sans-serif"/>
                <w:b w:val="false"/>
                <w:color w:val="000000"/>
                <w:sz w:val="20"/>
              </w:rPr>
              <w:t>(Principal Executive Officer)</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Adelle Sans;sans-serif" w:hAnsi="Adelle Sans;sans-serif"/>
          <w:b w:val="false"/>
          <w:color w:val="000000"/>
          <w:sz w:val="20"/>
        </w:rPr>
      </w:pPr>
      <w:r>
        <w:rPr>
          <w:rFonts w:ascii="Adelle Sans;sans-serif" w:hAnsi="Adelle Sans;sans-serif"/>
          <w:b w:val="false"/>
          <w:color w:val="000000"/>
          <w:sz w:val="20"/>
        </w:rPr>
        <w:t>This certification accompanies the Report pursuant to §906 of the Sarbanes-Oxley Act of 2002 and shall not, except to the extent required by the Sarbanes-Oxley Act of 2002, be deemed "filed" by the Company for purposes of §18 of the Securities Exchange Act of 1934, as amended, or otherwise subject to the liability of that section.</w:t>
      </w:r>
    </w:p>
    <w:p>
      <w:pPr>
        <w:pStyle w:val="TextBody"/>
        <w:bidi w:val="0"/>
        <w:spacing w:before="0" w:after="0"/>
        <w:jc w:val="left"/>
        <w:rPr/>
      </w:pPr>
      <w:r>
        <w:rPr/>
      </w:r>
    </w:p>
    <w:p>
      <w:pPr>
        <w:pStyle w:val="TextBody"/>
        <w:bidi w:val="0"/>
        <w:spacing w:lineRule="auto" w:line="288" w:before="0" w:after="0"/>
        <w:jc w:val="left"/>
        <w:rPr>
          <w:rFonts w:ascii="Adelle Sans;sans-serif" w:hAnsi="Adelle Sans;sans-serif"/>
          <w:b w:val="false"/>
          <w:color w:val="000000"/>
          <w:sz w:val="20"/>
        </w:rPr>
      </w:pPr>
      <w:r>
        <w:rPr>
          <w:rFonts w:ascii="Adelle Sans;sans-serif" w:hAnsi="Adelle Sans;sans-serif"/>
          <w:b w:val="false"/>
          <w:color w:val="000000"/>
          <w:sz w:val="20"/>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jc w:val="center"/>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75260"/>
                <wp:effectExtent l="0" t="0" r="0" b="0"/>
                <wp:wrapNone/>
                <wp:docPr id="63" name="Frame6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Adelle Sans;sans-serif" w:hAnsi="Adelle Sans;sans-serif"/>
          <w:b/>
          <w:color w:val="000000"/>
          <w:sz w:val="20"/>
        </w:rPr>
      </w:pPr>
      <w:r>
        <w:rPr>
          <w:rFonts w:ascii="Adelle Sans;sans-serif" w:hAnsi="Adelle Sans;sans-serif"/>
          <w:b/>
          <w:color w:val="000000"/>
          <w:sz w:val="20"/>
        </w:rPr>
        <w:t>CERTIFICATION PURSUANT TO 18 U.S.C. SECTION 1350, AS ADOPTED</w:t>
      </w:r>
    </w:p>
    <w:p>
      <w:pPr>
        <w:pStyle w:val="TextBody"/>
        <w:bidi w:val="0"/>
        <w:spacing w:lineRule="auto" w:line="288" w:before="0" w:after="0"/>
        <w:jc w:val="center"/>
        <w:rPr>
          <w:rFonts w:ascii="Adelle Sans;sans-serif" w:hAnsi="Adelle Sans;sans-serif"/>
          <w:b/>
          <w:color w:val="000000"/>
          <w:sz w:val="20"/>
        </w:rPr>
      </w:pPr>
      <w:r>
        <w:rPr>
          <w:rFonts w:ascii="Adelle Sans;sans-serif" w:hAnsi="Adelle Sans;sans-serif"/>
          <w:b/>
          <w:color w:val="000000"/>
          <w:sz w:val="20"/>
        </w:rPr>
        <w:t>PURSUANT TO SECTION 906 OF THE SARBANES-OXLEY ACT OF 2002</w:t>
      </w:r>
    </w:p>
    <w:p>
      <w:pPr>
        <w:pStyle w:val="TextBody"/>
        <w:bidi w:val="0"/>
        <w:spacing w:before="0" w:after="0"/>
        <w:jc w:val="center"/>
        <w:rPr/>
      </w:pPr>
      <w:r>
        <w:rPr/>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Adelle Sans;sans-serif" w:hAnsi="Adelle Sans;sans-serif"/>
          <w:b w:val="false"/>
          <w:color w:val="000000"/>
          <w:sz w:val="20"/>
        </w:rPr>
      </w:pPr>
      <w:r>
        <w:rPr>
          <w:rFonts w:ascii="Adelle Sans;sans-serif" w:hAnsi="Adelle Sans;sans-serif"/>
          <w:b w:val="false"/>
          <w:color w:val="000000"/>
          <w:sz w:val="20"/>
        </w:rPr>
        <w:t>In connection with the quarterly report of Shopify Inc. (the "Company") on Form 10-Q for the quarter ended June 30, 2026, as filed with the Securities and Exchange Commission on the date hereof (the "Report"), I, Jeff Hoffmeister, Chief Financial Officer of the Company, certify, pursuant to 18 U.S.C. section 1350, as adopted pursuant to Section 906 of the Sarbanes-Oxley Act of 2002, that, to my knowledge:</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Adelle Sans;sans-serif" w:hAnsi="Adelle Sans;sans-serif"/>
          <w:b w:val="false"/>
          <w:color w:val="000000"/>
          <w:sz w:val="20"/>
        </w:rPr>
      </w:pPr>
      <w:r>
        <w:rPr>
          <w:rFonts w:ascii="Adelle Sans;sans-serif" w:hAnsi="Adelle Sans;sans-serif"/>
          <w:b w:val="false"/>
          <w:color w:val="000000"/>
          <w:sz w:val="20"/>
        </w:rPr>
        <w:t>(1) The Report fully complies with the requirements of section 13(a) or 15(d) of the Securities Exchange Act of 1934, as amended; and</w:t>
      </w:r>
    </w:p>
    <w:p>
      <w:pPr>
        <w:pStyle w:val="TextBody"/>
        <w:bidi w:val="0"/>
        <w:spacing w:before="0" w:after="0"/>
        <w:jc w:val="left"/>
        <w:rPr/>
      </w:pPr>
      <w:r>
        <w:rPr/>
      </w:r>
    </w:p>
    <w:p>
      <w:pPr>
        <w:pStyle w:val="TextBody"/>
        <w:bidi w:val="0"/>
        <w:spacing w:lineRule="auto" w:line="288" w:before="0" w:after="0"/>
        <w:jc w:val="left"/>
        <w:rPr>
          <w:rFonts w:ascii="Adelle Sans;sans-serif" w:hAnsi="Adelle Sans;sans-serif"/>
          <w:b w:val="false"/>
          <w:color w:val="000000"/>
          <w:sz w:val="20"/>
        </w:rPr>
      </w:pPr>
      <w:r>
        <w:rPr>
          <w:rFonts w:ascii="Adelle Sans;sans-serif" w:hAnsi="Adelle Sans;sans-serif"/>
          <w:b w:val="false"/>
          <w:color w:val="000000"/>
          <w:sz w:val="20"/>
        </w:rPr>
        <w:t>(2) The information contained in the Report fairly presents, in all material respects, the financial condition and results of operations of the Company.</w:t>
      </w:r>
    </w:p>
    <w:p>
      <w:pPr>
        <w:pStyle w:val="TextBody"/>
        <w:bidi w:val="0"/>
        <w:spacing w:before="0" w:after="0"/>
        <w:jc w:val="left"/>
        <w:rPr/>
      </w:pPr>
      <w:r>
        <w:rPr/>
      </w:r>
    </w:p>
    <w:p>
      <w:pPr>
        <w:pStyle w:val="TextBody"/>
        <w:bidi w:val="0"/>
        <w:spacing w:lineRule="auto" w:line="288" w:before="240" w:after="283"/>
        <w:jc w:val="left"/>
        <w:rPr/>
      </w:pPr>
      <w:r>
        <w:rPr>
          <w:rFonts w:ascii="Adelle Sans;sans-serif" w:hAnsi="Adelle Sans;sans-serif"/>
          <w:b w:val="false"/>
          <w:color w:val="000000"/>
          <w:sz w:val="20"/>
        </w:rPr>
        <w:t xml:space="preserve">Date: </w:t>
      </w:r>
      <w:r>
        <w:rPr>
          <w:rFonts w:ascii="Adelle Sans;sans-serif" w:hAnsi="Adelle Sans;sans-serif"/>
          <w:b/>
          <w:color w:val="000000"/>
          <w:sz w:val="20"/>
        </w:rPr>
        <w:t>August 5, 2026</w:t>
      </w:r>
    </w:p>
    <w:tbl>
      <w:tblPr>
        <w:tblW w:w="2789" w:type="dxa"/>
        <w:jc w:val="left"/>
        <w:tblInd w:w="0" w:type="dxa"/>
        <w:tblLayout w:type="fixed"/>
        <w:tblCellMar>
          <w:top w:w="28" w:type="dxa"/>
          <w:left w:w="28" w:type="dxa"/>
          <w:bottom w:w="28" w:type="dxa"/>
          <w:right w:w="28" w:type="dxa"/>
        </w:tblCellMar>
      </w:tblPr>
      <w:tblGrid>
        <w:gridCol w:w="892"/>
        <w:gridCol w:w="785"/>
        <w:gridCol w:w="1112"/>
      </w:tblGrid>
      <w:tr>
        <w:trPr/>
        <w:tc>
          <w:tcPr>
            <w:tcW w:w="892"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112" w:type="dxa"/>
            <w:tcBorders/>
            <w:vAlign w:val="center"/>
          </w:tcPr>
          <w:p>
            <w:pPr>
              <w:pStyle w:val="TableContents"/>
              <w:bidi w:val="0"/>
              <w:spacing w:before="0" w:after="283"/>
              <w:jc w:val="left"/>
              <w:rPr>
                <w:sz w:val="4"/>
                <w:szCs w:val="4"/>
              </w:rPr>
            </w:pPr>
            <w:r>
              <w:rPr>
                <w:sz w:val="4"/>
                <w:szCs w:val="4"/>
              </w:rPr>
            </w:r>
          </w:p>
        </w:tc>
      </w:tr>
      <w:tr>
        <w:trPr/>
        <w:tc>
          <w:tcPr>
            <w:tcW w:w="2789" w:type="dxa"/>
            <w:gridSpan w:val="3"/>
            <w:tcBorders/>
            <w:tcMar>
              <w:top w:w="0" w:type="dxa"/>
              <w:left w:w="0" w:type="dxa"/>
              <w:bottom w:w="0" w:type="dxa"/>
              <w:right w:w="0" w:type="dxa"/>
            </w:tcMar>
            <w:vAlign w:val="center"/>
          </w:tcPr>
          <w:p>
            <w:pPr>
              <w:pStyle w:val="TableContents"/>
              <w:bidi w:val="0"/>
              <w:spacing w:lineRule="auto" w:line="240" w:before="0" w:after="100"/>
              <w:ind w:left="0" w:right="0" w:hanging="180"/>
              <w:jc w:val="left"/>
              <w:rPr>
                <w:rFonts w:ascii="Adelle Sans;sans-serif" w:hAnsi="Adelle Sans;sans-serif"/>
                <w:b w:val="false"/>
                <w:i/>
                <w:color w:val="000000"/>
                <w:sz w:val="20"/>
              </w:rPr>
            </w:pPr>
            <w:r>
              <w:rPr>
                <w:rFonts w:ascii="Adelle Sans;sans-serif" w:hAnsi="Adelle Sans;sans-serif"/>
                <w:b w:val="false"/>
                <w:i/>
                <w:color w:val="000000"/>
                <w:sz w:val="20"/>
              </w:rPr>
              <w:t>/s/ Jeff Hoffmeister</w:t>
            </w:r>
          </w:p>
        </w:tc>
      </w:tr>
      <w:tr>
        <w:trPr/>
        <w:tc>
          <w:tcPr>
            <w:tcW w:w="27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delle Sans;sans-serif" w:hAnsi="Adelle Sans;sans-serif"/>
                <w:b w:val="false"/>
                <w:color w:val="000000"/>
                <w:sz w:val="20"/>
              </w:rPr>
            </w:pPr>
            <w:r>
              <w:rPr>
                <w:rFonts w:ascii="Adelle Sans;sans-serif" w:hAnsi="Adelle Sans;sans-serif"/>
                <w:b w:val="false"/>
                <w:color w:val="000000"/>
                <w:sz w:val="20"/>
              </w:rPr>
              <w:t>Jeff Hoffmeister</w:t>
            </w:r>
          </w:p>
        </w:tc>
      </w:tr>
      <w:tr>
        <w:trPr/>
        <w:tc>
          <w:tcPr>
            <w:tcW w:w="27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delle Sans;sans-serif" w:hAnsi="Adelle Sans;sans-serif"/>
                <w:b w:val="false"/>
                <w:color w:val="000000"/>
                <w:sz w:val="20"/>
              </w:rPr>
            </w:pPr>
            <w:r>
              <w:rPr>
                <w:rFonts w:ascii="Adelle Sans;sans-serif" w:hAnsi="Adelle Sans;sans-serif"/>
                <w:b w:val="false"/>
                <w:color w:val="000000"/>
                <w:sz w:val="20"/>
              </w:rPr>
              <w:t>Chief Financial Officer</w:t>
            </w:r>
          </w:p>
        </w:tc>
      </w:tr>
      <w:tr>
        <w:trPr/>
        <w:tc>
          <w:tcPr>
            <w:tcW w:w="27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delle Sans;sans-serif" w:hAnsi="Adelle Sans;sans-serif"/>
                <w:b w:val="false"/>
                <w:color w:val="000000"/>
                <w:sz w:val="20"/>
              </w:rPr>
            </w:pPr>
            <w:r>
              <w:rPr>
                <w:rFonts w:ascii="Adelle Sans;sans-serif" w:hAnsi="Adelle Sans;sans-serif"/>
                <w:b w:val="false"/>
                <w:color w:val="000000"/>
                <w:sz w:val="20"/>
              </w:rPr>
              <w:t>(Principal Financial Officer)</w:t>
            </w:r>
          </w:p>
        </w:tc>
      </w:tr>
    </w:tbl>
    <w:p>
      <w:pPr>
        <w:pStyle w:val="TextBody"/>
        <w:bidi w:val="0"/>
        <w:spacing w:before="0" w:after="0"/>
        <w:jc w:val="left"/>
        <w:rPr/>
      </w:pPr>
      <w:r>
        <w:rPr/>
      </w:r>
    </w:p>
    <w:p>
      <w:pPr>
        <w:pStyle w:val="TextBody"/>
        <w:bidi w:val="0"/>
        <w:spacing w:lineRule="auto" w:line="288" w:before="0" w:after="0"/>
        <w:jc w:val="left"/>
        <w:rPr>
          <w:rFonts w:ascii="Adelle Sans;sans-serif" w:hAnsi="Adelle Sans;sans-serif"/>
          <w:b w:val="false"/>
          <w:color w:val="000000"/>
          <w:sz w:val="20"/>
        </w:rPr>
      </w:pPr>
      <w:r>
        <w:rPr>
          <w:rFonts w:ascii="Adelle Sans;sans-serif" w:hAnsi="Adelle Sans;sans-serif"/>
          <w:b w:val="false"/>
          <w:color w:val="000000"/>
          <w:sz w:val="20"/>
        </w:rPr>
        <w:t>This certification accompanies the Report pursuant to §906 of the Sarbanes-Oxley Act of 2002 and shall not, except to the extent required by the Sarbanes-Oxley Act of 2002, be deemed "filed" by the Company for purposes of §18 of the Securities Exchange Act of 1934, as amended, or otherwise subject to the liability of that section.</w:t>
      </w:r>
    </w:p>
    <w:p>
      <w:pPr>
        <w:pStyle w:val="TextBody"/>
        <w:bidi w:val="0"/>
        <w:spacing w:lineRule="auto" w:line="288" w:before="0" w:after="0"/>
        <w:jc w:val="left"/>
        <w:rPr>
          <w:rFonts w:ascii="Adelle Sans;sans-serif" w:hAnsi="Adelle Sans;sans-serif"/>
          <w:b w:val="false"/>
          <w:color w:val="000000"/>
          <w:sz w:val="20"/>
        </w:rPr>
      </w:pPr>
      <w:r>
        <w:rPr>
          <w:rFonts w:ascii="Adelle Sans;sans-serif" w:hAnsi="Adelle Sans;sans-serif"/>
          <w:b w:val="false"/>
          <w:color w:val="000000"/>
          <w:sz w:val="20"/>
        </w:rPr>
      </w:r>
    </w:p>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75260"/>
                <wp:effectExtent l="0" t="0" r="0" b="0"/>
                <wp:wrapNone/>
                <wp:docPr id="64" name="Frame6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delle Sans">
    <w:altName w:val="sans-serif"/>
    <w:charset w:val="01"/>
    <w:family w:val="auto"/>
    <w:pitch w:val="default"/>
  </w:font>
  <w:font w:name="Adelle Sans Light">
    <w:altName w:val="sans-serif"/>
    <w:charset w:val="01"/>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1.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19</Pages>
  <Words>26155</Words>
  <Characters>142136</Characters>
  <CharactersWithSpaces>166431</CharactersWithSpaces>
  <Paragraphs>3286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