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0" w:lineRule="exact"/>
        <w:rPr>
          <w:sz w:val="24"/>
          <w:szCs w:val="24"/>
          <w:color w:val="auto"/>
        </w:rPr>
      </w:pPr>
    </w:p>
    <w:p>
      <w:pPr>
        <w:ind w:left="3220"/>
        <w:spacing w:after="0"/>
        <w:rPr>
          <w:sz w:val="20"/>
          <w:szCs w:val="20"/>
          <w:color w:val="auto"/>
        </w:rPr>
      </w:pPr>
      <w:r>
        <w:rPr>
          <w:rFonts w:ascii="Arial" w:cs="Arial" w:eastAsia="Arial" w:hAnsi="Arial"/>
          <w:sz w:val="18"/>
          <w:szCs w:val="18"/>
          <w:u w:val="single" w:color="auto"/>
          <w:color w:val="auto"/>
        </w:rPr>
        <w:t>________________________________________________</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40" w:lineRule="exact"/>
        <w:rPr>
          <w:sz w:val="24"/>
          <w:szCs w:val="24"/>
          <w:color w:val="auto"/>
        </w:rPr>
      </w:pPr>
    </w:p>
    <w:p>
      <w:pPr>
        <w:ind w:left="3220"/>
        <w:spacing w:after="0"/>
        <w:rPr>
          <w:sz w:val="20"/>
          <w:szCs w:val="20"/>
          <w:color w:val="auto"/>
        </w:rPr>
      </w:pPr>
      <w:r>
        <w:rPr>
          <w:rFonts w:ascii="Arial" w:cs="Arial" w:eastAsia="Arial" w:hAnsi="Arial"/>
          <w:sz w:val="18"/>
          <w:szCs w:val="18"/>
          <w:u w:val="single" w:color="auto"/>
          <w:color w:val="auto"/>
        </w:rPr>
        <w:t>________________________________________________</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92075</wp:posOffset>
            </wp:positionV>
            <wp:extent cx="1474470"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3220"/>
        <w:spacing w:after="0"/>
        <w:rPr>
          <w:sz w:val="20"/>
          <w:szCs w:val="20"/>
          <w:color w:val="auto"/>
        </w:rPr>
      </w:pPr>
      <w:r>
        <w:rPr>
          <w:rFonts w:ascii="Arial" w:cs="Arial" w:eastAsia="Arial" w:hAnsi="Arial"/>
          <w:sz w:val="18"/>
          <w:szCs w:val="18"/>
          <w:u w:val="single" w:color="auto"/>
          <w:color w:val="auto"/>
        </w:rPr>
        <w:t>________________________________________________</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Shopify Inc.</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5" w:lineRule="exact"/>
        <w:rPr>
          <w:sz w:val="24"/>
          <w:szCs w:val="24"/>
          <w:color w:val="auto"/>
        </w:rPr>
      </w:pPr>
    </w:p>
    <w:p>
      <w:pPr>
        <w:ind w:left="3220"/>
        <w:spacing w:after="0"/>
        <w:rPr>
          <w:sz w:val="20"/>
          <w:szCs w:val="20"/>
          <w:color w:val="auto"/>
        </w:rPr>
      </w:pPr>
      <w:r>
        <w:rPr>
          <w:rFonts w:ascii="Arial" w:cs="Arial" w:eastAsia="Arial" w:hAnsi="Arial"/>
          <w:sz w:val="18"/>
          <w:szCs w:val="18"/>
          <w:u w:val="single" w:color="auto"/>
          <w:color w:val="auto"/>
        </w:rPr>
        <w:t>________________________________________________</w:t>
      </w:r>
    </w:p>
    <w:p>
      <w:pPr>
        <w:spacing w:after="0" w:line="312" w:lineRule="exact"/>
        <w:rPr>
          <w:sz w:val="24"/>
          <w:szCs w:val="24"/>
          <w:color w:val="auto"/>
        </w:rPr>
      </w:pPr>
    </w:p>
    <w:tbl>
      <w:tblPr>
        <w:tblLayout w:type="fixed"/>
        <w:tblInd w:w="740" w:type="dxa"/>
        <w:tblCellMar>
          <w:top w:w="0" w:type="dxa"/>
          <w:left w:w="0" w:type="dxa"/>
          <w:bottom w:w="0" w:type="dxa"/>
          <w:right w:w="0" w:type="dxa"/>
        </w:tblCellMar>
      </w:tblPr>
      <w:tr>
        <w:trPr>
          <w:trHeight w:val="196"/>
        </w:trPr>
        <w:tc>
          <w:tcPr>
            <w:tcW w:w="3060" w:type="dxa"/>
            <w:vAlign w:val="bottom"/>
          </w:tcPr>
          <w:p>
            <w:pPr>
              <w:jc w:val="center"/>
              <w:spacing w:after="0"/>
              <w:rPr>
                <w:sz w:val="20"/>
                <w:szCs w:val="20"/>
                <w:color w:val="auto"/>
              </w:rPr>
            </w:pPr>
            <w:r>
              <w:rPr>
                <w:rFonts w:ascii="Arial" w:cs="Arial" w:eastAsia="Arial" w:hAnsi="Arial"/>
                <w:sz w:val="14"/>
                <w:szCs w:val="14"/>
                <w:b w:val="1"/>
                <w:bCs w:val="1"/>
                <w:color w:val="auto"/>
              </w:rPr>
              <w:t>Canada</w:t>
            </w:r>
          </w:p>
        </w:tc>
        <w:tc>
          <w:tcPr>
            <w:tcW w:w="3800" w:type="dxa"/>
            <w:vAlign w:val="bottom"/>
          </w:tcPr>
          <w:p>
            <w:pPr>
              <w:jc w:val="center"/>
              <w:ind w:right="128"/>
              <w:spacing w:after="0"/>
              <w:rPr>
                <w:sz w:val="20"/>
                <w:szCs w:val="20"/>
                <w:color w:val="auto"/>
              </w:rPr>
            </w:pPr>
            <w:r>
              <w:rPr>
                <w:rFonts w:ascii="Arial" w:cs="Arial" w:eastAsia="Arial" w:hAnsi="Arial"/>
                <w:sz w:val="14"/>
                <w:szCs w:val="14"/>
                <w:b w:val="1"/>
                <w:bCs w:val="1"/>
                <w:color w:val="auto"/>
              </w:rPr>
              <w:t>001-37400</w:t>
            </w:r>
          </w:p>
        </w:tc>
        <w:tc>
          <w:tcPr>
            <w:tcW w:w="2500" w:type="dxa"/>
            <w:vAlign w:val="bottom"/>
          </w:tcPr>
          <w:p>
            <w:pPr>
              <w:jc w:val="center"/>
              <w:ind w:left="188"/>
              <w:spacing w:after="0"/>
              <w:rPr>
                <w:sz w:val="20"/>
                <w:szCs w:val="20"/>
                <w:color w:val="auto"/>
              </w:rPr>
            </w:pPr>
            <w:r>
              <w:rPr>
                <w:rFonts w:ascii="Arial" w:cs="Arial" w:eastAsia="Arial" w:hAnsi="Arial"/>
                <w:sz w:val="14"/>
                <w:szCs w:val="14"/>
                <w:b w:val="1"/>
                <w:bCs w:val="1"/>
                <w:color w:val="auto"/>
              </w:rPr>
              <w:t>98-0486686</w:t>
            </w:r>
          </w:p>
        </w:tc>
      </w:tr>
      <w:tr>
        <w:trPr>
          <w:trHeight w:val="202"/>
        </w:trPr>
        <w:tc>
          <w:tcPr>
            <w:tcW w:w="3060" w:type="dxa"/>
            <w:vAlign w:val="bottom"/>
          </w:tcPr>
          <w:p>
            <w:pPr>
              <w:jc w:val="center"/>
              <w:spacing w:after="0"/>
              <w:rPr>
                <w:sz w:val="20"/>
                <w:szCs w:val="20"/>
                <w:color w:val="auto"/>
              </w:rPr>
            </w:pPr>
            <w:r>
              <w:rPr>
                <w:rFonts w:ascii="Arial" w:cs="Arial" w:eastAsia="Arial" w:hAnsi="Arial"/>
                <w:sz w:val="14"/>
                <w:szCs w:val="14"/>
                <w:b w:val="1"/>
                <w:bCs w:val="1"/>
                <w:color w:val="auto"/>
              </w:rPr>
              <w:t>(State or other jurisdiction of incorporation)</w:t>
            </w:r>
          </w:p>
        </w:tc>
        <w:tc>
          <w:tcPr>
            <w:tcW w:w="3800" w:type="dxa"/>
            <w:vAlign w:val="bottom"/>
          </w:tcPr>
          <w:p>
            <w:pPr>
              <w:jc w:val="center"/>
              <w:ind w:right="128"/>
              <w:spacing w:after="0"/>
              <w:rPr>
                <w:sz w:val="20"/>
                <w:szCs w:val="20"/>
                <w:color w:val="auto"/>
              </w:rPr>
            </w:pPr>
            <w:r>
              <w:rPr>
                <w:rFonts w:ascii="Arial" w:cs="Arial" w:eastAsia="Arial" w:hAnsi="Arial"/>
                <w:sz w:val="14"/>
                <w:szCs w:val="14"/>
                <w:b w:val="1"/>
                <w:bCs w:val="1"/>
                <w:color w:val="auto"/>
              </w:rPr>
              <w:t>(Commission File Number)</w:t>
            </w:r>
          </w:p>
        </w:tc>
        <w:tc>
          <w:tcPr>
            <w:tcW w:w="2500" w:type="dxa"/>
            <w:vAlign w:val="bottom"/>
          </w:tcPr>
          <w:p>
            <w:pPr>
              <w:jc w:val="center"/>
              <w:ind w:left="188"/>
              <w:spacing w:after="0"/>
              <w:rPr>
                <w:sz w:val="20"/>
                <w:szCs w:val="20"/>
                <w:color w:val="auto"/>
              </w:rPr>
            </w:pPr>
            <w:r>
              <w:rPr>
                <w:rFonts w:ascii="Arial" w:cs="Arial" w:eastAsia="Arial" w:hAnsi="Arial"/>
                <w:sz w:val="14"/>
                <w:szCs w:val="14"/>
                <w:b w:val="1"/>
                <w:bCs w:val="1"/>
                <w:color w:val="auto"/>
              </w:rPr>
              <w:t>(IRS Employer Identification No.)</w:t>
            </w:r>
          </w:p>
        </w:tc>
      </w:tr>
      <w:tr>
        <w:trPr>
          <w:trHeight w:val="473"/>
        </w:trPr>
        <w:tc>
          <w:tcPr>
            <w:tcW w:w="3060" w:type="dxa"/>
            <w:vAlign w:val="bottom"/>
          </w:tcPr>
          <w:p>
            <w:pPr>
              <w:jc w:val="center"/>
              <w:spacing w:after="0"/>
              <w:rPr>
                <w:sz w:val="20"/>
                <w:szCs w:val="20"/>
                <w:color w:val="auto"/>
              </w:rPr>
            </w:pPr>
            <w:r>
              <w:rPr>
                <w:rFonts w:ascii="Arial" w:cs="Arial" w:eastAsia="Arial" w:hAnsi="Arial"/>
                <w:sz w:val="14"/>
                <w:szCs w:val="14"/>
                <w:b w:val="1"/>
                <w:bCs w:val="1"/>
                <w:color w:val="auto"/>
              </w:rPr>
              <w:t>151 O'Connor Street, Ground Floor</w:t>
            </w:r>
          </w:p>
        </w:tc>
        <w:tc>
          <w:tcPr>
            <w:tcW w:w="3800" w:type="dxa"/>
            <w:vAlign w:val="bottom"/>
          </w:tcPr>
          <w:p>
            <w:pPr>
              <w:spacing w:after="0"/>
              <w:rPr>
                <w:sz w:val="24"/>
                <w:szCs w:val="24"/>
                <w:color w:val="auto"/>
              </w:rPr>
            </w:pPr>
          </w:p>
        </w:tc>
        <w:tc>
          <w:tcPr>
            <w:tcW w:w="2500" w:type="dxa"/>
            <w:vAlign w:val="bottom"/>
          </w:tcPr>
          <w:p>
            <w:pPr>
              <w:jc w:val="center"/>
              <w:ind w:left="188"/>
              <w:spacing w:after="0"/>
              <w:rPr>
                <w:sz w:val="20"/>
                <w:szCs w:val="20"/>
                <w:color w:val="auto"/>
              </w:rPr>
            </w:pPr>
            <w:r>
              <w:rPr>
                <w:rFonts w:ascii="Arial" w:cs="Arial" w:eastAsia="Arial" w:hAnsi="Arial"/>
                <w:sz w:val="14"/>
                <w:szCs w:val="14"/>
                <w:b w:val="1"/>
                <w:bCs w:val="1"/>
                <w:color w:val="auto"/>
              </w:rPr>
              <w:t>85 10th Ave, Suite 800</w:t>
            </w:r>
          </w:p>
        </w:tc>
      </w:tr>
      <w:tr>
        <w:trPr>
          <w:trHeight w:val="203"/>
        </w:trPr>
        <w:tc>
          <w:tcPr>
            <w:tcW w:w="3060" w:type="dxa"/>
            <w:vAlign w:val="bottom"/>
          </w:tcPr>
          <w:p>
            <w:pPr>
              <w:jc w:val="center"/>
              <w:ind w:right="8"/>
              <w:spacing w:after="0"/>
              <w:rPr>
                <w:sz w:val="20"/>
                <w:szCs w:val="20"/>
                <w:color w:val="auto"/>
              </w:rPr>
            </w:pPr>
            <w:r>
              <w:rPr>
                <w:rFonts w:ascii="Arial" w:cs="Arial" w:eastAsia="Arial" w:hAnsi="Arial"/>
                <w:sz w:val="14"/>
                <w:szCs w:val="14"/>
                <w:b w:val="1"/>
                <w:bCs w:val="1"/>
                <w:color w:val="auto"/>
              </w:rPr>
              <w:t>Ottawa, Ontario</w:t>
            </w:r>
          </w:p>
        </w:tc>
        <w:tc>
          <w:tcPr>
            <w:tcW w:w="3800" w:type="dxa"/>
            <w:vAlign w:val="bottom"/>
          </w:tcPr>
          <w:p>
            <w:pPr>
              <w:spacing w:after="0"/>
              <w:rPr>
                <w:sz w:val="17"/>
                <w:szCs w:val="17"/>
                <w:color w:val="auto"/>
              </w:rPr>
            </w:pPr>
          </w:p>
        </w:tc>
        <w:tc>
          <w:tcPr>
            <w:tcW w:w="2500" w:type="dxa"/>
            <w:vAlign w:val="bottom"/>
          </w:tcPr>
          <w:p>
            <w:pPr>
              <w:ind w:left="660"/>
              <w:spacing w:after="0"/>
              <w:rPr>
                <w:sz w:val="20"/>
                <w:szCs w:val="20"/>
                <w:color w:val="auto"/>
              </w:rPr>
            </w:pPr>
            <w:r>
              <w:rPr>
                <w:rFonts w:ascii="Arial" w:cs="Arial" w:eastAsia="Arial" w:hAnsi="Arial"/>
                <w:sz w:val="14"/>
                <w:szCs w:val="14"/>
                <w:b w:val="1"/>
                <w:bCs w:val="1"/>
                <w:color w:val="auto"/>
              </w:rPr>
              <w:t>New York, New York</w:t>
            </w:r>
          </w:p>
        </w:tc>
      </w:tr>
      <w:tr>
        <w:trPr>
          <w:trHeight w:val="203"/>
        </w:trPr>
        <w:tc>
          <w:tcPr>
            <w:tcW w:w="3060" w:type="dxa"/>
            <w:vAlign w:val="bottom"/>
          </w:tcPr>
          <w:p>
            <w:pPr>
              <w:jc w:val="center"/>
              <w:spacing w:after="0"/>
              <w:rPr>
                <w:sz w:val="20"/>
                <w:szCs w:val="20"/>
                <w:color w:val="auto"/>
              </w:rPr>
            </w:pPr>
            <w:r>
              <w:rPr>
                <w:rFonts w:ascii="Arial" w:cs="Arial" w:eastAsia="Arial" w:hAnsi="Arial"/>
                <w:sz w:val="14"/>
                <w:szCs w:val="14"/>
                <w:b w:val="1"/>
                <w:bCs w:val="1"/>
                <w:color w:val="auto"/>
              </w:rPr>
              <w:t>Canada K2P 2L8</w:t>
            </w:r>
          </w:p>
        </w:tc>
        <w:tc>
          <w:tcPr>
            <w:tcW w:w="3800" w:type="dxa"/>
            <w:vAlign w:val="bottom"/>
          </w:tcPr>
          <w:p>
            <w:pPr>
              <w:spacing w:after="0"/>
              <w:rPr>
                <w:sz w:val="17"/>
                <w:szCs w:val="17"/>
                <w:color w:val="auto"/>
              </w:rPr>
            </w:pPr>
          </w:p>
        </w:tc>
        <w:tc>
          <w:tcPr>
            <w:tcW w:w="2500" w:type="dxa"/>
            <w:vAlign w:val="bottom"/>
          </w:tcPr>
          <w:p>
            <w:pPr>
              <w:ind w:left="1060"/>
              <w:spacing w:after="0"/>
              <w:rPr>
                <w:sz w:val="20"/>
                <w:szCs w:val="20"/>
                <w:color w:val="auto"/>
              </w:rPr>
            </w:pPr>
            <w:r>
              <w:rPr>
                <w:rFonts w:ascii="Arial" w:cs="Arial" w:eastAsia="Arial" w:hAnsi="Arial"/>
                <w:sz w:val="14"/>
                <w:szCs w:val="14"/>
                <w:b w:val="1"/>
                <w:bCs w:val="1"/>
                <w:color w:val="auto"/>
              </w:rPr>
              <w:t>USA 10011</w:t>
            </w:r>
          </w:p>
        </w:tc>
      </w:tr>
      <w:tr>
        <w:trPr>
          <w:trHeight w:val="203"/>
        </w:trPr>
        <w:tc>
          <w:tcPr>
            <w:tcW w:w="3060" w:type="dxa"/>
            <w:vAlign w:val="bottom"/>
          </w:tcPr>
          <w:p>
            <w:pPr>
              <w:spacing w:after="0"/>
              <w:rPr>
                <w:sz w:val="17"/>
                <w:szCs w:val="17"/>
                <w:color w:val="auto"/>
              </w:rPr>
            </w:pPr>
          </w:p>
        </w:tc>
        <w:tc>
          <w:tcPr>
            <w:tcW w:w="3800" w:type="dxa"/>
            <w:vAlign w:val="bottom"/>
          </w:tcPr>
          <w:p>
            <w:pPr>
              <w:jc w:val="center"/>
              <w:ind w:right="88"/>
              <w:spacing w:after="0"/>
              <w:rPr>
                <w:sz w:val="20"/>
                <w:szCs w:val="20"/>
                <w:color w:val="auto"/>
              </w:rPr>
            </w:pPr>
            <w:r>
              <w:rPr>
                <w:rFonts w:ascii="Arial" w:cs="Arial" w:eastAsia="Arial" w:hAnsi="Arial"/>
                <w:sz w:val="14"/>
                <w:szCs w:val="14"/>
                <w:b w:val="1"/>
                <w:bCs w:val="1"/>
                <w:color w:val="auto"/>
              </w:rPr>
              <w:t>(Address of Principal Executive Offices) (Zip Code)</w:t>
            </w:r>
          </w:p>
        </w:tc>
        <w:tc>
          <w:tcPr>
            <w:tcW w:w="2500" w:type="dxa"/>
            <w:vAlign w:val="bottom"/>
          </w:tcPr>
          <w:p>
            <w:pPr>
              <w:spacing w:after="0"/>
              <w:rPr>
                <w:sz w:val="17"/>
                <w:szCs w:val="17"/>
                <w:color w:val="auto"/>
              </w:rPr>
            </w:pPr>
          </w:p>
        </w:tc>
      </w:tr>
    </w:tbl>
    <w:p>
      <w:pPr>
        <w:spacing w:after="0" w:line="3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(613) 241-2828 x 1045</w:t>
      </w:r>
    </w:p>
    <w:p>
      <w:pPr>
        <w:spacing w:after="0" w:line="45" w:lineRule="exact"/>
        <w:rPr>
          <w:sz w:val="24"/>
          <w:szCs w:val="24"/>
          <w:color w:val="auto"/>
        </w:rPr>
      </w:pPr>
    </w:p>
    <w:p>
      <w:pPr>
        <w:ind w:left="3220"/>
        <w:spacing w:after="0"/>
        <w:rPr>
          <w:sz w:val="20"/>
          <w:szCs w:val="20"/>
          <w:color w:val="auto"/>
        </w:rPr>
      </w:pPr>
      <w:r>
        <w:rPr>
          <w:rFonts w:ascii="Arial" w:cs="Arial" w:eastAsia="Arial" w:hAnsi="Arial"/>
          <w:sz w:val="18"/>
          <w:szCs w:val="18"/>
          <w:u w:val="single" w:color="auto"/>
          <w:color w:val="auto"/>
        </w:rPr>
        <w:t>________________________________________________</w:t>
      </w:r>
    </w:p>
    <w:p>
      <w:pPr>
        <w:spacing w:after="0" w:line="293" w:lineRule="exact"/>
        <w:rPr>
          <w:sz w:val="24"/>
          <w:szCs w:val="24"/>
          <w:color w:val="auto"/>
        </w:rPr>
      </w:pPr>
    </w:p>
    <w:p>
      <w:pPr>
        <w:ind w:right="260"/>
        <w:spacing w:after="0" w:line="281"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42" w:lineRule="exact"/>
        <w:rPr>
          <w:sz w:val="24"/>
          <w:szCs w:val="24"/>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Securities registered pursuant to Section 12(b) of the Act:</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235"/>
        </w:trPr>
        <w:tc>
          <w:tcPr>
            <w:tcW w:w="4740" w:type="dxa"/>
            <w:vAlign w:val="bottom"/>
            <w:gridSpan w:val="3"/>
          </w:tcPr>
          <w:p>
            <w:pPr>
              <w:jc w:val="center"/>
              <w:ind w:right="820"/>
              <w:spacing w:after="0"/>
              <w:rPr>
                <w:sz w:val="20"/>
                <w:szCs w:val="20"/>
                <w:color w:val="auto"/>
              </w:rPr>
            </w:pPr>
            <w:r>
              <w:rPr>
                <w:rFonts w:ascii="Arial" w:cs="Arial" w:eastAsia="Arial" w:hAnsi="Arial"/>
                <w:sz w:val="18"/>
                <w:szCs w:val="18"/>
                <w:color w:val="auto"/>
                <w:w w:val="99"/>
              </w:rPr>
              <w:t>Title of each class</w:t>
            </w:r>
          </w:p>
        </w:tc>
        <w:tc>
          <w:tcPr>
            <w:tcW w:w="1660" w:type="dxa"/>
            <w:vAlign w:val="bottom"/>
            <w:gridSpan w:val="2"/>
          </w:tcPr>
          <w:p>
            <w:pPr>
              <w:jc w:val="center"/>
              <w:ind w:right="780"/>
              <w:spacing w:after="0"/>
              <w:rPr>
                <w:sz w:val="20"/>
                <w:szCs w:val="20"/>
                <w:color w:val="auto"/>
              </w:rPr>
            </w:pPr>
            <w:r>
              <w:rPr>
                <w:rFonts w:ascii="Arial" w:cs="Arial" w:eastAsia="Arial" w:hAnsi="Arial"/>
                <w:sz w:val="18"/>
                <w:szCs w:val="18"/>
                <w:color w:val="auto"/>
                <w:w w:val="98"/>
              </w:rPr>
              <w:t>Trading</w:t>
            </w:r>
          </w:p>
        </w:tc>
        <w:tc>
          <w:tcPr>
            <w:tcW w:w="484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40"/>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Class A Subordinate Voting Shares</w:t>
            </w:r>
          </w:p>
        </w:tc>
        <w:tc>
          <w:tcPr>
            <w:tcW w:w="3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7"/>
              </w:rPr>
              <w:t>SHOP</w:t>
            </w:r>
          </w:p>
        </w:tc>
        <w:tc>
          <w:tcPr>
            <w:tcW w:w="300" w:type="dxa"/>
            <w:vAlign w:val="bottom"/>
          </w:tcPr>
          <w:p>
            <w:pPr>
              <w:spacing w:after="0"/>
              <w:rPr>
                <w:sz w:val="20"/>
                <w:szCs w:val="20"/>
                <w:color w:val="auto"/>
              </w:rPr>
            </w:pPr>
          </w:p>
        </w:tc>
        <w:tc>
          <w:tcPr>
            <w:tcW w:w="4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Global Select Market</w:t>
            </w:r>
          </w:p>
        </w:tc>
      </w:tr>
    </w:tbl>
    <w:p>
      <w:pPr>
        <w:spacing w:after="0" w:line="274" w:lineRule="exact"/>
        <w:rPr>
          <w:sz w:val="24"/>
          <w:szCs w:val="24"/>
          <w:color w:val="auto"/>
        </w:rPr>
      </w:pPr>
    </w:p>
    <w:p>
      <w:pPr>
        <w:jc w:val="both"/>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 w:name="page2"/>
    <w:bookmarkEnd w:id="1"/>
    <w:p>
      <w:pPr>
        <w:jc w:val="both"/>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4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May 5, 2026, Shopify Inc. (the "Company") issued a press release announcing its financial results for the quarter ended March 31, 2026.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furnished as Exhibit 99.1 to this report.</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furnished with this Item 2.02, including Exhibit 99.1, shall not be deemed "filed" for the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2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420" w:type="dxa"/>
            <w:vAlign w:val="bottom"/>
          </w:tcPr>
          <w:p>
            <w:pPr>
              <w:spacing w:after="0"/>
              <w:rPr>
                <w:sz w:val="21"/>
                <w:szCs w:val="21"/>
                <w:color w:val="auto"/>
              </w:rPr>
            </w:pPr>
          </w:p>
        </w:tc>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3"/>
        </w:trPr>
        <w:tc>
          <w:tcPr>
            <w:tcW w:w="1380" w:type="dxa"/>
            <w:vAlign w:val="bottom"/>
          </w:tcPr>
          <w:p>
            <w:pPr>
              <w:ind w:left="140"/>
              <w:spacing w:after="0"/>
              <w:rPr>
                <w:sz w:val="20"/>
                <w:szCs w:val="20"/>
                <w:color w:val="auto"/>
              </w:rPr>
            </w:pPr>
            <w:r>
              <w:rPr>
                <w:rFonts w:ascii="Arial" w:cs="Arial" w:eastAsia="Arial" w:hAnsi="Arial"/>
                <w:sz w:val="18"/>
                <w:szCs w:val="18"/>
                <w:color w:val="auto"/>
              </w:rPr>
              <w:t>99.1</w:t>
            </w:r>
          </w:p>
        </w:tc>
        <w:tc>
          <w:tcPr>
            <w:tcW w:w="9860" w:type="dxa"/>
            <w:vAlign w:val="bottom"/>
            <w:gridSpan w:val="3"/>
          </w:tcPr>
          <w:p>
            <w:pPr>
              <w:ind w:left="420"/>
              <w:spacing w:after="0"/>
              <w:rPr>
                <w:sz w:val="20"/>
                <w:szCs w:val="20"/>
                <w:color w:val="auto"/>
              </w:rPr>
            </w:pPr>
            <w:r>
              <w:rPr>
                <w:rFonts w:ascii="Arial" w:cs="Arial" w:eastAsia="Arial" w:hAnsi="Arial"/>
                <w:sz w:val="18"/>
                <w:szCs w:val="18"/>
                <w:color w:val="0000FF"/>
              </w:rPr>
              <w:t>Press release of financial results issued by Shopify Inc. on May 5, 2026</w:t>
            </w:r>
          </w:p>
        </w:tc>
      </w:tr>
      <w:tr>
        <w:trPr>
          <w:trHeight w:val="20"/>
        </w:trPr>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80" w:type="dxa"/>
            <w:vAlign w:val="bottom"/>
            <w:shd w:val="clear" w:color="auto" w:fill="0000FF"/>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54"/>
        </w:trPr>
        <w:tc>
          <w:tcPr>
            <w:tcW w:w="1380" w:type="dxa"/>
            <w:vAlign w:val="bottom"/>
          </w:tcPr>
          <w:p>
            <w:pPr>
              <w:ind w:left="14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2"/>
                <w:szCs w:val="22"/>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01"/>
        </w:trPr>
        <w:tc>
          <w:tcPr>
            <w:tcW w:w="1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06" w:lineRule="exact"/>
        <w:rPr>
          <w:sz w:val="20"/>
          <w:szCs w:val="20"/>
          <w:color w:val="auto"/>
        </w:rPr>
      </w:pPr>
    </w:p>
    <w:p>
      <w:pPr>
        <w:ind w:left="60"/>
        <w:spacing w:after="0" w:line="31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SHOPIFY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May 5, 2026</w:t>
      </w:r>
    </w:p>
    <w:p>
      <w:pPr>
        <w:spacing w:after="0" w:line="32" w:lineRule="exact"/>
        <w:rPr>
          <w:sz w:val="20"/>
          <w:szCs w:val="20"/>
          <w:color w:val="auto"/>
        </w:rPr>
      </w:pPr>
    </w:p>
    <w:p>
      <w:pPr>
        <w:ind w:left="55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3952875</wp:posOffset>
            </wp:positionH>
            <wp:positionV relativeFrom="paragraph">
              <wp:posOffset>12065</wp:posOffset>
            </wp:positionV>
            <wp:extent cx="3171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74"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Michael L. Johnson</w:t>
      </w:r>
    </w:p>
    <w:p>
      <w:pPr>
        <w:spacing w:after="0" w:line="7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Corporate Secretary</w:t>
      </w:r>
    </w:p>
    <w:p>
      <w:pPr>
        <w:sectPr>
          <w:pgSz w:w="11900" w:h="16838" w:orient="portrait"/>
          <w:cols w:equalWidth="0" w:num="1">
            <w:col w:w="11180"/>
          </w:cols>
          <w:pgMar w:left="340" w:top="1187" w:right="379" w:bottom="1440" w:gutter="0" w:footer="0" w:header="0"/>
        </w:sectPr>
      </w:pPr>
    </w:p>
    <w:bookmarkStart w:id="3" w:name="page4"/>
    <w:bookmarkEnd w:id="3"/>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48715" cy="317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17500"/>
                    </a:xfrm>
                    <a:prstGeom prst="rect">
                      <a:avLst/>
                    </a:prstGeom>
                    <a:noFill/>
                  </pic:spPr>
                </pic:pic>
              </a:graphicData>
            </a:graphic>
          </wp:anchor>
        </w:drawing>
      </w:r>
    </w:p>
    <w:p>
      <w:pPr>
        <w:ind w:left="80"/>
        <w:spacing w:after="0"/>
        <w:rPr>
          <w:sz w:val="20"/>
          <w:szCs w:val="20"/>
          <w:color w:val="auto"/>
        </w:rPr>
      </w:pPr>
      <w:r>
        <w:rPr>
          <w:rFonts w:ascii="Arial" w:cs="Arial" w:eastAsia="Arial" w:hAnsi="Arial"/>
          <w:sz w:val="36"/>
          <w:szCs w:val="36"/>
          <w:color w:val="auto"/>
        </w:rPr>
        <w:t>Shopify Delivers Again as Merchants Clear $100 Billion in Q1 GMV</w:t>
      </w:r>
    </w:p>
    <w:p>
      <w:pPr>
        <w:spacing w:after="0" w:line="244" w:lineRule="exact"/>
        <w:rPr>
          <w:sz w:val="20"/>
          <w:szCs w:val="20"/>
          <w:color w:val="auto"/>
        </w:rPr>
      </w:pPr>
    </w:p>
    <w:p>
      <w:pPr>
        <w:ind w:left="80" w:right="220"/>
        <w:spacing w:after="0" w:line="409" w:lineRule="auto"/>
        <w:rPr>
          <w:sz w:val="20"/>
          <w:szCs w:val="20"/>
          <w:color w:val="auto"/>
        </w:rPr>
      </w:pPr>
      <w:r>
        <w:rPr>
          <w:rFonts w:ascii="Arial" w:cs="Arial" w:eastAsia="Arial" w:hAnsi="Arial"/>
          <w:sz w:val="16"/>
          <w:szCs w:val="16"/>
          <w:color w:val="auto"/>
        </w:rPr>
        <w:t>May 5, 2026 - Shopify announced today financial results for the quarter ended March 31, 2026. Shopify achieved 34% revenue growth and 15% free cash flow margins.</w:t>
      </w:r>
    </w:p>
    <w:p>
      <w:pPr>
        <w:spacing w:after="0" w:line="115" w:lineRule="exact"/>
        <w:rPr>
          <w:sz w:val="20"/>
          <w:szCs w:val="20"/>
          <w:color w:val="auto"/>
        </w:rPr>
      </w:pPr>
    </w:p>
    <w:p>
      <w:pPr>
        <w:ind w:left="80" w:right="100"/>
        <w:spacing w:after="0" w:line="409" w:lineRule="auto"/>
        <w:rPr>
          <w:sz w:val="20"/>
          <w:szCs w:val="20"/>
          <w:color w:val="auto"/>
        </w:rPr>
      </w:pPr>
      <w:r>
        <w:rPr>
          <w:rFonts w:ascii="Arial" w:cs="Arial" w:eastAsia="Arial" w:hAnsi="Arial"/>
          <w:sz w:val="16"/>
          <w:szCs w:val="16"/>
          <w:color w:val="auto"/>
        </w:rPr>
        <w:t>"Shopify has entered the AI era with a clear edge: strong, durable growth and two decades of commerce intelligence. That puts us in a category of one, and we're about to see that advantage compound throughout 2026," said Harley Finkelstein, President of Shopify.</w:t>
      </w:r>
    </w:p>
    <w:p>
      <w:pPr>
        <w:spacing w:after="0" w:line="115" w:lineRule="exact"/>
        <w:rPr>
          <w:sz w:val="20"/>
          <w:szCs w:val="20"/>
          <w:color w:val="auto"/>
        </w:rPr>
      </w:pPr>
    </w:p>
    <w:p>
      <w:pPr>
        <w:jc w:val="both"/>
        <w:ind w:left="80" w:right="20"/>
        <w:spacing w:after="0" w:line="389" w:lineRule="auto"/>
        <w:rPr>
          <w:sz w:val="20"/>
          <w:szCs w:val="20"/>
          <w:color w:val="auto"/>
        </w:rPr>
      </w:pPr>
      <w:r>
        <w:rPr>
          <w:rFonts w:ascii="Arial" w:cs="Arial" w:eastAsia="Arial" w:hAnsi="Arial"/>
          <w:sz w:val="16"/>
          <w:szCs w:val="16"/>
          <w:color w:val="auto"/>
        </w:rPr>
        <w:t>Jeff Hoffmeister, Chief Financial Officer, said, "Q1 delivered broad-based growth across geographies, merchant sizes, and channels, with over $100 billion of GMV in the first quarter alone. That is the platform compounding. The durability of this model allows us to invest strategically in growth, both in the merchant-facing tools that drive commerce innovation and in the internal capabilities that let us build and ship faster. ”</w:t>
      </w:r>
    </w:p>
    <w:p>
      <w:pPr>
        <w:spacing w:after="0" w:line="6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Selected Business Performance Information</w:t>
      </w:r>
      <w:r>
        <w:rPr>
          <w:rFonts w:ascii="Arial" w:cs="Arial" w:eastAsia="Arial" w:hAnsi="Arial"/>
          <w:sz w:val="25"/>
          <w:szCs w:val="25"/>
          <w:b w:val="1"/>
          <w:bCs w:val="1"/>
          <w:color w:val="auto"/>
          <w:vertAlign w:val="superscript"/>
        </w:rPr>
        <w:t>(1)</w:t>
      </w:r>
    </w:p>
    <w:p>
      <w:pPr>
        <w:ind w:left="80"/>
        <w:spacing w:after="0"/>
        <w:rPr>
          <w:sz w:val="20"/>
          <w:szCs w:val="20"/>
          <w:color w:val="auto"/>
        </w:rPr>
      </w:pPr>
      <w:r>
        <w:rPr>
          <w:rFonts w:ascii="Arial" w:cs="Arial" w:eastAsia="Arial" w:hAnsi="Arial"/>
          <w:sz w:val="18"/>
          <w:szCs w:val="18"/>
          <w:color w:val="auto"/>
        </w:rPr>
        <w:t>(In US $ millions, except percentages)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3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1540" w:type="dxa"/>
            <w:vAlign w:val="bottom"/>
            <w:tcBorders>
              <w:bottom w:val="single" w:sz="8" w:color="auto"/>
            </w:tcBorders>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60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March 31, 2026</w:t>
            </w: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March 31, 2025</w:t>
            </w:r>
          </w:p>
        </w:tc>
      </w:tr>
      <w:tr>
        <w:trPr>
          <w:trHeight w:val="208"/>
        </w:trPr>
        <w:tc>
          <w:tcPr>
            <w:tcW w:w="80" w:type="dxa"/>
            <w:vAlign w:val="bottom"/>
          </w:tcPr>
          <w:p>
            <w:pPr>
              <w:spacing w:after="0"/>
              <w:rPr>
                <w:sz w:val="18"/>
                <w:szCs w:val="18"/>
                <w:color w:val="auto"/>
              </w:rPr>
            </w:pPr>
          </w:p>
        </w:tc>
        <w:tc>
          <w:tcPr>
            <w:tcW w:w="6080" w:type="dxa"/>
            <w:vAlign w:val="bottom"/>
          </w:tcPr>
          <w:p>
            <w:pPr>
              <w:ind w:left="20"/>
              <w:spacing w:after="0"/>
              <w:rPr>
                <w:sz w:val="20"/>
                <w:szCs w:val="20"/>
                <w:color w:val="auto"/>
              </w:rPr>
            </w:pPr>
            <w:r>
              <w:rPr>
                <w:rFonts w:ascii="Arial" w:cs="Arial" w:eastAsia="Arial" w:hAnsi="Arial"/>
                <w:sz w:val="16"/>
                <w:szCs w:val="16"/>
                <w:color w:val="auto"/>
              </w:rPr>
              <w:t>GMV</w:t>
            </w:r>
          </w:p>
        </w:tc>
        <w:tc>
          <w:tcPr>
            <w:tcW w:w="3620" w:type="dxa"/>
            <w:vAlign w:val="bottom"/>
          </w:tcPr>
          <w:p>
            <w:pPr>
              <w:jc w:val="right"/>
              <w:ind w:right="1179"/>
              <w:spacing w:after="0"/>
              <w:rPr>
                <w:sz w:val="20"/>
                <w:szCs w:val="20"/>
                <w:color w:val="auto"/>
              </w:rPr>
            </w:pPr>
            <w:r>
              <w:rPr>
                <w:rFonts w:ascii="Arial" w:cs="Arial" w:eastAsia="Arial" w:hAnsi="Arial"/>
                <w:sz w:val="16"/>
                <w:szCs w:val="16"/>
                <w:color w:val="auto"/>
              </w:rPr>
              <w:t>100,743</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74,750</w:t>
            </w:r>
          </w:p>
        </w:tc>
      </w:tr>
      <w:tr>
        <w:trPr>
          <w:trHeight w:val="269"/>
        </w:trPr>
        <w:tc>
          <w:tcPr>
            <w:tcW w:w="80" w:type="dxa"/>
            <w:vAlign w:val="bottom"/>
          </w:tcPr>
          <w:p>
            <w:pPr>
              <w:spacing w:after="0"/>
              <w:rPr>
                <w:sz w:val="23"/>
                <w:szCs w:val="23"/>
                <w:color w:val="auto"/>
              </w:rPr>
            </w:pPr>
          </w:p>
        </w:tc>
        <w:tc>
          <w:tcPr>
            <w:tcW w:w="6080" w:type="dxa"/>
            <w:vAlign w:val="bottom"/>
          </w:tcPr>
          <w:p>
            <w:pPr>
              <w:ind w:left="20"/>
              <w:spacing w:after="0"/>
              <w:rPr>
                <w:sz w:val="20"/>
                <w:szCs w:val="20"/>
                <w:color w:val="auto"/>
              </w:rPr>
            </w:pPr>
            <w:r>
              <w:rPr>
                <w:rFonts w:ascii="Arial" w:cs="Arial" w:eastAsia="Arial" w:hAnsi="Arial"/>
                <w:sz w:val="16"/>
                <w:szCs w:val="16"/>
                <w:color w:val="auto"/>
              </w:rPr>
              <w:t>MRR</w:t>
            </w:r>
          </w:p>
        </w:tc>
        <w:tc>
          <w:tcPr>
            <w:tcW w:w="3620" w:type="dxa"/>
            <w:vAlign w:val="bottom"/>
          </w:tcPr>
          <w:p>
            <w:pPr>
              <w:jc w:val="right"/>
              <w:ind w:right="1179"/>
              <w:spacing w:after="0"/>
              <w:rPr>
                <w:sz w:val="20"/>
                <w:szCs w:val="20"/>
                <w:color w:val="auto"/>
              </w:rPr>
            </w:pPr>
            <w:r>
              <w:rPr>
                <w:rFonts w:ascii="Arial" w:cs="Arial" w:eastAsia="Arial" w:hAnsi="Arial"/>
                <w:sz w:val="16"/>
                <w:szCs w:val="16"/>
                <w:color w:val="auto"/>
              </w:rPr>
              <w:t>212</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182</w:t>
            </w:r>
          </w:p>
        </w:tc>
      </w:tr>
      <w:tr>
        <w:trPr>
          <w:trHeight w:val="270"/>
        </w:trPr>
        <w:tc>
          <w:tcPr>
            <w:tcW w:w="80" w:type="dxa"/>
            <w:vAlign w:val="bottom"/>
          </w:tcPr>
          <w:p>
            <w:pPr>
              <w:spacing w:after="0"/>
              <w:rPr>
                <w:sz w:val="23"/>
                <w:szCs w:val="23"/>
                <w:color w:val="auto"/>
              </w:rPr>
            </w:pPr>
          </w:p>
        </w:tc>
        <w:tc>
          <w:tcPr>
            <w:tcW w:w="6080" w:type="dxa"/>
            <w:vAlign w:val="bottom"/>
          </w:tcPr>
          <w:p>
            <w:pPr>
              <w:ind w:left="20"/>
              <w:spacing w:after="0"/>
              <w:rPr>
                <w:sz w:val="20"/>
                <w:szCs w:val="20"/>
                <w:color w:val="auto"/>
              </w:rPr>
            </w:pPr>
            <w:r>
              <w:rPr>
                <w:rFonts w:ascii="Arial" w:cs="Arial" w:eastAsia="Arial" w:hAnsi="Arial"/>
                <w:sz w:val="16"/>
                <w:szCs w:val="16"/>
                <w:color w:val="auto"/>
              </w:rPr>
              <w:t>Revenue</w:t>
            </w:r>
          </w:p>
        </w:tc>
        <w:tc>
          <w:tcPr>
            <w:tcW w:w="3620" w:type="dxa"/>
            <w:vAlign w:val="bottom"/>
          </w:tcPr>
          <w:p>
            <w:pPr>
              <w:jc w:val="right"/>
              <w:ind w:right="1179"/>
              <w:spacing w:after="0"/>
              <w:rPr>
                <w:sz w:val="20"/>
                <w:szCs w:val="20"/>
                <w:color w:val="auto"/>
              </w:rPr>
            </w:pPr>
            <w:r>
              <w:rPr>
                <w:rFonts w:ascii="Arial" w:cs="Arial" w:eastAsia="Arial" w:hAnsi="Arial"/>
                <w:sz w:val="16"/>
                <w:szCs w:val="16"/>
                <w:color w:val="auto"/>
              </w:rPr>
              <w:t>3,170</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2,360</w:t>
            </w:r>
          </w:p>
        </w:tc>
      </w:tr>
      <w:tr>
        <w:trPr>
          <w:trHeight w:val="270"/>
        </w:trPr>
        <w:tc>
          <w:tcPr>
            <w:tcW w:w="80" w:type="dxa"/>
            <w:vAlign w:val="bottom"/>
          </w:tcPr>
          <w:p>
            <w:pPr>
              <w:spacing w:after="0"/>
              <w:rPr>
                <w:sz w:val="23"/>
                <w:szCs w:val="23"/>
                <w:color w:val="auto"/>
              </w:rPr>
            </w:pPr>
          </w:p>
        </w:tc>
        <w:tc>
          <w:tcPr>
            <w:tcW w:w="60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620" w:type="dxa"/>
            <w:vAlign w:val="bottom"/>
          </w:tcPr>
          <w:p>
            <w:pPr>
              <w:jc w:val="right"/>
              <w:ind w:right="1179"/>
              <w:spacing w:after="0"/>
              <w:rPr>
                <w:sz w:val="20"/>
                <w:szCs w:val="20"/>
                <w:color w:val="auto"/>
              </w:rPr>
            </w:pPr>
            <w:r>
              <w:rPr>
                <w:rFonts w:ascii="Arial" w:cs="Arial" w:eastAsia="Arial" w:hAnsi="Arial"/>
                <w:sz w:val="16"/>
                <w:szCs w:val="16"/>
                <w:color w:val="auto"/>
              </w:rPr>
              <w:t>1,546</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1,169</w:t>
            </w:r>
          </w:p>
        </w:tc>
      </w:tr>
      <w:tr>
        <w:trPr>
          <w:trHeight w:val="270"/>
        </w:trPr>
        <w:tc>
          <w:tcPr>
            <w:tcW w:w="80" w:type="dxa"/>
            <w:vAlign w:val="bottom"/>
          </w:tcPr>
          <w:p>
            <w:pPr>
              <w:spacing w:after="0"/>
              <w:rPr>
                <w:sz w:val="23"/>
                <w:szCs w:val="23"/>
                <w:color w:val="auto"/>
              </w:rPr>
            </w:pPr>
          </w:p>
        </w:tc>
        <w:tc>
          <w:tcPr>
            <w:tcW w:w="60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620" w:type="dxa"/>
            <w:vAlign w:val="bottom"/>
          </w:tcPr>
          <w:p>
            <w:pPr>
              <w:jc w:val="right"/>
              <w:ind w:right="1179"/>
              <w:spacing w:after="0"/>
              <w:rPr>
                <w:sz w:val="20"/>
                <w:szCs w:val="20"/>
                <w:color w:val="auto"/>
              </w:rPr>
            </w:pPr>
            <w:r>
              <w:rPr>
                <w:rFonts w:ascii="Arial" w:cs="Arial" w:eastAsia="Arial" w:hAnsi="Arial"/>
                <w:sz w:val="16"/>
                <w:szCs w:val="16"/>
                <w:color w:val="auto"/>
              </w:rPr>
              <w:t>382</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203</w:t>
            </w:r>
          </w:p>
        </w:tc>
      </w:tr>
      <w:tr>
        <w:trPr>
          <w:trHeight w:val="270"/>
        </w:trPr>
        <w:tc>
          <w:tcPr>
            <w:tcW w:w="80" w:type="dxa"/>
            <w:vAlign w:val="bottom"/>
          </w:tcPr>
          <w:p>
            <w:pPr>
              <w:spacing w:after="0"/>
              <w:rPr>
                <w:sz w:val="23"/>
                <w:szCs w:val="23"/>
                <w:color w:val="auto"/>
              </w:rPr>
            </w:pPr>
          </w:p>
        </w:tc>
        <w:tc>
          <w:tcPr>
            <w:tcW w:w="608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3620" w:type="dxa"/>
            <w:vAlign w:val="bottom"/>
          </w:tcPr>
          <w:p>
            <w:pPr>
              <w:jc w:val="right"/>
              <w:ind w:right="1179"/>
              <w:spacing w:after="0"/>
              <w:rPr>
                <w:sz w:val="20"/>
                <w:szCs w:val="20"/>
                <w:color w:val="auto"/>
              </w:rPr>
            </w:pPr>
            <w:r>
              <w:rPr>
                <w:rFonts w:ascii="Arial" w:cs="Arial" w:eastAsia="Arial" w:hAnsi="Arial"/>
                <w:sz w:val="16"/>
                <w:szCs w:val="16"/>
                <w:color w:val="auto"/>
              </w:rPr>
              <w:t>476</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363</w:t>
            </w:r>
          </w:p>
        </w:tc>
      </w:tr>
      <w:tr>
        <w:trPr>
          <w:trHeight w:val="56"/>
        </w:trPr>
        <w:tc>
          <w:tcPr>
            <w:tcW w:w="80" w:type="dxa"/>
            <w:vAlign w:val="bottom"/>
          </w:tcPr>
          <w:p>
            <w:pPr>
              <w:spacing w:after="0"/>
              <w:rPr>
                <w:sz w:val="4"/>
                <w:szCs w:val="4"/>
                <w:color w:val="auto"/>
              </w:rPr>
            </w:pPr>
          </w:p>
        </w:tc>
        <w:tc>
          <w:tcPr>
            <w:tcW w:w="608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248"/>
        </w:trPr>
        <w:tc>
          <w:tcPr>
            <w:tcW w:w="80" w:type="dxa"/>
            <w:vAlign w:val="bottom"/>
          </w:tcPr>
          <w:p>
            <w:pPr>
              <w:spacing w:after="0"/>
              <w:rPr>
                <w:sz w:val="21"/>
                <w:szCs w:val="21"/>
                <w:color w:val="auto"/>
              </w:rPr>
            </w:pPr>
          </w:p>
        </w:tc>
        <w:tc>
          <w:tcPr>
            <w:tcW w:w="6080" w:type="dxa"/>
            <w:vAlign w:val="bottom"/>
          </w:tcPr>
          <w:p>
            <w:pPr>
              <w:ind w:left="180"/>
              <w:spacing w:after="0"/>
              <w:rPr>
                <w:sz w:val="20"/>
                <w:szCs w:val="20"/>
                <w:color w:val="auto"/>
              </w:rPr>
            </w:pPr>
            <w:r>
              <w:rPr>
                <w:rFonts w:ascii="Arial" w:cs="Arial" w:eastAsia="Arial" w:hAnsi="Arial"/>
                <w:sz w:val="16"/>
                <w:szCs w:val="16"/>
                <w:i w:val="1"/>
                <w:iCs w:val="1"/>
                <w:color w:val="auto"/>
              </w:rPr>
              <w:t>YoY revenue growth rate</w:t>
            </w:r>
          </w:p>
        </w:tc>
        <w:tc>
          <w:tcPr>
            <w:tcW w:w="3620" w:type="dxa"/>
            <w:vAlign w:val="bottom"/>
          </w:tcPr>
          <w:p>
            <w:pPr>
              <w:jc w:val="right"/>
              <w:ind w:right="1079"/>
              <w:spacing w:after="0"/>
              <w:rPr>
                <w:sz w:val="20"/>
                <w:szCs w:val="20"/>
                <w:color w:val="auto"/>
              </w:rPr>
            </w:pPr>
            <w:r>
              <w:rPr>
                <w:rFonts w:ascii="Arial" w:cs="Arial" w:eastAsia="Arial" w:hAnsi="Arial"/>
                <w:sz w:val="16"/>
                <w:szCs w:val="16"/>
                <w:i w:val="1"/>
                <w:iCs w:val="1"/>
                <w:color w:val="auto"/>
              </w:rPr>
              <w:t>34%</w:t>
            </w:r>
          </w:p>
        </w:tc>
        <w:tc>
          <w:tcPr>
            <w:tcW w:w="1540" w:type="dxa"/>
            <w:vAlign w:val="bottom"/>
          </w:tcPr>
          <w:p>
            <w:pPr>
              <w:jc w:val="right"/>
              <w:spacing w:after="0"/>
              <w:rPr>
                <w:sz w:val="20"/>
                <w:szCs w:val="20"/>
                <w:color w:val="auto"/>
              </w:rPr>
            </w:pPr>
            <w:r>
              <w:rPr>
                <w:rFonts w:ascii="Arial" w:cs="Arial" w:eastAsia="Arial" w:hAnsi="Arial"/>
                <w:sz w:val="16"/>
                <w:szCs w:val="16"/>
                <w:i w:val="1"/>
                <w:iCs w:val="1"/>
                <w:color w:val="auto"/>
              </w:rPr>
              <w:t>27%</w:t>
            </w:r>
          </w:p>
        </w:tc>
      </w:tr>
      <w:tr>
        <w:trPr>
          <w:trHeight w:val="161"/>
        </w:trPr>
        <w:tc>
          <w:tcPr>
            <w:tcW w:w="6160" w:type="dxa"/>
            <w:vAlign w:val="bottom"/>
            <w:gridSpan w:val="2"/>
          </w:tcPr>
          <w:p>
            <w:pPr>
              <w:spacing w:after="0" w:line="161" w:lineRule="exact"/>
              <w:rPr>
                <w:sz w:val="20"/>
                <w:szCs w:val="20"/>
                <w:color w:val="auto"/>
              </w:rPr>
            </w:pPr>
            <w:r>
              <w:rPr>
                <w:rFonts w:ascii="Arial" w:cs="Arial" w:eastAsia="Arial" w:hAnsi="Arial"/>
                <w:sz w:val="7"/>
                <w:szCs w:val="7"/>
                <w:color w:val="6D6D6D"/>
              </w:rPr>
              <w:t>(1)</w:t>
            </w:r>
            <w:r>
              <w:rPr>
                <w:rFonts w:ascii="Arial" w:cs="Arial" w:eastAsia="Arial" w:hAnsi="Arial"/>
                <w:sz w:val="16"/>
                <w:szCs w:val="16"/>
                <w:i w:val="1"/>
                <w:iCs w:val="1"/>
                <w:color w:val="auto"/>
              </w:rPr>
              <w:t>Free cash flow margin</w:t>
            </w:r>
          </w:p>
        </w:tc>
        <w:tc>
          <w:tcPr>
            <w:tcW w:w="3620" w:type="dxa"/>
            <w:vAlign w:val="bottom"/>
          </w:tcPr>
          <w:p>
            <w:pPr>
              <w:jc w:val="right"/>
              <w:ind w:right="1079"/>
              <w:spacing w:after="0" w:line="161" w:lineRule="exact"/>
              <w:rPr>
                <w:sz w:val="20"/>
                <w:szCs w:val="20"/>
                <w:color w:val="auto"/>
              </w:rPr>
            </w:pPr>
            <w:r>
              <w:rPr>
                <w:rFonts w:ascii="Arial" w:cs="Arial" w:eastAsia="Arial" w:hAnsi="Arial"/>
                <w:sz w:val="16"/>
                <w:szCs w:val="16"/>
                <w:i w:val="1"/>
                <w:iCs w:val="1"/>
                <w:color w:val="auto"/>
              </w:rPr>
              <w:t>15%</w:t>
            </w:r>
          </w:p>
        </w:tc>
        <w:tc>
          <w:tcPr>
            <w:tcW w:w="1540" w:type="dxa"/>
            <w:vAlign w:val="bottom"/>
          </w:tcPr>
          <w:p>
            <w:pPr>
              <w:jc w:val="right"/>
              <w:spacing w:after="0" w:line="161" w:lineRule="exact"/>
              <w:rPr>
                <w:sz w:val="20"/>
                <w:szCs w:val="20"/>
                <w:color w:val="auto"/>
              </w:rPr>
            </w:pPr>
            <w:r>
              <w:rPr>
                <w:rFonts w:ascii="Arial" w:cs="Arial" w:eastAsia="Arial" w:hAnsi="Arial"/>
                <w:sz w:val="16"/>
                <w:szCs w:val="16"/>
                <w:i w:val="1"/>
                <w:iCs w:val="1"/>
                <w:color w:val="auto"/>
              </w:rPr>
              <w:t>15%</w:t>
            </w:r>
          </w:p>
        </w:tc>
      </w:tr>
    </w:tbl>
    <w:p>
      <w:pPr>
        <w:ind w:left="80" w:right="100" w:firstLine="24"/>
        <w:spacing w:after="0" w:line="266" w:lineRule="auto"/>
        <w:rPr>
          <w:sz w:val="20"/>
          <w:szCs w:val="20"/>
          <w:color w:val="auto"/>
        </w:rPr>
      </w:pPr>
      <w:r>
        <w:rPr>
          <w:rFonts w:ascii="Arial" w:cs="Arial" w:eastAsia="Arial" w:hAnsi="Arial"/>
          <w:sz w:val="11"/>
          <w:szCs w:val="11"/>
          <w:color w:val="6D6D6D"/>
        </w:rPr>
        <w:t>See endnotes below for definitions of GMV and MRR and additional information on free cash flow and free cash flow margin, which are non-GAAP financial measures and are reconciled to the comparable GAAP measures in the non-GAAP reconciliation at the end of this press release.</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6"/>
          <w:szCs w:val="16"/>
          <w:color w:val="6D6D6D"/>
        </w:rPr>
        <w:t>1</w:t>
      </w:r>
    </w:p>
    <w:p>
      <w:pPr>
        <w:sectPr>
          <w:pgSz w:w="11900" w:h="16838" w:orient="portrait"/>
          <w:cols w:equalWidth="0" w:num="1">
            <w:col w:w="11320"/>
          </w:cols>
          <w:pgMar w:left="240" w:top="1440" w:right="339" w:bottom="1440" w:gutter="0" w:footer="0" w:header="0"/>
        </w:sectPr>
      </w:pPr>
    </w:p>
    <w:bookmarkStart w:id="4" w:name="page5"/>
    <w:bookmarkEnd w:id="4"/>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48715"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1750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2026 Outlook</w:t>
      </w:r>
    </w:p>
    <w:p>
      <w:pPr>
        <w:spacing w:after="0" w:line="185" w:lineRule="exact"/>
        <w:rPr>
          <w:sz w:val="20"/>
          <w:szCs w:val="20"/>
          <w:color w:val="auto"/>
        </w:rPr>
      </w:pPr>
    </w:p>
    <w:p>
      <w:pPr>
        <w:ind w:right="340"/>
        <w:spacing w:after="0" w:line="383" w:lineRule="auto"/>
        <w:rPr>
          <w:sz w:val="20"/>
          <w:szCs w:val="20"/>
          <w:color w:val="auto"/>
        </w:rPr>
      </w:pPr>
      <w:r>
        <w:rPr>
          <w:rFonts w:ascii="Arial" w:cs="Arial" w:eastAsia="Arial" w:hAnsi="Arial"/>
          <w:sz w:val="16"/>
          <w:szCs w:val="16"/>
          <w:color w:val="auto"/>
        </w:rPr>
        <w:t>The outlook that follows supersedes all prior financial outlook statements made by Shopify, constitutes forward-looking information within the meaning of applicable securities laws, is based on a number of assumptions, and is subject to a number of risks. Actual results could vary materially as a result of numerous factors, including certain risk factors, many of which are beyond Shopify’s control. Please see "Forward-looking Statements" at the end of this press release.</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For the second quarter of 2026, we expect:</w:t>
      </w:r>
    </w:p>
    <w:p>
      <w:pPr>
        <w:spacing w:after="0" w:line="167"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 to grow at a high-twenties percentage rate on a year-over-year basis;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Gross profit dollars to grow at a mid-twenties percentage rate on a year-over-year basis;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Operating expenses as a percentage of revenue to be 35% to 36%;</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Stock-based compensation to be $145 million; and</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Free cash flow margin to be in the mid-teens.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Quarterly Conference Call</w:t>
      </w:r>
    </w:p>
    <w:p>
      <w:pPr>
        <w:spacing w:after="0" w:line="185" w:lineRule="exact"/>
        <w:rPr>
          <w:sz w:val="20"/>
          <w:szCs w:val="20"/>
          <w:color w:val="auto"/>
        </w:rPr>
      </w:pPr>
    </w:p>
    <w:p>
      <w:pPr>
        <w:ind w:right="260"/>
        <w:spacing w:after="0" w:line="389" w:lineRule="auto"/>
        <w:rPr>
          <w:sz w:val="20"/>
          <w:szCs w:val="20"/>
          <w:color w:val="auto"/>
        </w:rPr>
      </w:pPr>
      <w:r>
        <w:rPr>
          <w:rFonts w:ascii="Arial" w:cs="Arial" w:eastAsia="Arial" w:hAnsi="Arial"/>
          <w:sz w:val="16"/>
          <w:szCs w:val="16"/>
          <w:color w:val="auto"/>
        </w:rPr>
        <w:t xml:space="preserve">Shopify’s management team will hold a conference call to discuss our first-quarter results today, May 5, 2026, at 8:30 a.m. ET. The conference call will be webcast in the Investor Relations section of Shopify’s website at </w:t>
      </w:r>
      <w:r>
        <w:rPr>
          <w:rFonts w:ascii="Arial" w:cs="Arial" w:eastAsia="Arial" w:hAnsi="Arial"/>
          <w:sz w:val="16"/>
          <w:szCs w:val="16"/>
          <w:u w:val="single" w:color="auto"/>
          <w:color w:val="14896B"/>
        </w:rPr>
        <w:t>www.shopify.com/investors/events</w:t>
      </w:r>
      <w:r>
        <w:rPr>
          <w:rFonts w:ascii="Arial" w:cs="Arial" w:eastAsia="Arial" w:hAnsi="Arial"/>
          <w:sz w:val="16"/>
          <w:szCs w:val="16"/>
          <w:color w:val="auto"/>
        </w:rPr>
        <w:t>. An archived replay of the webcast will be available following the conclusion of the call.</w:t>
      </w:r>
    </w:p>
    <w:p>
      <w:pPr>
        <w:spacing w:after="0" w:line="131" w:lineRule="exact"/>
        <w:rPr>
          <w:sz w:val="20"/>
          <w:szCs w:val="20"/>
          <w:color w:val="auto"/>
        </w:rPr>
      </w:pPr>
    </w:p>
    <w:p>
      <w:pPr>
        <w:ind w:right="180"/>
        <w:spacing w:after="0" w:line="389" w:lineRule="auto"/>
        <w:rPr>
          <w:sz w:val="20"/>
          <w:szCs w:val="20"/>
          <w:color w:val="auto"/>
        </w:rPr>
      </w:pPr>
      <w:r>
        <w:rPr>
          <w:rFonts w:ascii="Arial" w:cs="Arial" w:eastAsia="Arial" w:hAnsi="Arial"/>
          <w:sz w:val="16"/>
          <w:szCs w:val="16"/>
          <w:color w:val="auto"/>
        </w:rPr>
        <w:t xml:space="preserve">Shopify’s Form 10-Q for the quarter ended March 31, 2026, including the unaudited Condensed Consolidated Financial Statements and accompanying Notes, and Management's Discussion and Analysis, will be available on Shopify’s website at </w:t>
      </w:r>
      <w:r>
        <w:rPr>
          <w:rFonts w:ascii="Arial" w:cs="Arial" w:eastAsia="Arial" w:hAnsi="Arial"/>
          <w:sz w:val="16"/>
          <w:szCs w:val="16"/>
          <w:u w:val="single" w:color="auto"/>
          <w:color w:val="14896B"/>
        </w:rPr>
        <w:t>www.shopify.com</w:t>
      </w:r>
      <w:r>
        <w:rPr>
          <w:rFonts w:ascii="Arial" w:cs="Arial" w:eastAsia="Arial" w:hAnsi="Arial"/>
          <w:sz w:val="16"/>
          <w:szCs w:val="16"/>
          <w:color w:val="auto"/>
        </w:rPr>
        <w:t xml:space="preserve"> and will be filed on EDGAR at </w:t>
      </w:r>
      <w:r>
        <w:rPr>
          <w:rFonts w:ascii="Arial" w:cs="Arial" w:eastAsia="Arial" w:hAnsi="Arial"/>
          <w:sz w:val="16"/>
          <w:szCs w:val="16"/>
          <w:u w:val="single" w:color="auto"/>
          <w:color w:val="14896B"/>
        </w:rPr>
        <w:t>www.sec.gov</w:t>
      </w:r>
      <w:r>
        <w:rPr>
          <w:rFonts w:ascii="Arial" w:cs="Arial" w:eastAsia="Arial" w:hAnsi="Arial"/>
          <w:sz w:val="16"/>
          <w:szCs w:val="16"/>
          <w:color w:val="auto"/>
        </w:rPr>
        <w:t xml:space="preserve"> and on SEDAR+ at </w:t>
      </w:r>
      <w:r>
        <w:rPr>
          <w:rFonts w:ascii="Arial" w:cs="Arial" w:eastAsia="Arial" w:hAnsi="Arial"/>
          <w:sz w:val="16"/>
          <w:szCs w:val="16"/>
          <w:u w:val="single" w:color="auto"/>
          <w:color w:val="14896B"/>
        </w:rPr>
        <w:t>www.sedarplus.ca.</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Shopify</w:t>
      </w:r>
    </w:p>
    <w:p>
      <w:pPr>
        <w:spacing w:after="0" w:line="185" w:lineRule="exact"/>
        <w:rPr>
          <w:sz w:val="20"/>
          <w:szCs w:val="20"/>
          <w:color w:val="auto"/>
        </w:rPr>
      </w:pPr>
    </w:p>
    <w:p>
      <w:pPr>
        <w:ind w:right="180"/>
        <w:spacing w:after="0" w:line="389" w:lineRule="auto"/>
        <w:rPr>
          <w:sz w:val="20"/>
          <w:szCs w:val="20"/>
          <w:color w:val="auto"/>
        </w:rPr>
      </w:pPr>
      <w:r>
        <w:rPr>
          <w:rFonts w:ascii="Arial" w:cs="Arial" w:eastAsia="Arial" w:hAnsi="Arial"/>
          <w:sz w:val="16"/>
          <w:szCs w:val="16"/>
          <w:color w:val="auto"/>
        </w:rPr>
        <w:t>Shopify provides essential internet infrastructure for commerce. Shopify’s all-in-one platform makes it easier to start, run, and grow a business, powering sales online, in-store, and everywhere in between. Millions of businesses in 175+ countries use Shopify—from entrepreneurs to brands like Aldo, BarkBox, Carrier, Meta, Vuori, SKIMS, and Supreme.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visit </w:t>
      </w:r>
      <w:r>
        <w:rPr>
          <w:rFonts w:ascii="Arial" w:cs="Arial" w:eastAsia="Arial" w:hAnsi="Arial"/>
          <w:sz w:val="16"/>
          <w:szCs w:val="16"/>
          <w:b w:val="1"/>
          <w:bCs w:val="1"/>
          <w:u w:val="single" w:color="auto"/>
          <w:color w:val="14896B"/>
        </w:rPr>
        <w:t>www.shopify.com</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6"/>
                <w:szCs w:val="16"/>
                <w:b w:val="1"/>
                <w:bCs w:val="1"/>
                <w:color w:val="auto"/>
              </w:rPr>
              <w:t>CONTACT INVESTORS:</w:t>
            </w:r>
          </w:p>
        </w:tc>
        <w:tc>
          <w:tcPr>
            <w:tcW w:w="2820" w:type="dxa"/>
            <w:vAlign w:val="bottom"/>
            <w:gridSpan w:val="2"/>
          </w:tcPr>
          <w:p>
            <w:pPr>
              <w:spacing w:after="0"/>
              <w:rPr>
                <w:sz w:val="20"/>
                <w:szCs w:val="20"/>
                <w:color w:val="auto"/>
              </w:rPr>
            </w:pPr>
            <w:r>
              <w:rPr>
                <w:rFonts w:ascii="Arial" w:cs="Arial" w:eastAsia="Arial" w:hAnsi="Arial"/>
                <w:sz w:val="16"/>
                <w:szCs w:val="16"/>
                <w:color w:val="auto"/>
              </w:rPr>
              <w:t>Carrie Gillard</w:t>
            </w:r>
          </w:p>
        </w:tc>
        <w:tc>
          <w:tcPr>
            <w:tcW w:w="2880" w:type="dxa"/>
            <w:vAlign w:val="bottom"/>
          </w:tcPr>
          <w:p>
            <w:pPr>
              <w:ind w:left="880"/>
              <w:spacing w:after="0"/>
              <w:rPr>
                <w:sz w:val="20"/>
                <w:szCs w:val="20"/>
                <w:color w:val="auto"/>
              </w:rPr>
            </w:pPr>
            <w:r>
              <w:rPr>
                <w:rFonts w:ascii="Arial" w:cs="Arial" w:eastAsia="Arial" w:hAnsi="Arial"/>
                <w:sz w:val="16"/>
                <w:szCs w:val="16"/>
                <w:b w:val="1"/>
                <w:bCs w:val="1"/>
                <w:color w:val="auto"/>
              </w:rPr>
              <w:t>CONTACT MEDIA:</w:t>
            </w:r>
          </w:p>
        </w:tc>
        <w:tc>
          <w:tcPr>
            <w:tcW w:w="1840" w:type="dxa"/>
            <w:vAlign w:val="bottom"/>
            <w:gridSpan w:val="2"/>
          </w:tcPr>
          <w:p>
            <w:pPr>
              <w:spacing w:after="0"/>
              <w:rPr>
                <w:sz w:val="20"/>
                <w:szCs w:val="20"/>
                <w:color w:val="auto"/>
              </w:rPr>
            </w:pPr>
            <w:r>
              <w:rPr>
                <w:rFonts w:ascii="Arial" w:cs="Arial" w:eastAsia="Arial" w:hAnsi="Arial"/>
                <w:sz w:val="16"/>
                <w:szCs w:val="16"/>
                <w:color w:val="auto"/>
              </w:rPr>
              <w:t>Ben McConaghy</w:t>
            </w:r>
          </w:p>
        </w:tc>
      </w:tr>
      <w:tr>
        <w:trPr>
          <w:trHeight w:val="215"/>
        </w:trPr>
        <w:tc>
          <w:tcPr>
            <w:tcW w:w="244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6"/>
                <w:szCs w:val="16"/>
                <w:color w:val="auto"/>
              </w:rPr>
              <w:t>Director, Investor Relations</w:t>
            </w:r>
          </w:p>
        </w:tc>
        <w:tc>
          <w:tcPr>
            <w:tcW w:w="288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6"/>
                <w:szCs w:val="16"/>
                <w:color w:val="auto"/>
                <w:w w:val="98"/>
              </w:rPr>
              <w:t>Director, Communications</w:t>
            </w:r>
          </w:p>
        </w:tc>
      </w:tr>
      <w:tr>
        <w:trPr>
          <w:trHeight w:val="177"/>
        </w:trPr>
        <w:tc>
          <w:tcPr>
            <w:tcW w:w="2440" w:type="dxa"/>
            <w:vAlign w:val="bottom"/>
          </w:tcPr>
          <w:p>
            <w:pPr>
              <w:spacing w:after="0"/>
              <w:rPr>
                <w:sz w:val="15"/>
                <w:szCs w:val="15"/>
                <w:color w:val="auto"/>
              </w:rPr>
            </w:pPr>
          </w:p>
        </w:tc>
        <w:tc>
          <w:tcPr>
            <w:tcW w:w="1280" w:type="dxa"/>
            <w:vAlign w:val="bottom"/>
          </w:tcPr>
          <w:p>
            <w:pPr>
              <w:spacing w:after="0" w:line="178" w:lineRule="exact"/>
              <w:rPr>
                <w:sz w:val="20"/>
                <w:szCs w:val="20"/>
                <w:color w:val="auto"/>
              </w:rPr>
            </w:pPr>
            <w:r>
              <w:rPr>
                <w:rFonts w:ascii="Arial" w:cs="Arial" w:eastAsia="Arial" w:hAnsi="Arial"/>
                <w:sz w:val="16"/>
                <w:szCs w:val="16"/>
                <w:b w:val="1"/>
                <w:bCs w:val="1"/>
                <w:color w:val="14896B"/>
              </w:rPr>
              <w:t>IR@shopify.com</w:t>
            </w:r>
          </w:p>
        </w:tc>
        <w:tc>
          <w:tcPr>
            <w:tcW w:w="15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840" w:type="dxa"/>
            <w:vAlign w:val="bottom"/>
            <w:gridSpan w:val="2"/>
          </w:tcPr>
          <w:p>
            <w:pPr>
              <w:spacing w:after="0" w:line="178" w:lineRule="exact"/>
              <w:rPr>
                <w:sz w:val="20"/>
                <w:szCs w:val="20"/>
                <w:color w:val="auto"/>
              </w:rPr>
            </w:pPr>
            <w:r>
              <w:rPr>
                <w:rFonts w:ascii="Arial" w:cs="Arial" w:eastAsia="Arial" w:hAnsi="Arial"/>
                <w:sz w:val="16"/>
                <w:szCs w:val="16"/>
                <w:b w:val="1"/>
                <w:bCs w:val="1"/>
                <w:color w:val="14896B"/>
              </w:rPr>
              <w:t>press@shopify.com</w:t>
            </w:r>
          </w:p>
        </w:tc>
      </w:tr>
      <w:tr>
        <w:trPr>
          <w:trHeight w:val="20"/>
        </w:trPr>
        <w:tc>
          <w:tcPr>
            <w:tcW w:w="2440" w:type="dxa"/>
            <w:vAlign w:val="bottom"/>
          </w:tcPr>
          <w:p>
            <w:pPr>
              <w:spacing w:after="0" w:line="20" w:lineRule="exact"/>
              <w:rPr>
                <w:sz w:val="1"/>
                <w:szCs w:val="1"/>
                <w:color w:val="auto"/>
              </w:rPr>
            </w:pPr>
          </w:p>
        </w:tc>
        <w:tc>
          <w:tcPr>
            <w:tcW w:w="1280" w:type="dxa"/>
            <w:vAlign w:val="bottom"/>
            <w:shd w:val="clear" w:color="auto" w:fill="14896B"/>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20" w:type="dxa"/>
            <w:vAlign w:val="bottom"/>
            <w:shd w:val="clear" w:color="auto" w:fill="14896B"/>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6"/>
          <w:szCs w:val="16"/>
          <w:color w:val="6D6D6D"/>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48715"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168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Shopify Inc. Condensed Consolidated Statements of Operations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(In US $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60" w:type="dxa"/>
            <w:vAlign w:val="bottom"/>
          </w:tcPr>
          <w:p>
            <w:pPr>
              <w:spacing w:after="0"/>
              <w:rPr>
                <w:sz w:val="18"/>
                <w:szCs w:val="18"/>
                <w:color w:val="auto"/>
              </w:rPr>
            </w:pPr>
          </w:p>
        </w:tc>
        <w:tc>
          <w:tcPr>
            <w:tcW w:w="3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March 31, 2026</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March 31, 2025</w:t>
            </w:r>
          </w:p>
        </w:tc>
        <w:tc>
          <w:tcPr>
            <w:tcW w:w="0" w:type="dxa"/>
            <w:vAlign w:val="bottom"/>
          </w:tcPr>
          <w:p>
            <w:pPr>
              <w:spacing w:after="0"/>
              <w:rPr>
                <w:sz w:val="1"/>
                <w:szCs w:val="1"/>
                <w:color w:val="auto"/>
              </w:rPr>
            </w:pPr>
          </w:p>
        </w:tc>
      </w:tr>
      <w:tr>
        <w:trPr>
          <w:trHeight w:val="210"/>
        </w:trPr>
        <w:tc>
          <w:tcPr>
            <w:tcW w:w="6560" w:type="dxa"/>
            <w:vAlign w:val="bottom"/>
          </w:tcPr>
          <w:p>
            <w:pPr>
              <w:ind w:left="120"/>
              <w:spacing w:after="0"/>
              <w:rPr>
                <w:sz w:val="20"/>
                <w:szCs w:val="20"/>
                <w:color w:val="auto"/>
              </w:rPr>
            </w:pPr>
            <w:r>
              <w:rPr>
                <w:rFonts w:ascii="Arial" w:cs="Arial" w:eastAsia="Arial" w:hAnsi="Arial"/>
                <w:sz w:val="16"/>
                <w:szCs w:val="16"/>
                <w:b w:val="1"/>
                <w:bCs w:val="1"/>
                <w:color w:val="auto"/>
              </w:rPr>
              <w:t>Revenues</w:t>
            </w:r>
          </w:p>
        </w:tc>
        <w:tc>
          <w:tcPr>
            <w:tcW w:w="3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F7F7F7"/>
          </w:tcPr>
          <w:p>
            <w:pPr>
              <w:ind w:left="360"/>
              <w:spacing w:after="0"/>
              <w:rPr>
                <w:sz w:val="20"/>
                <w:szCs w:val="20"/>
                <w:color w:val="auto"/>
              </w:rPr>
            </w:pPr>
            <w:r>
              <w:rPr>
                <w:rFonts w:ascii="Arial" w:cs="Arial" w:eastAsia="Arial" w:hAnsi="Arial"/>
                <w:sz w:val="16"/>
                <w:szCs w:val="16"/>
                <w:color w:val="auto"/>
              </w:rPr>
              <w:t>Subscription solutions</w:t>
            </w:r>
          </w:p>
        </w:tc>
        <w:tc>
          <w:tcPr>
            <w:tcW w:w="3280" w:type="dxa"/>
            <w:vAlign w:val="bottom"/>
            <w:shd w:val="clear" w:color="auto" w:fill="F7F7F7"/>
          </w:tcPr>
          <w:p>
            <w:pPr>
              <w:jc w:val="right"/>
              <w:ind w:right="1199"/>
              <w:spacing w:after="0"/>
              <w:rPr>
                <w:sz w:val="20"/>
                <w:szCs w:val="20"/>
                <w:color w:val="auto"/>
              </w:rPr>
            </w:pPr>
            <w:r>
              <w:rPr>
                <w:rFonts w:ascii="Arial" w:cs="Arial" w:eastAsia="Arial" w:hAnsi="Arial"/>
                <w:sz w:val="16"/>
                <w:szCs w:val="16"/>
                <w:color w:val="auto"/>
              </w:rPr>
              <w:t>750</w:t>
            </w:r>
          </w:p>
        </w:tc>
        <w:tc>
          <w:tcPr>
            <w:tcW w:w="1400" w:type="dxa"/>
            <w:vAlign w:val="bottom"/>
            <w:shd w:val="clear" w:color="auto" w:fill="F7F7F7"/>
          </w:tcPr>
          <w:p>
            <w:pPr>
              <w:jc w:val="right"/>
              <w:ind w:right="159"/>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15"/>
        </w:trPr>
        <w:tc>
          <w:tcPr>
            <w:tcW w:w="6560" w:type="dxa"/>
            <w:vAlign w:val="bottom"/>
            <w:tcBorders>
              <w:bottom w:val="single" w:sz="8" w:color="F7F7F7"/>
            </w:tcBorders>
          </w:tcPr>
          <w:p>
            <w:pPr>
              <w:ind w:left="360"/>
              <w:spacing w:after="0"/>
              <w:rPr>
                <w:sz w:val="20"/>
                <w:szCs w:val="20"/>
                <w:color w:val="auto"/>
              </w:rPr>
            </w:pPr>
            <w:r>
              <w:rPr>
                <w:rFonts w:ascii="Arial" w:cs="Arial" w:eastAsia="Arial" w:hAnsi="Arial"/>
                <w:sz w:val="16"/>
                <w:szCs w:val="16"/>
                <w:color w:val="auto"/>
              </w:rPr>
              <w:t>Merchant solutions</w:t>
            </w:r>
          </w:p>
        </w:tc>
        <w:tc>
          <w:tcPr>
            <w:tcW w:w="328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color w:val="auto"/>
              </w:rPr>
              <w:t>2,420</w:t>
            </w: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1,740</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auto"/>
            </w:tcBorders>
            <w:shd w:val="clear" w:color="auto" w:fill="F7F7F7"/>
          </w:tcPr>
          <w:p>
            <w:pPr>
              <w:spacing w:after="0"/>
              <w:rPr>
                <w:sz w:val="18"/>
                <w:szCs w:val="18"/>
                <w:color w:val="auto"/>
              </w:rPr>
            </w:pPr>
          </w:p>
        </w:tc>
        <w:tc>
          <w:tcPr>
            <w:tcW w:w="3280" w:type="dxa"/>
            <w:vAlign w:val="bottom"/>
            <w:tcBorders>
              <w:bottom w:val="single" w:sz="8" w:color="auto"/>
            </w:tcBorders>
            <w:shd w:val="clear" w:color="auto" w:fill="F7F7F7"/>
          </w:tcPr>
          <w:p>
            <w:pPr>
              <w:jc w:val="right"/>
              <w:ind w:right="1199"/>
              <w:spacing w:after="0"/>
              <w:rPr>
                <w:sz w:val="20"/>
                <w:szCs w:val="20"/>
                <w:color w:val="auto"/>
              </w:rPr>
            </w:pPr>
            <w:r>
              <w:rPr>
                <w:rFonts w:ascii="Arial" w:cs="Arial" w:eastAsia="Arial" w:hAnsi="Arial"/>
                <w:sz w:val="16"/>
                <w:szCs w:val="16"/>
                <w:b w:val="1"/>
                <w:bCs w:val="1"/>
                <w:color w:val="auto"/>
              </w:rPr>
              <w:t>3,170</w:t>
            </w:r>
          </w:p>
        </w:tc>
        <w:tc>
          <w:tcPr>
            <w:tcW w:w="1400" w:type="dxa"/>
            <w:vAlign w:val="bottom"/>
            <w:tcBorders>
              <w:bottom w:val="single" w:sz="8" w:color="auto"/>
            </w:tcBorders>
            <w:shd w:val="clear" w:color="auto" w:fill="F7F7F7"/>
          </w:tcPr>
          <w:p>
            <w:pPr>
              <w:jc w:val="right"/>
              <w:ind w:right="159"/>
              <w:spacing w:after="0"/>
              <w:rPr>
                <w:sz w:val="20"/>
                <w:szCs w:val="20"/>
                <w:color w:val="auto"/>
              </w:rPr>
            </w:pPr>
            <w:r>
              <w:rPr>
                <w:rFonts w:ascii="Arial" w:cs="Arial" w:eastAsia="Arial" w:hAnsi="Arial"/>
                <w:sz w:val="16"/>
                <w:szCs w:val="16"/>
                <w:b w:val="1"/>
                <w:bCs w:val="1"/>
                <w:color w:val="auto"/>
              </w:rPr>
              <w:t>2,360</w:t>
            </w:r>
          </w:p>
        </w:tc>
        <w:tc>
          <w:tcPr>
            <w:tcW w:w="0" w:type="dxa"/>
            <w:vAlign w:val="bottom"/>
          </w:tcPr>
          <w:p>
            <w:pPr>
              <w:spacing w:after="0"/>
              <w:rPr>
                <w:sz w:val="1"/>
                <w:szCs w:val="1"/>
                <w:color w:val="auto"/>
              </w:rPr>
            </w:pPr>
          </w:p>
        </w:tc>
      </w:tr>
      <w:tr>
        <w:trPr>
          <w:trHeight w:val="210"/>
        </w:trPr>
        <w:tc>
          <w:tcPr>
            <w:tcW w:w="6560" w:type="dxa"/>
            <w:vAlign w:val="bottom"/>
          </w:tcPr>
          <w:p>
            <w:pPr>
              <w:ind w:left="120"/>
              <w:spacing w:after="0"/>
              <w:rPr>
                <w:sz w:val="20"/>
                <w:szCs w:val="20"/>
                <w:color w:val="auto"/>
              </w:rPr>
            </w:pPr>
            <w:r>
              <w:rPr>
                <w:rFonts w:ascii="Arial" w:cs="Arial" w:eastAsia="Arial" w:hAnsi="Arial"/>
                <w:sz w:val="16"/>
                <w:szCs w:val="16"/>
                <w:b w:val="1"/>
                <w:bCs w:val="1"/>
                <w:color w:val="auto"/>
              </w:rPr>
              <w:t>Cost of revenues</w:t>
            </w:r>
          </w:p>
        </w:tc>
        <w:tc>
          <w:tcPr>
            <w:tcW w:w="3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F7F7F7"/>
          </w:tcPr>
          <w:p>
            <w:pPr>
              <w:ind w:left="360"/>
              <w:spacing w:after="0"/>
              <w:rPr>
                <w:sz w:val="20"/>
                <w:szCs w:val="20"/>
                <w:color w:val="auto"/>
              </w:rPr>
            </w:pPr>
            <w:r>
              <w:rPr>
                <w:rFonts w:ascii="Arial" w:cs="Arial" w:eastAsia="Arial" w:hAnsi="Arial"/>
                <w:sz w:val="16"/>
                <w:szCs w:val="16"/>
                <w:color w:val="auto"/>
              </w:rPr>
              <w:t>Subscription solutions</w:t>
            </w:r>
          </w:p>
        </w:tc>
        <w:tc>
          <w:tcPr>
            <w:tcW w:w="3280" w:type="dxa"/>
            <w:vAlign w:val="bottom"/>
            <w:shd w:val="clear" w:color="auto" w:fill="F7F7F7"/>
          </w:tcPr>
          <w:p>
            <w:pPr>
              <w:jc w:val="right"/>
              <w:ind w:right="1199"/>
              <w:spacing w:after="0"/>
              <w:rPr>
                <w:sz w:val="20"/>
                <w:szCs w:val="20"/>
                <w:color w:val="auto"/>
              </w:rPr>
            </w:pPr>
            <w:r>
              <w:rPr>
                <w:rFonts w:ascii="Arial" w:cs="Arial" w:eastAsia="Arial" w:hAnsi="Arial"/>
                <w:sz w:val="16"/>
                <w:szCs w:val="16"/>
                <w:color w:val="auto"/>
              </w:rPr>
              <w:t>148</w:t>
            </w:r>
          </w:p>
        </w:tc>
        <w:tc>
          <w:tcPr>
            <w:tcW w:w="1400" w:type="dxa"/>
            <w:vAlign w:val="bottom"/>
            <w:shd w:val="clear" w:color="auto" w:fill="F7F7F7"/>
          </w:tcPr>
          <w:p>
            <w:pPr>
              <w:jc w:val="right"/>
              <w:ind w:right="15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5"/>
        </w:trPr>
        <w:tc>
          <w:tcPr>
            <w:tcW w:w="6560" w:type="dxa"/>
            <w:vAlign w:val="bottom"/>
            <w:tcBorders>
              <w:bottom w:val="single" w:sz="8" w:color="F7F7F7"/>
            </w:tcBorders>
          </w:tcPr>
          <w:p>
            <w:pPr>
              <w:ind w:left="360"/>
              <w:spacing w:after="0"/>
              <w:rPr>
                <w:sz w:val="20"/>
                <w:szCs w:val="20"/>
                <w:color w:val="auto"/>
              </w:rPr>
            </w:pPr>
            <w:r>
              <w:rPr>
                <w:rFonts w:ascii="Arial" w:cs="Arial" w:eastAsia="Arial" w:hAnsi="Arial"/>
                <w:sz w:val="16"/>
                <w:szCs w:val="16"/>
                <w:color w:val="auto"/>
              </w:rPr>
              <w:t>Merchant solutions</w:t>
            </w:r>
          </w:p>
        </w:tc>
        <w:tc>
          <w:tcPr>
            <w:tcW w:w="328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color w:val="auto"/>
              </w:rPr>
              <w:t>1,476</w:t>
            </w: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209"/>
        </w:trPr>
        <w:tc>
          <w:tcPr>
            <w:tcW w:w="6560" w:type="dxa"/>
            <w:vAlign w:val="bottom"/>
            <w:tcBorders>
              <w:bottom w:val="single" w:sz="8" w:color="auto"/>
            </w:tcBorders>
            <w:shd w:val="clear" w:color="auto" w:fill="F7F7F7"/>
          </w:tcPr>
          <w:p>
            <w:pPr>
              <w:spacing w:after="0"/>
              <w:rPr>
                <w:sz w:val="18"/>
                <w:szCs w:val="18"/>
                <w:color w:val="auto"/>
              </w:rPr>
            </w:pPr>
          </w:p>
        </w:tc>
        <w:tc>
          <w:tcPr>
            <w:tcW w:w="3280" w:type="dxa"/>
            <w:vAlign w:val="bottom"/>
            <w:tcBorders>
              <w:bottom w:val="single" w:sz="8" w:color="auto"/>
            </w:tcBorders>
            <w:shd w:val="clear" w:color="auto" w:fill="F7F7F7"/>
          </w:tcPr>
          <w:p>
            <w:pPr>
              <w:jc w:val="right"/>
              <w:ind w:right="1199"/>
              <w:spacing w:after="0"/>
              <w:rPr>
                <w:sz w:val="20"/>
                <w:szCs w:val="20"/>
                <w:color w:val="auto"/>
              </w:rPr>
            </w:pPr>
            <w:r>
              <w:rPr>
                <w:rFonts w:ascii="Arial" w:cs="Arial" w:eastAsia="Arial" w:hAnsi="Arial"/>
                <w:sz w:val="16"/>
                <w:szCs w:val="16"/>
                <w:color w:val="auto"/>
              </w:rPr>
              <w:t>1,624</w:t>
            </w:r>
          </w:p>
        </w:tc>
        <w:tc>
          <w:tcPr>
            <w:tcW w:w="1400" w:type="dxa"/>
            <w:vAlign w:val="bottom"/>
            <w:tcBorders>
              <w:bottom w:val="single" w:sz="8" w:color="auto"/>
            </w:tcBorders>
            <w:shd w:val="clear" w:color="auto" w:fill="F7F7F7"/>
          </w:tcPr>
          <w:p>
            <w:pPr>
              <w:jc w:val="right"/>
              <w:ind w:right="159"/>
              <w:spacing w:after="0"/>
              <w:rPr>
                <w:sz w:val="20"/>
                <w:szCs w:val="20"/>
                <w:color w:val="auto"/>
              </w:rPr>
            </w:pPr>
            <w:r>
              <w:rPr>
                <w:rFonts w:ascii="Arial" w:cs="Arial" w:eastAsia="Arial" w:hAnsi="Arial"/>
                <w:sz w:val="16"/>
                <w:szCs w:val="16"/>
                <w:color w:val="auto"/>
              </w:rPr>
              <w:t>1,191</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Gross profit</w:t>
            </w:r>
          </w:p>
        </w:tc>
        <w:tc>
          <w:tcPr>
            <w:tcW w:w="328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1,546</w:t>
            </w: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1,169</w:t>
            </w:r>
          </w:p>
        </w:tc>
        <w:tc>
          <w:tcPr>
            <w:tcW w:w="0" w:type="dxa"/>
            <w:vAlign w:val="bottom"/>
          </w:tcPr>
          <w:p>
            <w:pPr>
              <w:spacing w:after="0"/>
              <w:rPr>
                <w:sz w:val="1"/>
                <w:szCs w:val="1"/>
                <w:color w:val="auto"/>
              </w:rPr>
            </w:pPr>
          </w:p>
        </w:tc>
      </w:tr>
      <w:tr>
        <w:trPr>
          <w:trHeight w:val="209"/>
        </w:trPr>
        <w:tc>
          <w:tcPr>
            <w:tcW w:w="6560" w:type="dxa"/>
            <w:vAlign w:val="bottom"/>
            <w:shd w:val="clear" w:color="auto" w:fill="F7F7F7"/>
          </w:tcPr>
          <w:p>
            <w:pPr>
              <w:ind w:left="120"/>
              <w:spacing w:after="0"/>
              <w:rPr>
                <w:sz w:val="20"/>
                <w:szCs w:val="20"/>
                <w:color w:val="auto"/>
              </w:rPr>
            </w:pPr>
            <w:r>
              <w:rPr>
                <w:rFonts w:ascii="Arial" w:cs="Arial" w:eastAsia="Arial" w:hAnsi="Arial"/>
                <w:sz w:val="16"/>
                <w:szCs w:val="16"/>
                <w:b w:val="1"/>
                <w:bCs w:val="1"/>
                <w:color w:val="auto"/>
              </w:rPr>
              <w:t>Operating expenses</w:t>
            </w:r>
          </w:p>
        </w:tc>
        <w:tc>
          <w:tcPr>
            <w:tcW w:w="3280" w:type="dxa"/>
            <w:vAlign w:val="bottom"/>
            <w:shd w:val="clear" w:color="auto" w:fill="F7F7F7"/>
          </w:tcPr>
          <w:p>
            <w:pPr>
              <w:spacing w:after="0"/>
              <w:rPr>
                <w:sz w:val="18"/>
                <w:szCs w:val="18"/>
                <w:color w:val="auto"/>
              </w:rPr>
            </w:pPr>
          </w:p>
        </w:tc>
        <w:tc>
          <w:tcPr>
            <w:tcW w:w="1400" w:type="dxa"/>
            <w:vAlign w:val="bottom"/>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tcPr>
          <w:p>
            <w:pPr>
              <w:ind w:left="360"/>
              <w:spacing w:after="0"/>
              <w:rPr>
                <w:sz w:val="20"/>
                <w:szCs w:val="20"/>
                <w:color w:val="auto"/>
              </w:rPr>
            </w:pPr>
            <w:r>
              <w:rPr>
                <w:rFonts w:ascii="Arial" w:cs="Arial" w:eastAsia="Arial" w:hAnsi="Arial"/>
                <w:sz w:val="16"/>
                <w:szCs w:val="16"/>
                <w:color w:val="auto"/>
              </w:rPr>
              <w:t>Sales and marketing</w:t>
            </w:r>
          </w:p>
        </w:tc>
        <w:tc>
          <w:tcPr>
            <w:tcW w:w="3280" w:type="dxa"/>
            <w:vAlign w:val="bottom"/>
          </w:tcPr>
          <w:p>
            <w:pPr>
              <w:jc w:val="right"/>
              <w:ind w:right="1199"/>
              <w:spacing w:after="0"/>
              <w:rPr>
                <w:sz w:val="20"/>
                <w:szCs w:val="20"/>
                <w:color w:val="auto"/>
              </w:rPr>
            </w:pPr>
            <w:r>
              <w:rPr>
                <w:rFonts w:ascii="Arial" w:cs="Arial" w:eastAsia="Arial" w:hAnsi="Arial"/>
                <w:sz w:val="16"/>
                <w:szCs w:val="16"/>
                <w:color w:val="auto"/>
              </w:rPr>
              <w:t>496</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7"/>
        </w:trPr>
        <w:tc>
          <w:tcPr>
            <w:tcW w:w="6560" w:type="dxa"/>
            <w:vAlign w:val="bottom"/>
            <w:shd w:val="clear" w:color="auto" w:fill="F7F7F7"/>
          </w:tcPr>
          <w:p>
            <w:pPr>
              <w:ind w:left="360"/>
              <w:spacing w:after="0"/>
              <w:rPr>
                <w:sz w:val="20"/>
                <w:szCs w:val="20"/>
                <w:color w:val="auto"/>
              </w:rPr>
            </w:pPr>
            <w:r>
              <w:rPr>
                <w:rFonts w:ascii="Arial" w:cs="Arial" w:eastAsia="Arial" w:hAnsi="Arial"/>
                <w:sz w:val="16"/>
                <w:szCs w:val="16"/>
                <w:color w:val="auto"/>
              </w:rPr>
              <w:t>Research and development</w:t>
            </w:r>
          </w:p>
        </w:tc>
        <w:tc>
          <w:tcPr>
            <w:tcW w:w="3280" w:type="dxa"/>
            <w:vAlign w:val="bottom"/>
            <w:shd w:val="clear" w:color="auto" w:fill="F7F7F7"/>
          </w:tcPr>
          <w:p>
            <w:pPr>
              <w:jc w:val="right"/>
              <w:ind w:right="1199"/>
              <w:spacing w:after="0"/>
              <w:rPr>
                <w:sz w:val="20"/>
                <w:szCs w:val="20"/>
                <w:color w:val="auto"/>
              </w:rPr>
            </w:pPr>
            <w:r>
              <w:rPr>
                <w:rFonts w:ascii="Arial" w:cs="Arial" w:eastAsia="Arial" w:hAnsi="Arial"/>
                <w:sz w:val="16"/>
                <w:szCs w:val="16"/>
                <w:color w:val="auto"/>
              </w:rPr>
              <w:t>437</w:t>
            </w:r>
          </w:p>
        </w:tc>
        <w:tc>
          <w:tcPr>
            <w:tcW w:w="1400" w:type="dxa"/>
            <w:vAlign w:val="bottom"/>
            <w:shd w:val="clear" w:color="auto" w:fill="F7F7F7"/>
          </w:tcPr>
          <w:p>
            <w:pPr>
              <w:jc w:val="right"/>
              <w:ind w:right="159"/>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15"/>
        </w:trPr>
        <w:tc>
          <w:tcPr>
            <w:tcW w:w="656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3280" w:type="dxa"/>
            <w:vAlign w:val="bottom"/>
          </w:tcPr>
          <w:p>
            <w:pPr>
              <w:jc w:val="right"/>
              <w:ind w:right="1199"/>
              <w:spacing w:after="0"/>
              <w:rPr>
                <w:sz w:val="20"/>
                <w:szCs w:val="20"/>
                <w:color w:val="auto"/>
              </w:rPr>
            </w:pPr>
            <w:r>
              <w:rPr>
                <w:rFonts w:ascii="Arial" w:cs="Arial" w:eastAsia="Arial" w:hAnsi="Arial"/>
                <w:sz w:val="16"/>
                <w:szCs w:val="16"/>
                <w:color w:val="auto"/>
              </w:rPr>
              <w:t>115</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7"/>
        </w:trPr>
        <w:tc>
          <w:tcPr>
            <w:tcW w:w="6560" w:type="dxa"/>
            <w:vAlign w:val="bottom"/>
            <w:shd w:val="clear" w:color="auto" w:fill="F7F7F7"/>
          </w:tcPr>
          <w:p>
            <w:pPr>
              <w:ind w:left="360"/>
              <w:spacing w:after="0"/>
              <w:rPr>
                <w:sz w:val="20"/>
                <w:szCs w:val="20"/>
                <w:color w:val="auto"/>
              </w:rPr>
            </w:pPr>
            <w:r>
              <w:rPr>
                <w:rFonts w:ascii="Arial" w:cs="Arial" w:eastAsia="Arial" w:hAnsi="Arial"/>
                <w:sz w:val="16"/>
                <w:szCs w:val="16"/>
                <w:color w:val="auto"/>
              </w:rPr>
              <w:t>Transaction and loan losses</w:t>
            </w:r>
          </w:p>
        </w:tc>
        <w:tc>
          <w:tcPr>
            <w:tcW w:w="3280" w:type="dxa"/>
            <w:vAlign w:val="bottom"/>
            <w:tcBorders>
              <w:bottom w:val="single" w:sz="8" w:color="auto"/>
            </w:tcBorders>
            <w:shd w:val="clear" w:color="auto" w:fill="F7F7F7"/>
          </w:tcPr>
          <w:p>
            <w:pPr>
              <w:jc w:val="right"/>
              <w:ind w:right="1199"/>
              <w:spacing w:after="0"/>
              <w:rPr>
                <w:sz w:val="20"/>
                <w:szCs w:val="20"/>
                <w:color w:val="auto"/>
              </w:rPr>
            </w:pPr>
            <w:r>
              <w:rPr>
                <w:rFonts w:ascii="Arial" w:cs="Arial" w:eastAsia="Arial" w:hAnsi="Arial"/>
                <w:sz w:val="16"/>
                <w:szCs w:val="16"/>
                <w:color w:val="auto"/>
              </w:rPr>
              <w:t>116</w:t>
            </w:r>
          </w:p>
        </w:tc>
        <w:tc>
          <w:tcPr>
            <w:tcW w:w="1400" w:type="dxa"/>
            <w:vAlign w:val="bottom"/>
            <w:tcBorders>
              <w:bottom w:val="single" w:sz="8" w:color="auto"/>
            </w:tcBorders>
            <w:shd w:val="clear" w:color="auto" w:fill="F7F7F7"/>
          </w:tcPr>
          <w:p>
            <w:pPr>
              <w:jc w:val="right"/>
              <w:ind w:right="15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9"/>
        </w:trPr>
        <w:tc>
          <w:tcPr>
            <w:tcW w:w="65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Total operating expenses</w:t>
            </w:r>
          </w:p>
        </w:tc>
        <w:tc>
          <w:tcPr>
            <w:tcW w:w="328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color w:val="auto"/>
              </w:rPr>
              <w:t>1,164</w:t>
            </w: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966</w:t>
            </w:r>
          </w:p>
        </w:tc>
        <w:tc>
          <w:tcPr>
            <w:tcW w:w="0" w:type="dxa"/>
            <w:vAlign w:val="bottom"/>
          </w:tcPr>
          <w:p>
            <w:pPr>
              <w:spacing w:after="0"/>
              <w:rPr>
                <w:sz w:val="1"/>
                <w:szCs w:val="1"/>
                <w:color w:val="auto"/>
              </w:rPr>
            </w:pPr>
          </w:p>
        </w:tc>
      </w:tr>
      <w:tr>
        <w:trPr>
          <w:trHeight w:val="210"/>
        </w:trPr>
        <w:tc>
          <w:tcPr>
            <w:tcW w:w="6560" w:type="dxa"/>
            <w:vAlign w:val="bottom"/>
            <w:shd w:val="clear" w:color="auto" w:fill="F7F7F7"/>
          </w:tcPr>
          <w:p>
            <w:pPr>
              <w:ind w:left="120"/>
              <w:spacing w:after="0"/>
              <w:rPr>
                <w:sz w:val="20"/>
                <w:szCs w:val="20"/>
                <w:color w:val="auto"/>
              </w:rPr>
            </w:pPr>
            <w:r>
              <w:rPr>
                <w:rFonts w:ascii="Arial" w:cs="Arial" w:eastAsia="Arial" w:hAnsi="Arial"/>
                <w:sz w:val="16"/>
                <w:szCs w:val="16"/>
                <w:b w:val="1"/>
                <w:bCs w:val="1"/>
                <w:color w:val="auto"/>
              </w:rPr>
              <w:t>Operating income</w:t>
            </w:r>
          </w:p>
        </w:tc>
        <w:tc>
          <w:tcPr>
            <w:tcW w:w="3280" w:type="dxa"/>
            <w:vAlign w:val="bottom"/>
            <w:shd w:val="clear" w:color="auto" w:fill="F7F7F7"/>
          </w:tcPr>
          <w:p>
            <w:pPr>
              <w:jc w:val="right"/>
              <w:ind w:right="1199"/>
              <w:spacing w:after="0"/>
              <w:rPr>
                <w:sz w:val="20"/>
                <w:szCs w:val="20"/>
                <w:color w:val="auto"/>
              </w:rPr>
            </w:pPr>
            <w:r>
              <w:rPr>
                <w:rFonts w:ascii="Arial" w:cs="Arial" w:eastAsia="Arial" w:hAnsi="Arial"/>
                <w:sz w:val="16"/>
                <w:szCs w:val="16"/>
                <w:b w:val="1"/>
                <w:bCs w:val="1"/>
                <w:color w:val="auto"/>
              </w:rPr>
              <w:t>382</w:t>
            </w:r>
          </w:p>
        </w:tc>
        <w:tc>
          <w:tcPr>
            <w:tcW w:w="1400" w:type="dxa"/>
            <w:vAlign w:val="bottom"/>
            <w:shd w:val="clear" w:color="auto" w:fill="F7F7F7"/>
          </w:tcPr>
          <w:p>
            <w:pPr>
              <w:jc w:val="right"/>
              <w:ind w:right="159"/>
              <w:spacing w:after="0"/>
              <w:rPr>
                <w:sz w:val="20"/>
                <w:szCs w:val="20"/>
                <w:color w:val="auto"/>
              </w:rPr>
            </w:pPr>
            <w:r>
              <w:rPr>
                <w:rFonts w:ascii="Arial" w:cs="Arial" w:eastAsia="Arial" w:hAnsi="Arial"/>
                <w:sz w:val="16"/>
                <w:szCs w:val="16"/>
                <w:b w:val="1"/>
                <w:bCs w:val="1"/>
                <w:color w:val="auto"/>
              </w:rPr>
              <w:t>203</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auto"/>
            </w:tcBorders>
          </w:tcPr>
          <w:p>
            <w:pPr>
              <w:ind w:left="360"/>
              <w:spacing w:after="0" w:line="216" w:lineRule="exact"/>
              <w:rPr>
                <w:sz w:val="20"/>
                <w:szCs w:val="20"/>
                <w:color w:val="auto"/>
              </w:rPr>
            </w:pPr>
            <w:r>
              <w:rPr>
                <w:rFonts w:ascii="Arial" w:cs="Arial" w:eastAsia="Arial" w:hAnsi="Arial"/>
                <w:sz w:val="16"/>
                <w:szCs w:val="16"/>
                <w:color w:val="auto"/>
              </w:rPr>
              <w:t>Net other expense, including taxes</w:t>
            </w:r>
            <w:r>
              <w:rPr>
                <w:rFonts w:ascii="Arial" w:cs="Arial" w:eastAsia="Arial" w:hAnsi="Arial"/>
                <w:sz w:val="21"/>
                <w:szCs w:val="21"/>
                <w:color w:val="auto"/>
                <w:vertAlign w:val="superscript"/>
              </w:rPr>
              <w:t>(2)</w:t>
            </w:r>
          </w:p>
        </w:tc>
        <w:tc>
          <w:tcPr>
            <w:tcW w:w="328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color w:val="auto"/>
              </w:rPr>
              <w:t>(963)</w:t>
            </w: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210"/>
        </w:trPr>
        <w:tc>
          <w:tcPr>
            <w:tcW w:w="6560" w:type="dxa"/>
            <w:vAlign w:val="bottom"/>
            <w:shd w:val="clear" w:color="auto" w:fill="F7F7F7"/>
          </w:tcPr>
          <w:p>
            <w:pPr>
              <w:ind w:left="120"/>
              <w:spacing w:after="0"/>
              <w:rPr>
                <w:sz w:val="20"/>
                <w:szCs w:val="20"/>
                <w:color w:val="auto"/>
              </w:rPr>
            </w:pPr>
            <w:r>
              <w:rPr>
                <w:rFonts w:ascii="Arial" w:cs="Arial" w:eastAsia="Arial" w:hAnsi="Arial"/>
                <w:sz w:val="16"/>
                <w:szCs w:val="16"/>
                <w:b w:val="1"/>
                <w:bCs w:val="1"/>
                <w:color w:val="auto"/>
              </w:rPr>
              <w:t>Net loss</w:t>
            </w:r>
          </w:p>
        </w:tc>
        <w:tc>
          <w:tcPr>
            <w:tcW w:w="3280" w:type="dxa"/>
            <w:vAlign w:val="bottom"/>
            <w:shd w:val="clear" w:color="auto" w:fill="F7F7F7"/>
          </w:tcPr>
          <w:p>
            <w:pPr>
              <w:jc w:val="right"/>
              <w:ind w:right="1199"/>
              <w:spacing w:after="0"/>
              <w:rPr>
                <w:sz w:val="20"/>
                <w:szCs w:val="20"/>
                <w:color w:val="auto"/>
              </w:rPr>
            </w:pPr>
            <w:r>
              <w:rPr>
                <w:rFonts w:ascii="Arial" w:cs="Arial" w:eastAsia="Arial" w:hAnsi="Arial"/>
                <w:sz w:val="16"/>
                <w:szCs w:val="16"/>
                <w:b w:val="1"/>
                <w:bCs w:val="1"/>
                <w:color w:val="auto"/>
              </w:rPr>
              <w:t>(581)</w:t>
            </w:r>
          </w:p>
        </w:tc>
        <w:tc>
          <w:tcPr>
            <w:tcW w:w="1400" w:type="dxa"/>
            <w:vAlign w:val="bottom"/>
            <w:shd w:val="clear" w:color="auto" w:fill="F7F7F7"/>
          </w:tcPr>
          <w:p>
            <w:pPr>
              <w:jc w:val="right"/>
              <w:ind w:right="159"/>
              <w:spacing w:after="0"/>
              <w:rPr>
                <w:sz w:val="20"/>
                <w:szCs w:val="20"/>
                <w:color w:val="auto"/>
              </w:rPr>
            </w:pPr>
            <w:r>
              <w:rPr>
                <w:rFonts w:ascii="Arial" w:cs="Arial" w:eastAsia="Arial" w:hAnsi="Arial"/>
                <w:sz w:val="16"/>
                <w:szCs w:val="16"/>
                <w:b w:val="1"/>
                <w:bCs w:val="1"/>
                <w:color w:val="auto"/>
              </w:rPr>
              <w:t>(682)</w:t>
            </w:r>
          </w:p>
        </w:tc>
        <w:tc>
          <w:tcPr>
            <w:tcW w:w="0" w:type="dxa"/>
            <w:vAlign w:val="bottom"/>
          </w:tcPr>
          <w:p>
            <w:pPr>
              <w:spacing w:after="0"/>
              <w:rPr>
                <w:sz w:val="1"/>
                <w:szCs w:val="1"/>
                <w:color w:val="auto"/>
              </w:rPr>
            </w:pPr>
          </w:p>
        </w:tc>
      </w:tr>
      <w:tr>
        <w:trPr>
          <w:trHeight w:val="162"/>
        </w:trPr>
        <w:tc>
          <w:tcPr>
            <w:tcW w:w="6560" w:type="dxa"/>
            <w:vAlign w:val="bottom"/>
          </w:tcPr>
          <w:p>
            <w:pPr>
              <w:ind w:left="360"/>
              <w:spacing w:after="0" w:line="162" w:lineRule="exact"/>
              <w:rPr>
                <w:sz w:val="20"/>
                <w:szCs w:val="20"/>
                <w:color w:val="auto"/>
              </w:rPr>
            </w:pPr>
            <w:r>
              <w:rPr>
                <w:rFonts w:ascii="Arial" w:cs="Arial" w:eastAsia="Arial" w:hAnsi="Arial"/>
                <w:sz w:val="16"/>
                <w:szCs w:val="16"/>
                <w:color w:val="auto"/>
              </w:rPr>
              <w:t>less: equity investments, marked to</w:t>
            </w:r>
          </w:p>
        </w:tc>
        <w:tc>
          <w:tcPr>
            <w:tcW w:w="3280" w:type="dxa"/>
            <w:vAlign w:val="bottom"/>
            <w:vMerge w:val="restart"/>
          </w:tcPr>
          <w:p>
            <w:pPr>
              <w:jc w:val="right"/>
              <w:ind w:right="1199"/>
              <w:spacing w:after="0"/>
              <w:rPr>
                <w:sz w:val="20"/>
                <w:szCs w:val="20"/>
                <w:color w:val="auto"/>
              </w:rPr>
            </w:pPr>
            <w:r>
              <w:rPr>
                <w:rFonts w:ascii="Arial" w:cs="Arial" w:eastAsia="Arial" w:hAnsi="Arial"/>
                <w:sz w:val="16"/>
                <w:szCs w:val="16"/>
                <w:color w:val="auto"/>
              </w:rPr>
              <w:t>(941)</w:t>
            </w:r>
          </w:p>
        </w:tc>
        <w:tc>
          <w:tcPr>
            <w:tcW w:w="1400" w:type="dxa"/>
            <w:vAlign w:val="bottom"/>
            <w:vMerge w:val="restart"/>
          </w:tcPr>
          <w:p>
            <w:pPr>
              <w:jc w:val="right"/>
              <w:ind w:right="159"/>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133"/>
        </w:trPr>
        <w:tc>
          <w:tcPr>
            <w:tcW w:w="6560" w:type="dxa"/>
            <w:vAlign w:val="bottom"/>
            <w:vMerge w:val="restart"/>
          </w:tcPr>
          <w:p>
            <w:pPr>
              <w:ind w:left="360"/>
              <w:spacing w:after="0"/>
              <w:rPr>
                <w:sz w:val="20"/>
                <w:szCs w:val="20"/>
                <w:color w:val="auto"/>
              </w:rPr>
            </w:pPr>
            <w:r>
              <w:rPr>
                <w:rFonts w:ascii="Arial" w:cs="Arial" w:eastAsia="Arial" w:hAnsi="Arial"/>
                <w:sz w:val="16"/>
                <w:szCs w:val="16"/>
                <w:color w:val="auto"/>
              </w:rPr>
              <w:t>market, net of taxes</w:t>
            </w:r>
          </w:p>
        </w:tc>
        <w:tc>
          <w:tcPr>
            <w:tcW w:w="328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6560" w:type="dxa"/>
            <w:vAlign w:val="bottom"/>
            <w:tcBorders>
              <w:bottom w:val="single" w:sz="8" w:color="auto"/>
            </w:tcBorders>
            <w:vMerge w:val="continue"/>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6560" w:type="dxa"/>
            <w:vAlign w:val="bottom"/>
            <w:shd w:val="clear" w:color="auto" w:fill="F7F7F7"/>
          </w:tcPr>
          <w:p>
            <w:pPr>
              <w:ind w:left="120"/>
              <w:spacing w:after="0" w:line="156" w:lineRule="exact"/>
              <w:rPr>
                <w:sz w:val="20"/>
                <w:szCs w:val="20"/>
                <w:color w:val="auto"/>
              </w:rPr>
            </w:pPr>
            <w:r>
              <w:rPr>
                <w:rFonts w:ascii="Arial" w:cs="Arial" w:eastAsia="Arial" w:hAnsi="Arial"/>
                <w:sz w:val="16"/>
                <w:szCs w:val="16"/>
                <w:b w:val="1"/>
                <w:bCs w:val="1"/>
                <w:color w:val="auto"/>
              </w:rPr>
              <w:t>Net income</w:t>
            </w:r>
          </w:p>
        </w:tc>
        <w:tc>
          <w:tcPr>
            <w:tcW w:w="3280" w:type="dxa"/>
            <w:vAlign w:val="bottom"/>
            <w:vMerge w:val="restart"/>
            <w:shd w:val="clear" w:color="auto" w:fill="F7F7F7"/>
          </w:tcPr>
          <w:p>
            <w:pPr>
              <w:jc w:val="right"/>
              <w:ind w:right="1199"/>
              <w:spacing w:after="0"/>
              <w:rPr>
                <w:sz w:val="20"/>
                <w:szCs w:val="20"/>
                <w:color w:val="auto"/>
              </w:rPr>
            </w:pPr>
            <w:r>
              <w:rPr>
                <w:rFonts w:ascii="Arial" w:cs="Arial" w:eastAsia="Arial" w:hAnsi="Arial"/>
                <w:sz w:val="16"/>
                <w:szCs w:val="16"/>
                <w:b w:val="1"/>
                <w:bCs w:val="1"/>
                <w:color w:val="auto"/>
              </w:rPr>
              <w:t>360</w:t>
            </w:r>
          </w:p>
        </w:tc>
        <w:tc>
          <w:tcPr>
            <w:tcW w:w="1400" w:type="dxa"/>
            <w:vAlign w:val="bottom"/>
            <w:vMerge w:val="restart"/>
            <w:shd w:val="clear" w:color="auto" w:fill="F7F7F7"/>
          </w:tcPr>
          <w:p>
            <w:pPr>
              <w:jc w:val="right"/>
              <w:ind w:right="159"/>
              <w:spacing w:after="0"/>
              <w:rPr>
                <w:sz w:val="20"/>
                <w:szCs w:val="20"/>
                <w:color w:val="auto"/>
              </w:rPr>
            </w:pPr>
            <w:r>
              <w:rPr>
                <w:rFonts w:ascii="Arial" w:cs="Arial" w:eastAsia="Arial" w:hAnsi="Arial"/>
                <w:sz w:val="16"/>
                <w:szCs w:val="16"/>
                <w:b w:val="1"/>
                <w:bCs w:val="1"/>
                <w:color w:val="auto"/>
              </w:rPr>
              <w:t>226</w:t>
            </w:r>
          </w:p>
        </w:tc>
        <w:tc>
          <w:tcPr>
            <w:tcW w:w="0" w:type="dxa"/>
            <w:vAlign w:val="bottom"/>
          </w:tcPr>
          <w:p>
            <w:pPr>
              <w:spacing w:after="0"/>
              <w:rPr>
                <w:sz w:val="1"/>
                <w:szCs w:val="1"/>
                <w:color w:val="auto"/>
              </w:rPr>
            </w:pPr>
          </w:p>
        </w:tc>
      </w:tr>
      <w:tr>
        <w:trPr>
          <w:trHeight w:val="216"/>
        </w:trPr>
        <w:tc>
          <w:tcPr>
            <w:tcW w:w="6560" w:type="dxa"/>
            <w:vAlign w:val="bottom"/>
            <w:shd w:val="clear" w:color="auto" w:fill="F7F7F7"/>
          </w:tcPr>
          <w:p>
            <w:pPr>
              <w:ind w:left="120"/>
              <w:spacing w:after="0" w:line="216" w:lineRule="exact"/>
              <w:rPr>
                <w:sz w:val="20"/>
                <w:szCs w:val="20"/>
                <w:color w:val="auto"/>
              </w:rPr>
            </w:pPr>
            <w:r>
              <w:rPr>
                <w:rFonts w:ascii="Arial" w:cs="Arial" w:eastAsia="Arial" w:hAnsi="Arial"/>
                <w:sz w:val="16"/>
                <w:szCs w:val="16"/>
                <w:b w:val="1"/>
                <w:bCs w:val="1"/>
                <w:color w:val="auto"/>
              </w:rPr>
              <w:t>excluding the impact of equity investments</w:t>
            </w:r>
            <w:r>
              <w:rPr>
                <w:rFonts w:ascii="Arial" w:cs="Arial" w:eastAsia="Arial" w:hAnsi="Arial"/>
                <w:sz w:val="21"/>
                <w:szCs w:val="21"/>
                <w:b w:val="1"/>
                <w:bCs w:val="1"/>
                <w:color w:val="auto"/>
                <w:vertAlign w:val="superscript"/>
              </w:rPr>
              <w:t>(3)</w:t>
            </w:r>
          </w:p>
        </w:tc>
        <w:tc>
          <w:tcPr>
            <w:tcW w:w="3280" w:type="dxa"/>
            <w:vAlign w:val="bottom"/>
            <w:vMerge w:val="continue"/>
            <w:shd w:val="clear" w:color="auto" w:fill="F7F7F7"/>
          </w:tcPr>
          <w:p>
            <w:pPr>
              <w:spacing w:after="0"/>
              <w:rPr>
                <w:sz w:val="18"/>
                <w:szCs w:val="18"/>
                <w:color w:val="auto"/>
              </w:rPr>
            </w:pPr>
          </w:p>
        </w:tc>
        <w:tc>
          <w:tcPr>
            <w:tcW w:w="1400" w:type="dxa"/>
            <w:vAlign w:val="bottom"/>
            <w:vMerge w:val="continue"/>
            <w:shd w:val="clear" w:color="auto" w:fill="F7F7F7"/>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40" w:hanging="114"/>
        <w:spacing w:after="0"/>
        <w:tabs>
          <w:tab w:leader="none" w:pos="140" w:val="left"/>
        </w:tabs>
        <w:numPr>
          <w:ilvl w:val="0"/>
          <w:numId w:val="3"/>
        </w:numPr>
        <w:rPr>
          <w:rFonts w:ascii="Arial" w:cs="Arial" w:eastAsia="Arial" w:hAnsi="Arial"/>
          <w:sz w:val="13"/>
          <w:szCs w:val="13"/>
          <w:color w:val="6D6D6D"/>
          <w:vertAlign w:val="superscript"/>
        </w:rPr>
      </w:pPr>
      <w:r>
        <w:rPr>
          <w:rFonts w:ascii="Arial" w:cs="Arial" w:eastAsia="Arial" w:hAnsi="Arial"/>
          <w:sz w:val="10"/>
          <w:szCs w:val="10"/>
          <w:i w:val="1"/>
          <w:iCs w:val="1"/>
          <w:color w:val="6D6D6D"/>
        </w:rPr>
        <w:t xml:space="preserve">Net other expense, including taxes </w:t>
      </w:r>
      <w:r>
        <w:rPr>
          <w:rFonts w:ascii="Arial" w:cs="Arial" w:eastAsia="Arial" w:hAnsi="Arial"/>
          <w:sz w:val="10"/>
          <w:szCs w:val="10"/>
          <w:color w:val="6D6D6D"/>
        </w:rPr>
        <w:t>includes interest income, gains and losses on equity and other investments, foreign exchange gains and losses, and our provision for income taxes.</w:t>
      </w:r>
    </w:p>
    <w:p>
      <w:pPr>
        <w:spacing w:after="0" w:line="42" w:lineRule="exact"/>
        <w:rPr>
          <w:rFonts w:ascii="Arial" w:cs="Arial" w:eastAsia="Arial" w:hAnsi="Arial"/>
          <w:sz w:val="13"/>
          <w:szCs w:val="13"/>
          <w:color w:val="6D6D6D"/>
          <w:vertAlign w:val="superscript"/>
        </w:rPr>
      </w:pPr>
    </w:p>
    <w:p>
      <w:pPr>
        <w:ind w:left="20" w:right="60" w:firstLine="6"/>
        <w:spacing w:after="0" w:line="251" w:lineRule="auto"/>
        <w:tabs>
          <w:tab w:leader="none" w:pos="125" w:val="left"/>
        </w:tabs>
        <w:numPr>
          <w:ilvl w:val="0"/>
          <w:numId w:val="3"/>
        </w:numPr>
        <w:rPr>
          <w:rFonts w:ascii="Arial" w:cs="Arial" w:eastAsia="Arial" w:hAnsi="Arial"/>
          <w:sz w:val="7"/>
          <w:szCs w:val="7"/>
          <w:color w:val="6D6D6D"/>
        </w:rPr>
      </w:pPr>
      <w:r>
        <w:rPr>
          <w:rFonts w:ascii="Arial" w:cs="Arial" w:eastAsia="Arial" w:hAnsi="Arial"/>
          <w:sz w:val="11"/>
          <w:szCs w:val="11"/>
          <w:i w:val="1"/>
          <w:iCs w:val="1"/>
          <w:color w:val="6D6D6D"/>
        </w:rPr>
        <w:t xml:space="preserve">Net income excluding the impact of equity investments </w:t>
      </w:r>
      <w:r>
        <w:rPr>
          <w:rFonts w:ascii="Arial" w:cs="Arial" w:eastAsia="Arial" w:hAnsi="Arial"/>
          <w:sz w:val="11"/>
          <w:szCs w:val="11"/>
          <w:color w:val="6D6D6D"/>
        </w:rPr>
        <w:t>is a non-GAAP financial measure which is reconciled at the end of this press release. This measure excludes the impact of any gains or losses on our equity investments in third</w:t>
      </w:r>
      <w:r>
        <w:rPr>
          <w:rFonts w:ascii="Arial" w:cs="Arial" w:eastAsia="Arial" w:hAnsi="Arial"/>
          <w:sz w:val="11"/>
          <w:szCs w:val="11"/>
          <w:i w:val="1"/>
          <w:iCs w:val="1"/>
          <w:color w:val="6D6D6D"/>
        </w:rPr>
        <w:t xml:space="preserve"> </w:t>
      </w:r>
      <w:r>
        <w:rPr>
          <w:rFonts w:ascii="Arial" w:cs="Arial" w:eastAsia="Arial" w:hAnsi="Arial"/>
          <w:sz w:val="11"/>
          <w:szCs w:val="11"/>
          <w:color w:val="6D6D6D"/>
        </w:rPr>
        <w:t xml:space="preserve">parties. Shopify believes this measure provides useful information to investors given that valuations of third parties in public and private markets are outside of our control, and therefore, fluctuations in those valuations are not relevant to the fundamentals of our business and have little analytical or predictive value regarding our ability to drive operational results. This measure does not have a standardized meaning under US GAAP and may not be comparable to similar measures presented by other companies. GAAP and non-GAAP diluted net income (loss) per share are available in the Financial Supplemental posted on </w:t>
      </w:r>
      <w:r>
        <w:rPr>
          <w:rFonts w:ascii="Arial" w:cs="Arial" w:eastAsia="Arial" w:hAnsi="Arial"/>
          <w:sz w:val="11"/>
          <w:szCs w:val="11"/>
          <w:u w:val="single" w:color="auto"/>
          <w:color w:val="14896B"/>
        </w:rPr>
        <w:t>www.shopify.com/investors</w:t>
      </w:r>
      <w:r>
        <w:rPr>
          <w:rFonts w:ascii="Arial" w:cs="Arial" w:eastAsia="Arial" w:hAnsi="Arial"/>
          <w:sz w:val="11"/>
          <w:szCs w:val="11"/>
          <w:color w:val="6D6D6D"/>
        </w:rPr>
        <w:t>.</w:t>
      </w:r>
    </w:p>
    <w:p>
      <w:pPr>
        <w:spacing w:after="0" w:line="96" w:lineRule="exact"/>
        <w:rPr>
          <w:sz w:val="20"/>
          <w:szCs w:val="20"/>
          <w:color w:val="auto"/>
        </w:rPr>
      </w:pPr>
    </w:p>
    <w:p>
      <w:pPr>
        <w:ind w:left="20" w:right="280"/>
        <w:spacing w:after="0" w:line="259" w:lineRule="auto"/>
        <w:rPr>
          <w:sz w:val="20"/>
          <w:szCs w:val="20"/>
          <w:color w:val="auto"/>
        </w:rPr>
      </w:pPr>
      <w:r>
        <w:rPr>
          <w:rFonts w:ascii="Arial" w:cs="Arial" w:eastAsia="Arial" w:hAnsi="Arial"/>
          <w:sz w:val="11"/>
          <w:szCs w:val="11"/>
          <w:color w:val="6D6D6D"/>
        </w:rPr>
        <w:t xml:space="preserve">Note: More detailed Condensed Consolidated Statements of Operations and Comprehensive Loss are available in the Quarterly Report on Form 10-Q filed concurrently with this press release with US and Canadian regulators and available on </w:t>
      </w:r>
      <w:r>
        <w:rPr>
          <w:rFonts w:ascii="Arial" w:cs="Arial" w:eastAsia="Arial" w:hAnsi="Arial"/>
          <w:sz w:val="11"/>
          <w:szCs w:val="11"/>
          <w:u w:val="single" w:color="auto"/>
          <w:color w:val="14896B"/>
        </w:rPr>
        <w:t>www.sec.gov</w:t>
      </w:r>
      <w:r>
        <w:rPr>
          <w:rFonts w:ascii="Arial" w:cs="Arial" w:eastAsia="Arial" w:hAnsi="Arial"/>
          <w:sz w:val="11"/>
          <w:szCs w:val="11"/>
          <w:color w:val="6D6D6D"/>
        </w:rPr>
        <w:t xml:space="preserve"> and </w:t>
      </w:r>
      <w:r>
        <w:rPr>
          <w:rFonts w:ascii="Arial" w:cs="Arial" w:eastAsia="Arial" w:hAnsi="Arial"/>
          <w:sz w:val="11"/>
          <w:szCs w:val="11"/>
          <w:u w:val="single" w:color="auto"/>
          <w:color w:val="14896B"/>
        </w:rPr>
        <w:t>www.sedarplus.ca</w:t>
      </w:r>
      <w:r>
        <w:rPr>
          <w:rFonts w:ascii="Arial" w:cs="Arial" w:eastAsia="Arial" w:hAnsi="Arial"/>
          <w:sz w:val="11"/>
          <w:szCs w:val="11"/>
          <w:u w:val="single" w:color="auto"/>
          <w:color w:val="6D6D6D"/>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color w:val="6D6D6D"/>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48715"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168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Shopify Inc. Condensed Consolidated Balance Sheets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(In US $ millions)</w:t>
      </w:r>
    </w:p>
    <w:p>
      <w:pPr>
        <w:spacing w:after="0" w:line="23" w:lineRule="exact"/>
        <w:rPr>
          <w:sz w:val="20"/>
          <w:szCs w:val="20"/>
          <w:color w:val="auto"/>
        </w:rPr>
      </w:pPr>
    </w:p>
    <w:p>
      <w:pPr>
        <w:jc w:val="right"/>
        <w:ind w:right="60"/>
        <w:spacing w:after="0"/>
        <w:tabs>
          <w:tab w:leader="none" w:pos="1440" w:val="left"/>
        </w:tabs>
        <w:rPr>
          <w:sz w:val="20"/>
          <w:szCs w:val="20"/>
          <w:color w:val="auto"/>
        </w:rPr>
      </w:pPr>
      <w:r>
        <w:rPr>
          <w:rFonts w:ascii="Arial" w:cs="Arial" w:eastAsia="Arial" w:hAnsi="Arial"/>
          <w:sz w:val="16"/>
          <w:szCs w:val="16"/>
          <w:b w:val="1"/>
          <w:bCs w:val="1"/>
          <w:color w:val="auto"/>
        </w:rPr>
        <w:t>March 31, 2026</w:t>
      </w:r>
      <w:r>
        <w:rPr>
          <w:sz w:val="20"/>
          <w:szCs w:val="20"/>
          <w:color w:val="auto"/>
        </w:rPr>
        <w:tab/>
      </w:r>
      <w:r>
        <w:rPr>
          <w:rFonts w:ascii="Arial" w:cs="Arial" w:eastAsia="Arial" w:hAnsi="Arial"/>
          <w:sz w:val="16"/>
          <w:szCs w:val="16"/>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20955</wp:posOffset>
            </wp:positionV>
            <wp:extent cx="7080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Current assets</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Cash and cash equivalents</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Marketable securities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Trade and other receivables, net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Loans and merchant cash advances, net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current assets</w:t>
      </w:r>
    </w:p>
    <w:p>
      <w:pPr>
        <w:spacing w:after="0" w:line="26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Long-term assets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Long-term assets</w:t>
      </w:r>
      <w:r>
        <w:rPr>
          <w:rFonts w:ascii="Arial" w:cs="Arial" w:eastAsia="Arial" w:hAnsi="Arial"/>
          <w:sz w:val="21"/>
          <w:szCs w:val="21"/>
          <w:color w:val="auto"/>
          <w:vertAlign w:val="superscript"/>
        </w:rPr>
        <w:t>(4)</w:t>
      </w:r>
    </w:p>
    <w:p>
      <w:pPr>
        <w:ind w:left="220"/>
        <w:spacing w:after="0"/>
        <w:rPr>
          <w:sz w:val="20"/>
          <w:szCs w:val="20"/>
          <w:color w:val="auto"/>
        </w:rPr>
      </w:pPr>
      <w:r>
        <w:rPr>
          <w:rFonts w:ascii="Arial" w:cs="Arial" w:eastAsia="Arial" w:hAnsi="Arial"/>
          <w:sz w:val="16"/>
          <w:szCs w:val="16"/>
          <w:color w:val="auto"/>
        </w:rPr>
        <w:t>Deferred tax assets</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Long-term investments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Equity and other investments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Equity method investment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Goodwill</w:t>
      </w:r>
    </w:p>
    <w:p>
      <w:pPr>
        <w:spacing w:after="0" w:line="27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jc w:val="right"/>
              <w:ind w:right="839"/>
              <w:spacing w:after="0"/>
              <w:rPr>
                <w:sz w:val="20"/>
                <w:szCs w:val="20"/>
                <w:color w:val="auto"/>
              </w:rPr>
            </w:pPr>
            <w:r>
              <w:rPr>
                <w:rFonts w:ascii="Arial" w:cs="Arial" w:eastAsia="Arial" w:hAnsi="Arial"/>
                <w:sz w:val="16"/>
                <w:szCs w:val="16"/>
                <w:color w:val="auto"/>
              </w:rPr>
              <w:t>1,848</w:t>
            </w:r>
          </w:p>
        </w:tc>
        <w:tc>
          <w:tcPr>
            <w:tcW w:w="1500" w:type="dxa"/>
            <w:vAlign w:val="bottom"/>
          </w:tcPr>
          <w:p>
            <w:pPr>
              <w:jc w:val="right"/>
              <w:spacing w:after="0"/>
              <w:rPr>
                <w:sz w:val="20"/>
                <w:szCs w:val="20"/>
                <w:color w:val="auto"/>
              </w:rPr>
            </w:pPr>
            <w:r>
              <w:rPr>
                <w:rFonts w:ascii="Arial" w:cs="Arial" w:eastAsia="Arial" w:hAnsi="Arial"/>
                <w:sz w:val="16"/>
                <w:szCs w:val="16"/>
                <w:color w:val="auto"/>
              </w:rPr>
              <w:t>1,545</w:t>
            </w:r>
          </w:p>
        </w:tc>
      </w:tr>
      <w:tr>
        <w:trPr>
          <w:trHeight w:val="216"/>
        </w:trPr>
        <w:tc>
          <w:tcPr>
            <w:tcW w:w="3100" w:type="dxa"/>
            <w:vAlign w:val="bottom"/>
          </w:tcPr>
          <w:p>
            <w:pPr>
              <w:jc w:val="right"/>
              <w:ind w:right="839"/>
              <w:spacing w:after="0"/>
              <w:rPr>
                <w:sz w:val="20"/>
                <w:szCs w:val="20"/>
                <w:color w:val="auto"/>
              </w:rPr>
            </w:pPr>
            <w:r>
              <w:rPr>
                <w:rFonts w:ascii="Arial" w:cs="Arial" w:eastAsia="Arial" w:hAnsi="Arial"/>
                <w:sz w:val="16"/>
                <w:szCs w:val="16"/>
                <w:color w:val="auto"/>
              </w:rPr>
              <w:t>3,895</w:t>
            </w:r>
          </w:p>
        </w:tc>
        <w:tc>
          <w:tcPr>
            <w:tcW w:w="1500" w:type="dxa"/>
            <w:vAlign w:val="bottom"/>
          </w:tcPr>
          <w:p>
            <w:pPr>
              <w:jc w:val="right"/>
              <w:spacing w:after="0"/>
              <w:rPr>
                <w:sz w:val="20"/>
                <w:szCs w:val="20"/>
                <w:color w:val="auto"/>
              </w:rPr>
            </w:pPr>
            <w:r>
              <w:rPr>
                <w:rFonts w:ascii="Arial" w:cs="Arial" w:eastAsia="Arial" w:hAnsi="Arial"/>
                <w:sz w:val="16"/>
                <w:szCs w:val="16"/>
                <w:color w:val="auto"/>
              </w:rPr>
              <w:t>4,233</w:t>
            </w:r>
          </w:p>
        </w:tc>
      </w:tr>
      <w:tr>
        <w:trPr>
          <w:trHeight w:val="216"/>
        </w:trPr>
        <w:tc>
          <w:tcPr>
            <w:tcW w:w="3100" w:type="dxa"/>
            <w:vAlign w:val="bottom"/>
          </w:tcPr>
          <w:p>
            <w:pPr>
              <w:jc w:val="right"/>
              <w:ind w:right="839"/>
              <w:spacing w:after="0"/>
              <w:rPr>
                <w:sz w:val="20"/>
                <w:szCs w:val="20"/>
                <w:color w:val="auto"/>
              </w:rPr>
            </w:pPr>
            <w:r>
              <w:rPr>
                <w:rFonts w:ascii="Arial" w:cs="Arial" w:eastAsia="Arial" w:hAnsi="Arial"/>
                <w:sz w:val="16"/>
                <w:szCs w:val="16"/>
                <w:color w:val="auto"/>
              </w:rPr>
              <w:t>449</w:t>
            </w:r>
          </w:p>
        </w:tc>
        <w:tc>
          <w:tcPr>
            <w:tcW w:w="15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6"/>
        </w:trPr>
        <w:tc>
          <w:tcPr>
            <w:tcW w:w="3100" w:type="dxa"/>
            <w:vAlign w:val="bottom"/>
          </w:tcPr>
          <w:p>
            <w:pPr>
              <w:jc w:val="right"/>
              <w:ind w:right="839"/>
              <w:spacing w:after="0"/>
              <w:rPr>
                <w:sz w:val="20"/>
                <w:szCs w:val="20"/>
                <w:color w:val="auto"/>
              </w:rPr>
            </w:pPr>
            <w:r>
              <w:rPr>
                <w:rFonts w:ascii="Arial" w:cs="Arial" w:eastAsia="Arial" w:hAnsi="Arial"/>
                <w:sz w:val="16"/>
                <w:szCs w:val="16"/>
                <w:color w:val="auto"/>
              </w:rPr>
              <w:t>2,097</w:t>
            </w:r>
          </w:p>
        </w:tc>
        <w:tc>
          <w:tcPr>
            <w:tcW w:w="1500" w:type="dxa"/>
            <w:vAlign w:val="bottom"/>
          </w:tcPr>
          <w:p>
            <w:pPr>
              <w:jc w:val="right"/>
              <w:spacing w:after="0"/>
              <w:rPr>
                <w:sz w:val="20"/>
                <w:szCs w:val="20"/>
                <w:color w:val="auto"/>
              </w:rPr>
            </w:pPr>
            <w:r>
              <w:rPr>
                <w:rFonts w:ascii="Arial" w:cs="Arial" w:eastAsia="Arial" w:hAnsi="Arial"/>
                <w:sz w:val="16"/>
                <w:szCs w:val="16"/>
                <w:color w:val="auto"/>
              </w:rPr>
              <w:t>1,784</w:t>
            </w:r>
          </w:p>
        </w:tc>
      </w:tr>
      <w:tr>
        <w:trPr>
          <w:trHeight w:val="217"/>
        </w:trPr>
        <w:tc>
          <w:tcPr>
            <w:tcW w:w="310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206</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r>
      <w:tr>
        <w:trPr>
          <w:trHeight w:val="210"/>
        </w:trPr>
        <w:tc>
          <w:tcPr>
            <w:tcW w:w="310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8,495</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8,296</w:t>
            </w:r>
          </w:p>
        </w:tc>
      </w:tr>
      <w:tr>
        <w:trPr>
          <w:trHeight w:val="411"/>
        </w:trPr>
        <w:tc>
          <w:tcPr>
            <w:tcW w:w="3100" w:type="dxa"/>
            <w:vAlign w:val="bottom"/>
          </w:tcPr>
          <w:p>
            <w:pPr>
              <w:jc w:val="right"/>
              <w:ind w:right="839"/>
              <w:spacing w:after="0"/>
              <w:rPr>
                <w:sz w:val="20"/>
                <w:szCs w:val="20"/>
                <w:color w:val="auto"/>
              </w:rPr>
            </w:pPr>
            <w:r>
              <w:rPr>
                <w:rFonts w:ascii="Arial" w:cs="Arial" w:eastAsia="Arial" w:hAnsi="Arial"/>
                <w:sz w:val="16"/>
                <w:szCs w:val="16"/>
                <w:color w:val="auto"/>
              </w:rPr>
              <w:t>196</w:t>
            </w:r>
          </w:p>
        </w:tc>
        <w:tc>
          <w:tcPr>
            <w:tcW w:w="150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16"/>
        </w:trPr>
        <w:tc>
          <w:tcPr>
            <w:tcW w:w="3100" w:type="dxa"/>
            <w:vAlign w:val="bottom"/>
          </w:tcPr>
          <w:p>
            <w:pPr>
              <w:jc w:val="right"/>
              <w:ind w:right="839"/>
              <w:spacing w:after="0"/>
              <w:rPr>
                <w:sz w:val="20"/>
                <w:szCs w:val="20"/>
                <w:color w:val="auto"/>
              </w:rPr>
            </w:pPr>
            <w:r>
              <w:rPr>
                <w:rFonts w:ascii="Arial" w:cs="Arial" w:eastAsia="Arial" w:hAnsi="Arial"/>
                <w:sz w:val="16"/>
                <w:szCs w:val="16"/>
                <w:color w:val="auto"/>
              </w:rPr>
              <w:t>117</w:t>
            </w:r>
          </w:p>
        </w:tc>
        <w:tc>
          <w:tcPr>
            <w:tcW w:w="15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3100" w:type="dxa"/>
            <w:vAlign w:val="bottom"/>
          </w:tcPr>
          <w:p>
            <w:pPr>
              <w:jc w:val="right"/>
              <w:ind w:right="839"/>
              <w:spacing w:after="0"/>
              <w:rPr>
                <w:sz w:val="20"/>
                <w:szCs w:val="20"/>
                <w:color w:val="auto"/>
              </w:rPr>
            </w:pPr>
            <w:r>
              <w:rPr>
                <w:rFonts w:ascii="Arial" w:cs="Arial" w:eastAsia="Arial" w:hAnsi="Arial"/>
                <w:sz w:val="16"/>
                <w:szCs w:val="16"/>
                <w:color w:val="auto"/>
              </w:rPr>
              <w:t>708</w:t>
            </w:r>
          </w:p>
        </w:tc>
        <w:tc>
          <w:tcPr>
            <w:tcW w:w="1500" w:type="dxa"/>
            <w:vAlign w:val="bottom"/>
          </w:tcPr>
          <w:p>
            <w:pPr>
              <w:jc w:val="right"/>
              <w:spacing w:after="0"/>
              <w:rPr>
                <w:sz w:val="20"/>
                <w:szCs w:val="20"/>
                <w:color w:val="auto"/>
              </w:rPr>
            </w:pPr>
            <w:r>
              <w:rPr>
                <w:rFonts w:ascii="Arial" w:cs="Arial" w:eastAsia="Arial" w:hAnsi="Arial"/>
                <w:sz w:val="16"/>
                <w:szCs w:val="16"/>
                <w:color w:val="auto"/>
              </w:rPr>
              <w:t>975</w:t>
            </w:r>
          </w:p>
        </w:tc>
      </w:tr>
      <w:tr>
        <w:trPr>
          <w:trHeight w:val="216"/>
        </w:trPr>
        <w:tc>
          <w:tcPr>
            <w:tcW w:w="3100" w:type="dxa"/>
            <w:vAlign w:val="bottom"/>
          </w:tcPr>
          <w:p>
            <w:pPr>
              <w:jc w:val="right"/>
              <w:ind w:right="839"/>
              <w:spacing w:after="0"/>
              <w:rPr>
                <w:sz w:val="20"/>
                <w:szCs w:val="20"/>
                <w:color w:val="auto"/>
              </w:rPr>
            </w:pPr>
            <w:r>
              <w:rPr>
                <w:rFonts w:ascii="Arial" w:cs="Arial" w:eastAsia="Arial" w:hAnsi="Arial"/>
                <w:sz w:val="16"/>
                <w:szCs w:val="16"/>
                <w:color w:val="auto"/>
              </w:rPr>
              <w:t>3,533</w:t>
            </w:r>
          </w:p>
        </w:tc>
        <w:tc>
          <w:tcPr>
            <w:tcW w:w="1500" w:type="dxa"/>
            <w:vAlign w:val="bottom"/>
          </w:tcPr>
          <w:p>
            <w:pPr>
              <w:jc w:val="right"/>
              <w:spacing w:after="0"/>
              <w:rPr>
                <w:sz w:val="20"/>
                <w:szCs w:val="20"/>
                <w:color w:val="auto"/>
              </w:rPr>
            </w:pPr>
            <w:r>
              <w:rPr>
                <w:rFonts w:ascii="Arial" w:cs="Arial" w:eastAsia="Arial" w:hAnsi="Arial"/>
                <w:sz w:val="16"/>
                <w:szCs w:val="16"/>
                <w:color w:val="auto"/>
              </w:rPr>
              <w:t>4,582</w:t>
            </w:r>
          </w:p>
        </w:tc>
      </w:tr>
      <w:tr>
        <w:trPr>
          <w:trHeight w:val="216"/>
        </w:trPr>
        <w:tc>
          <w:tcPr>
            <w:tcW w:w="3100" w:type="dxa"/>
            <w:vAlign w:val="bottom"/>
          </w:tcPr>
          <w:p>
            <w:pPr>
              <w:jc w:val="right"/>
              <w:ind w:right="839"/>
              <w:spacing w:after="0"/>
              <w:rPr>
                <w:sz w:val="20"/>
                <w:szCs w:val="20"/>
                <w:color w:val="auto"/>
              </w:rPr>
            </w:pPr>
            <w:r>
              <w:rPr>
                <w:rFonts w:ascii="Arial" w:cs="Arial" w:eastAsia="Arial" w:hAnsi="Arial"/>
                <w:sz w:val="16"/>
                <w:szCs w:val="16"/>
                <w:color w:val="auto"/>
              </w:rPr>
              <w:t>581</w:t>
            </w:r>
          </w:p>
        </w:tc>
        <w:tc>
          <w:tcPr>
            <w:tcW w:w="1500" w:type="dxa"/>
            <w:vAlign w:val="bottom"/>
          </w:tcPr>
          <w:p>
            <w:pPr>
              <w:jc w:val="right"/>
              <w:spacing w:after="0"/>
              <w:rPr>
                <w:sz w:val="20"/>
                <w:szCs w:val="20"/>
                <w:color w:val="auto"/>
              </w:rPr>
            </w:pPr>
            <w:r>
              <w:rPr>
                <w:rFonts w:ascii="Arial" w:cs="Arial" w:eastAsia="Arial" w:hAnsi="Arial"/>
                <w:sz w:val="16"/>
                <w:szCs w:val="16"/>
                <w:color w:val="auto"/>
              </w:rPr>
              <w:t>602</w:t>
            </w:r>
          </w:p>
        </w:tc>
      </w:tr>
      <w:tr>
        <w:trPr>
          <w:trHeight w:val="217"/>
        </w:trPr>
        <w:tc>
          <w:tcPr>
            <w:tcW w:w="310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491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w:t>
            </w:r>
          </w:p>
        </w:tc>
      </w:tr>
      <w:tr>
        <w:trPr>
          <w:trHeight w:val="210"/>
        </w:trPr>
        <w:tc>
          <w:tcPr>
            <w:tcW w:w="310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5,626</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6,893</w:t>
            </w:r>
          </w:p>
        </w:tc>
      </w:tr>
      <w:tr>
        <w:trPr>
          <w:trHeight w:val="217"/>
        </w:trPr>
        <w:tc>
          <w:tcPr>
            <w:tcW w:w="3100" w:type="dxa"/>
            <w:vAlign w:val="bottom"/>
          </w:tcPr>
          <w:p>
            <w:pPr>
              <w:jc w:val="right"/>
              <w:ind w:right="839"/>
              <w:spacing w:after="0"/>
              <w:rPr>
                <w:sz w:val="20"/>
                <w:szCs w:val="20"/>
                <w:color w:val="auto"/>
              </w:rPr>
            </w:pPr>
            <w:r>
              <w:rPr>
                <w:rFonts w:ascii="Arial" w:cs="Arial" w:eastAsia="Arial" w:hAnsi="Arial"/>
                <w:sz w:val="16"/>
                <w:szCs w:val="16"/>
                <w:b w:val="1"/>
                <w:bCs w:val="1"/>
                <w:color w:val="auto"/>
              </w:rPr>
              <w:t>14,121</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15,189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-2223770</wp:posOffset>
            </wp:positionV>
            <wp:extent cx="708088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0885"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-1949450</wp:posOffset>
            </wp:positionV>
            <wp:extent cx="708088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0885"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-1675130</wp:posOffset>
            </wp:positionV>
            <wp:extent cx="708088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0885"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-1400810</wp:posOffset>
            </wp:positionV>
            <wp:extent cx="708088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0885" cy="145415"/>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-1118235</wp:posOffset>
            </wp:positionV>
            <wp:extent cx="708088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0885"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-843915</wp:posOffset>
            </wp:positionV>
            <wp:extent cx="708088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0885"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-569595</wp:posOffset>
            </wp:positionV>
            <wp:extent cx="708088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0885" cy="13716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-295275</wp:posOffset>
            </wp:positionV>
            <wp:extent cx="708088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0885" cy="1460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-3810</wp:posOffset>
            </wp:positionV>
            <wp:extent cx="708088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0885" cy="154305"/>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5880" w:space="720"/>
            <w:col w:w="4640"/>
          </w:cols>
          <w:pgMar w:left="320" w:top="1440" w:right="339" w:bottom="1440" w:gutter="0" w:footer="0" w:header="0"/>
          <w:type w:val="continuous"/>
        </w:sectPr>
      </w:pPr>
    </w:p>
    <w:p>
      <w:pPr>
        <w:ind w:left="60"/>
        <w:spacing w:after="0"/>
        <w:rPr>
          <w:sz w:val="20"/>
          <w:szCs w:val="20"/>
          <w:color w:val="auto"/>
        </w:rPr>
      </w:pPr>
      <w:r>
        <w:rPr>
          <w:rFonts w:ascii="Arial" w:cs="Arial" w:eastAsia="Arial" w:hAnsi="Arial"/>
          <w:sz w:val="18"/>
          <w:szCs w:val="18"/>
          <w:b w:val="1"/>
          <w:bCs w:val="1"/>
          <w:color w:val="auto"/>
        </w:rPr>
        <w:t>Liabilities and shareholders’ equity</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3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6"/>
        </w:trPr>
        <w:tc>
          <w:tcPr>
            <w:tcW w:w="6560" w:type="dxa"/>
            <w:vAlign w:val="bottom"/>
            <w:shd w:val="clear" w:color="auto" w:fill="F7F7F7"/>
          </w:tcPr>
          <w:p>
            <w:pPr>
              <w:ind w:left="180"/>
              <w:spacing w:after="0"/>
              <w:rPr>
                <w:sz w:val="20"/>
                <w:szCs w:val="20"/>
                <w:color w:val="auto"/>
              </w:rPr>
            </w:pPr>
            <w:r>
              <w:rPr>
                <w:rFonts w:ascii="Arial" w:cs="Arial" w:eastAsia="Arial" w:hAnsi="Arial"/>
                <w:sz w:val="16"/>
                <w:szCs w:val="16"/>
                <w:color w:val="auto"/>
              </w:rPr>
              <w:t>Accounts payable</w:t>
            </w:r>
          </w:p>
        </w:tc>
        <w:tc>
          <w:tcPr>
            <w:tcW w:w="3100" w:type="dxa"/>
            <w:vAlign w:val="bottom"/>
            <w:shd w:val="clear" w:color="auto" w:fill="F7F7F7"/>
          </w:tcPr>
          <w:p>
            <w:pPr>
              <w:jc w:val="right"/>
              <w:ind w:right="839"/>
              <w:spacing w:after="0"/>
              <w:rPr>
                <w:sz w:val="20"/>
                <w:szCs w:val="20"/>
                <w:color w:val="auto"/>
              </w:rPr>
            </w:pPr>
            <w:r>
              <w:rPr>
                <w:rFonts w:ascii="Arial" w:cs="Arial" w:eastAsia="Arial" w:hAnsi="Arial"/>
                <w:sz w:val="16"/>
                <w:szCs w:val="16"/>
                <w:color w:val="auto"/>
              </w:rPr>
              <w:t>529</w:t>
            </w:r>
          </w:p>
        </w:tc>
        <w:tc>
          <w:tcPr>
            <w:tcW w:w="1500" w:type="dxa"/>
            <w:vAlign w:val="bottom"/>
            <w:shd w:val="clear" w:color="auto" w:fill="F7F7F7"/>
          </w:tcPr>
          <w:p>
            <w:pPr>
              <w:jc w:val="right"/>
              <w:spacing w:after="0"/>
              <w:rPr>
                <w:sz w:val="20"/>
                <w:szCs w:val="20"/>
                <w:color w:val="auto"/>
              </w:rPr>
            </w:pPr>
            <w:r>
              <w:rPr>
                <w:rFonts w:ascii="Arial" w:cs="Arial" w:eastAsia="Arial" w:hAnsi="Arial"/>
                <w:sz w:val="16"/>
                <w:szCs w:val="16"/>
                <w:color w:val="auto"/>
              </w:rPr>
              <w:t>570</w:t>
            </w:r>
          </w:p>
        </w:tc>
      </w:tr>
      <w:tr>
        <w:trPr>
          <w:trHeight w:val="215"/>
        </w:trPr>
        <w:tc>
          <w:tcPr>
            <w:tcW w:w="6560" w:type="dxa"/>
            <w:vAlign w:val="bottom"/>
          </w:tcPr>
          <w:p>
            <w:pPr>
              <w:ind w:left="180"/>
              <w:spacing w:after="0"/>
              <w:rPr>
                <w:sz w:val="20"/>
                <w:szCs w:val="20"/>
                <w:color w:val="auto"/>
              </w:rPr>
            </w:pPr>
            <w:r>
              <w:rPr>
                <w:rFonts w:ascii="Arial" w:cs="Arial" w:eastAsia="Arial" w:hAnsi="Arial"/>
                <w:sz w:val="16"/>
                <w:szCs w:val="16"/>
                <w:color w:val="auto"/>
              </w:rPr>
              <w:t>Deferred tax liabilities</w:t>
            </w:r>
          </w:p>
        </w:tc>
        <w:tc>
          <w:tcPr>
            <w:tcW w:w="310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7"/>
        </w:trPr>
        <w:tc>
          <w:tcPr>
            <w:tcW w:w="6560" w:type="dxa"/>
            <w:vAlign w:val="bottom"/>
            <w:shd w:val="clear" w:color="auto" w:fill="F7F7F7"/>
          </w:tcPr>
          <w:p>
            <w:pPr>
              <w:ind w:left="180"/>
              <w:spacing w:after="0" w:line="217" w:lineRule="exact"/>
              <w:rPr>
                <w:sz w:val="20"/>
                <w:szCs w:val="20"/>
                <w:color w:val="auto"/>
              </w:rPr>
            </w:pPr>
            <w:r>
              <w:rPr>
                <w:rFonts w:ascii="Arial" w:cs="Arial" w:eastAsia="Arial" w:hAnsi="Arial"/>
                <w:sz w:val="16"/>
                <w:szCs w:val="16"/>
                <w:color w:val="auto"/>
              </w:rPr>
              <w:t>Other liabilities</w:t>
            </w:r>
            <w:r>
              <w:rPr>
                <w:rFonts w:ascii="Arial" w:cs="Arial" w:eastAsia="Arial" w:hAnsi="Arial"/>
                <w:sz w:val="21"/>
                <w:szCs w:val="21"/>
                <w:color w:val="auto"/>
                <w:vertAlign w:val="superscript"/>
              </w:rPr>
              <w:t>(5)</w:t>
            </w:r>
          </w:p>
        </w:tc>
        <w:tc>
          <w:tcPr>
            <w:tcW w:w="3100" w:type="dxa"/>
            <w:vAlign w:val="bottom"/>
            <w:tcBorders>
              <w:bottom w:val="single" w:sz="8" w:color="auto"/>
            </w:tcBorders>
            <w:shd w:val="clear" w:color="auto" w:fill="F7F7F7"/>
          </w:tcPr>
          <w:p>
            <w:pPr>
              <w:jc w:val="right"/>
              <w:ind w:right="839"/>
              <w:spacing w:after="0"/>
              <w:rPr>
                <w:sz w:val="20"/>
                <w:szCs w:val="20"/>
                <w:color w:val="auto"/>
              </w:rPr>
            </w:pPr>
            <w:r>
              <w:rPr>
                <w:rFonts w:ascii="Arial" w:cs="Arial" w:eastAsia="Arial" w:hAnsi="Arial"/>
                <w:sz w:val="16"/>
                <w:szCs w:val="16"/>
                <w:color w:val="auto"/>
              </w:rPr>
              <w:t>1,091</w:t>
            </w:r>
          </w:p>
        </w:tc>
        <w:tc>
          <w:tcPr>
            <w:tcW w:w="15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1,091</w:t>
            </w:r>
          </w:p>
        </w:tc>
      </w:tr>
      <w:tr>
        <w:trPr>
          <w:trHeight w:val="209"/>
        </w:trPr>
        <w:tc>
          <w:tcPr>
            <w:tcW w:w="6560" w:type="dxa"/>
            <w:vAlign w:val="bottom"/>
            <w:tcBorders>
              <w:bottom w:val="single" w:sz="8" w:color="F7F7F7"/>
            </w:tcBorders>
          </w:tcPr>
          <w:p>
            <w:pPr>
              <w:spacing w:after="0"/>
              <w:rPr>
                <w:sz w:val="18"/>
                <w:szCs w:val="18"/>
                <w:color w:val="auto"/>
              </w:rPr>
            </w:pPr>
          </w:p>
        </w:tc>
        <w:tc>
          <w:tcPr>
            <w:tcW w:w="310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1,620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w:t>
            </w:r>
          </w:p>
        </w:tc>
      </w:tr>
      <w:tr>
        <w:trPr>
          <w:trHeight w:val="210"/>
        </w:trPr>
        <w:tc>
          <w:tcPr>
            <w:tcW w:w="656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3100" w:type="dxa"/>
            <w:vAlign w:val="bottom"/>
            <w:tcBorders>
              <w:bottom w:val="single" w:sz="8" w:color="auto"/>
            </w:tcBorders>
            <w:shd w:val="clear" w:color="auto" w:fill="F7F7F7"/>
          </w:tcPr>
          <w:p>
            <w:pPr>
              <w:jc w:val="right"/>
              <w:ind w:right="839"/>
              <w:spacing w:after="0"/>
              <w:rPr>
                <w:sz w:val="20"/>
                <w:szCs w:val="20"/>
                <w:color w:val="auto"/>
              </w:rPr>
            </w:pPr>
            <w:r>
              <w:rPr>
                <w:rFonts w:ascii="Arial" w:cs="Arial" w:eastAsia="Arial" w:hAnsi="Arial"/>
                <w:sz w:val="16"/>
                <w:szCs w:val="16"/>
                <w:color w:val="auto"/>
              </w:rPr>
              <w:t>12,501</w:t>
            </w:r>
          </w:p>
        </w:tc>
        <w:tc>
          <w:tcPr>
            <w:tcW w:w="15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13,473</w:t>
            </w:r>
          </w:p>
        </w:tc>
      </w:tr>
      <w:tr>
        <w:trPr>
          <w:trHeight w:val="21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310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14,121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hanging="114"/>
        <w:spacing w:after="0"/>
        <w:tabs>
          <w:tab w:leader="none" w:pos="180" w:val="left"/>
        </w:tabs>
        <w:numPr>
          <w:ilvl w:val="0"/>
          <w:numId w:val="4"/>
        </w:numPr>
        <w:rPr>
          <w:rFonts w:ascii="Arial" w:cs="Arial" w:eastAsia="Arial" w:hAnsi="Arial"/>
          <w:sz w:val="7"/>
          <w:szCs w:val="7"/>
          <w:color w:val="6D6D6D"/>
        </w:rPr>
      </w:pPr>
      <w:r>
        <w:rPr>
          <w:rFonts w:ascii="Arial" w:cs="Arial" w:eastAsia="Arial" w:hAnsi="Arial"/>
          <w:sz w:val="11"/>
          <w:szCs w:val="11"/>
          <w:i w:val="1"/>
          <w:iCs w:val="1"/>
          <w:color w:val="6D6D6D"/>
        </w:rPr>
        <w:t xml:space="preserve">Long-term assets </w:t>
      </w:r>
      <w:r>
        <w:rPr>
          <w:rFonts w:ascii="Arial" w:cs="Arial" w:eastAsia="Arial" w:hAnsi="Arial"/>
          <w:sz w:val="11"/>
          <w:szCs w:val="11"/>
          <w:color w:val="6D6D6D"/>
        </w:rPr>
        <w:t>includes Property and equipment, net, Operating lease right-of-use assets, net, Intangible assets, net, and Other long-term assets.</w:t>
      </w:r>
    </w:p>
    <w:p>
      <w:pPr>
        <w:spacing w:after="0" w:line="170" w:lineRule="exact"/>
        <w:rPr>
          <w:rFonts w:ascii="Arial" w:cs="Arial" w:eastAsia="Arial" w:hAnsi="Arial"/>
          <w:sz w:val="7"/>
          <w:szCs w:val="7"/>
          <w:color w:val="6D6D6D"/>
        </w:rPr>
      </w:pPr>
    </w:p>
    <w:p>
      <w:pPr>
        <w:ind w:left="180" w:hanging="114"/>
        <w:spacing w:after="0"/>
        <w:tabs>
          <w:tab w:leader="none" w:pos="180" w:val="left"/>
        </w:tabs>
        <w:numPr>
          <w:ilvl w:val="0"/>
          <w:numId w:val="4"/>
        </w:numPr>
        <w:rPr>
          <w:rFonts w:ascii="Arial" w:cs="Arial" w:eastAsia="Arial" w:hAnsi="Arial"/>
          <w:sz w:val="7"/>
          <w:szCs w:val="7"/>
          <w:color w:val="6D6D6D"/>
        </w:rPr>
      </w:pPr>
      <w:r>
        <w:rPr>
          <w:rFonts w:ascii="Arial" w:cs="Arial" w:eastAsia="Arial" w:hAnsi="Arial"/>
          <w:sz w:val="11"/>
          <w:szCs w:val="11"/>
          <w:i w:val="1"/>
          <w:iCs w:val="1"/>
          <w:color w:val="6D6D6D"/>
        </w:rPr>
        <w:t xml:space="preserve">Other liabilities </w:t>
      </w:r>
      <w:r>
        <w:rPr>
          <w:rFonts w:ascii="Arial" w:cs="Arial" w:eastAsia="Arial" w:hAnsi="Arial"/>
          <w:sz w:val="11"/>
          <w:szCs w:val="11"/>
          <w:color w:val="6D6D6D"/>
        </w:rPr>
        <w:t>includes Accrued liabilities, Current and Long-term Deferred revenue, and Operating lease liabilities.</w:t>
      </w:r>
    </w:p>
    <w:p>
      <w:pPr>
        <w:spacing w:after="0" w:line="171" w:lineRule="exact"/>
        <w:rPr>
          <w:sz w:val="20"/>
          <w:szCs w:val="20"/>
          <w:color w:val="auto"/>
        </w:rPr>
      </w:pPr>
    </w:p>
    <w:p>
      <w:pPr>
        <w:ind w:left="60" w:right="120"/>
        <w:spacing w:after="0" w:line="285" w:lineRule="auto"/>
        <w:rPr>
          <w:sz w:val="20"/>
          <w:szCs w:val="20"/>
          <w:color w:val="auto"/>
        </w:rPr>
      </w:pPr>
      <w:r>
        <w:rPr>
          <w:rFonts w:ascii="Arial" w:cs="Arial" w:eastAsia="Arial" w:hAnsi="Arial"/>
          <w:sz w:val="11"/>
          <w:szCs w:val="11"/>
          <w:color w:val="6D6D6D"/>
        </w:rPr>
        <w:t xml:space="preserve">Note: More detailed Condensed Consolidated Balance Sheet and Notes to the Condensed Consolidated Financial Statements are available in the Quarterly Report on Form 10-Q filed concurrently with this press release with US and Canadian regulators and available on </w:t>
      </w:r>
      <w:r>
        <w:rPr>
          <w:rFonts w:ascii="Arial" w:cs="Arial" w:eastAsia="Arial" w:hAnsi="Arial"/>
          <w:sz w:val="11"/>
          <w:szCs w:val="11"/>
          <w:u w:val="single" w:color="auto"/>
          <w:color w:val="14896B"/>
        </w:rPr>
        <w:t>www.sec.gov</w:t>
      </w:r>
      <w:r>
        <w:rPr>
          <w:rFonts w:ascii="Arial" w:cs="Arial" w:eastAsia="Arial" w:hAnsi="Arial"/>
          <w:sz w:val="11"/>
          <w:szCs w:val="11"/>
          <w:color w:val="6D6D6D"/>
        </w:rPr>
        <w:t xml:space="preserve"> and </w:t>
      </w:r>
      <w:r>
        <w:rPr>
          <w:rFonts w:ascii="Arial" w:cs="Arial" w:eastAsia="Arial" w:hAnsi="Arial"/>
          <w:sz w:val="11"/>
          <w:szCs w:val="11"/>
          <w:u w:val="single" w:color="auto"/>
          <w:color w:val="14896B"/>
        </w:rPr>
        <w:t>www.sedarplus.ca</w:t>
      </w:r>
      <w:r>
        <w:rPr>
          <w:rFonts w:ascii="Arial" w:cs="Arial" w:eastAsia="Arial" w:hAnsi="Arial"/>
          <w:sz w:val="11"/>
          <w:szCs w:val="11"/>
          <w:color w:val="6D6D6D"/>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6"/>
          <w:szCs w:val="16"/>
          <w:color w:val="6D6D6D"/>
        </w:rPr>
        <w:t>4</w:t>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48715" cy="316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168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Shopify Inc. Condensed Consolidated Statements of Cash Flows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(In US $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60" w:type="dxa"/>
            <w:vAlign w:val="bottom"/>
          </w:tcPr>
          <w:p>
            <w:pPr>
              <w:spacing w:after="0"/>
              <w:rPr>
                <w:sz w:val="18"/>
                <w:szCs w:val="18"/>
                <w:color w:val="auto"/>
              </w:rPr>
            </w:pPr>
          </w:p>
        </w:tc>
        <w:tc>
          <w:tcPr>
            <w:tcW w:w="3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March 31, 2026</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March 31, 2025</w:t>
            </w:r>
          </w:p>
        </w:tc>
        <w:tc>
          <w:tcPr>
            <w:tcW w:w="0" w:type="dxa"/>
            <w:vAlign w:val="bottom"/>
          </w:tcPr>
          <w:p>
            <w:pPr>
              <w:spacing w:after="0"/>
              <w:rPr>
                <w:sz w:val="1"/>
                <w:szCs w:val="1"/>
                <w:color w:val="auto"/>
              </w:rPr>
            </w:pPr>
          </w:p>
        </w:tc>
      </w:tr>
      <w:tr>
        <w:trPr>
          <w:trHeight w:val="223"/>
        </w:trPr>
        <w:tc>
          <w:tcPr>
            <w:tcW w:w="6560" w:type="dxa"/>
            <w:vAlign w:val="bottom"/>
            <w:shd w:val="clear" w:color="auto" w:fill="F7F7F7"/>
          </w:tcPr>
          <w:p>
            <w:pPr>
              <w:ind w:left="120"/>
              <w:spacing w:after="0"/>
              <w:rPr>
                <w:sz w:val="20"/>
                <w:szCs w:val="20"/>
                <w:color w:val="auto"/>
              </w:rPr>
            </w:pPr>
            <w:r>
              <w:rPr>
                <w:rFonts w:ascii="Arial" w:cs="Arial" w:eastAsia="Arial" w:hAnsi="Arial"/>
                <w:sz w:val="18"/>
                <w:szCs w:val="18"/>
                <w:b w:val="1"/>
                <w:bCs w:val="1"/>
                <w:color w:val="auto"/>
              </w:rPr>
              <w:t>Cash flows from operating activities</w:t>
            </w:r>
          </w:p>
        </w:tc>
        <w:tc>
          <w:tcPr>
            <w:tcW w:w="3280" w:type="dxa"/>
            <w:vAlign w:val="bottom"/>
            <w:shd w:val="clear" w:color="auto" w:fill="F7F7F7"/>
          </w:tcPr>
          <w:p>
            <w:pPr>
              <w:spacing w:after="0"/>
              <w:rPr>
                <w:sz w:val="19"/>
                <w:szCs w:val="19"/>
                <w:color w:val="auto"/>
              </w:rPr>
            </w:pPr>
          </w:p>
        </w:tc>
        <w:tc>
          <w:tcPr>
            <w:tcW w:w="1400" w:type="dxa"/>
            <w:vAlign w:val="bottom"/>
            <w:shd w:val="clear" w:color="auto" w:fill="F7F7F7"/>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60" w:type="dxa"/>
            <w:vAlign w:val="bottom"/>
          </w:tcPr>
          <w:p>
            <w:pPr>
              <w:ind w:left="220"/>
              <w:spacing w:after="0"/>
              <w:rPr>
                <w:sz w:val="20"/>
                <w:szCs w:val="20"/>
                <w:color w:val="auto"/>
              </w:rPr>
            </w:pPr>
            <w:r>
              <w:rPr>
                <w:rFonts w:ascii="Arial" w:cs="Arial" w:eastAsia="Arial" w:hAnsi="Arial"/>
                <w:sz w:val="16"/>
                <w:szCs w:val="16"/>
                <w:color w:val="auto"/>
              </w:rPr>
              <w:t>Net loss for the period</w:t>
            </w:r>
          </w:p>
        </w:tc>
        <w:tc>
          <w:tcPr>
            <w:tcW w:w="3280" w:type="dxa"/>
            <w:vAlign w:val="bottom"/>
          </w:tcPr>
          <w:p>
            <w:pPr>
              <w:jc w:val="right"/>
              <w:ind w:right="1079"/>
              <w:spacing w:after="0"/>
              <w:rPr>
                <w:sz w:val="20"/>
                <w:szCs w:val="20"/>
                <w:color w:val="auto"/>
              </w:rPr>
            </w:pPr>
            <w:r>
              <w:rPr>
                <w:rFonts w:ascii="Arial" w:cs="Arial" w:eastAsia="Arial" w:hAnsi="Arial"/>
                <w:sz w:val="16"/>
                <w:szCs w:val="16"/>
                <w:color w:val="auto"/>
              </w:rPr>
              <w:t>(581)</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163"/>
        </w:trPr>
        <w:tc>
          <w:tcPr>
            <w:tcW w:w="6560" w:type="dxa"/>
            <w:vAlign w:val="bottom"/>
            <w:shd w:val="clear" w:color="auto" w:fill="F7F7F7"/>
          </w:tcPr>
          <w:p>
            <w:pPr>
              <w:ind w:left="240"/>
              <w:spacing w:after="0" w:line="163" w:lineRule="exact"/>
              <w:rPr>
                <w:sz w:val="20"/>
                <w:szCs w:val="20"/>
                <w:color w:val="auto"/>
              </w:rPr>
            </w:pPr>
            <w:r>
              <w:rPr>
                <w:rFonts w:ascii="Arial" w:cs="Arial" w:eastAsia="Arial" w:hAnsi="Arial"/>
                <w:sz w:val="16"/>
                <w:szCs w:val="16"/>
                <w:color w:val="auto"/>
              </w:rPr>
              <w:t>Adjustments to reconcile net loss to</w:t>
            </w:r>
          </w:p>
        </w:tc>
        <w:tc>
          <w:tcPr>
            <w:tcW w:w="3280" w:type="dxa"/>
            <w:vAlign w:val="bottom"/>
            <w:shd w:val="clear" w:color="auto" w:fill="F7F7F7"/>
          </w:tcPr>
          <w:p>
            <w:pPr>
              <w:spacing w:after="0"/>
              <w:rPr>
                <w:sz w:val="14"/>
                <w:szCs w:val="14"/>
                <w:color w:val="auto"/>
              </w:rPr>
            </w:pPr>
          </w:p>
        </w:tc>
        <w:tc>
          <w:tcPr>
            <w:tcW w:w="1400" w:type="dxa"/>
            <w:vAlign w:val="bottom"/>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F7F7F7"/>
          </w:tcPr>
          <w:p>
            <w:pPr>
              <w:ind w:left="240"/>
              <w:spacing w:after="0"/>
              <w:rPr>
                <w:sz w:val="20"/>
                <w:szCs w:val="20"/>
                <w:color w:val="auto"/>
              </w:rPr>
            </w:pPr>
            <w:r>
              <w:rPr>
                <w:rFonts w:ascii="Arial" w:cs="Arial" w:eastAsia="Arial" w:hAnsi="Arial"/>
                <w:sz w:val="16"/>
                <w:szCs w:val="16"/>
                <w:color w:val="auto"/>
              </w:rPr>
              <w:t>net cash provided by operating activities:</w:t>
            </w:r>
          </w:p>
        </w:tc>
        <w:tc>
          <w:tcPr>
            <w:tcW w:w="3280" w:type="dxa"/>
            <w:vAlign w:val="bottom"/>
            <w:shd w:val="clear" w:color="auto" w:fill="F7F7F7"/>
          </w:tcPr>
          <w:p>
            <w:pPr>
              <w:spacing w:after="0"/>
              <w:rPr>
                <w:sz w:val="18"/>
                <w:szCs w:val="18"/>
                <w:color w:val="auto"/>
              </w:rPr>
            </w:pPr>
          </w:p>
        </w:tc>
        <w:tc>
          <w:tcPr>
            <w:tcW w:w="1400" w:type="dxa"/>
            <w:vAlign w:val="bottom"/>
            <w:shd w:val="clear" w:color="auto" w:fill="F7F7F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tcPr>
          <w:p>
            <w:pPr>
              <w:ind w:left="560"/>
              <w:spacing w:after="0"/>
              <w:rPr>
                <w:sz w:val="20"/>
                <w:szCs w:val="20"/>
                <w:color w:val="auto"/>
              </w:rPr>
            </w:pPr>
            <w:r>
              <w:rPr>
                <w:rFonts w:ascii="Arial" w:cs="Arial" w:eastAsia="Arial" w:hAnsi="Arial"/>
                <w:sz w:val="16"/>
                <w:szCs w:val="16"/>
                <w:color w:val="auto"/>
              </w:rPr>
              <w:t>Amortization and depreciation</w:t>
            </w:r>
          </w:p>
        </w:tc>
        <w:tc>
          <w:tcPr>
            <w:tcW w:w="3280" w:type="dxa"/>
            <w:vAlign w:val="bottom"/>
          </w:tcPr>
          <w:p>
            <w:pPr>
              <w:jc w:val="right"/>
              <w:ind w:right="1079"/>
              <w:spacing w:after="0"/>
              <w:rPr>
                <w:sz w:val="20"/>
                <w:szCs w:val="20"/>
                <w:color w:val="auto"/>
              </w:rPr>
            </w:pPr>
            <w:r>
              <w:rPr>
                <w:rFonts w:ascii="Arial" w:cs="Arial" w:eastAsia="Arial" w:hAnsi="Arial"/>
                <w:sz w:val="16"/>
                <w:szCs w:val="16"/>
                <w:color w:val="auto"/>
              </w:rPr>
              <w:t>7</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6560" w:type="dxa"/>
            <w:vAlign w:val="bottom"/>
            <w:shd w:val="clear" w:color="auto" w:fill="F7F7F7"/>
          </w:tcPr>
          <w:p>
            <w:pPr>
              <w:ind w:left="560"/>
              <w:spacing w:after="0"/>
              <w:rPr>
                <w:sz w:val="20"/>
                <w:szCs w:val="20"/>
                <w:color w:val="auto"/>
              </w:rPr>
            </w:pPr>
            <w:r>
              <w:rPr>
                <w:rFonts w:ascii="Arial" w:cs="Arial" w:eastAsia="Arial" w:hAnsi="Arial"/>
                <w:sz w:val="16"/>
                <w:szCs w:val="16"/>
                <w:color w:val="auto"/>
              </w:rPr>
              <w:t>Stock-based compensation</w:t>
            </w:r>
          </w:p>
        </w:tc>
        <w:tc>
          <w:tcPr>
            <w:tcW w:w="3280" w:type="dxa"/>
            <w:vAlign w:val="bottom"/>
            <w:shd w:val="clear" w:color="auto" w:fill="F7F7F7"/>
          </w:tcPr>
          <w:p>
            <w:pPr>
              <w:jc w:val="right"/>
              <w:ind w:right="1079"/>
              <w:spacing w:after="0"/>
              <w:rPr>
                <w:sz w:val="20"/>
                <w:szCs w:val="20"/>
                <w:color w:val="auto"/>
              </w:rPr>
            </w:pPr>
            <w:r>
              <w:rPr>
                <w:rFonts w:ascii="Arial" w:cs="Arial" w:eastAsia="Arial" w:hAnsi="Arial"/>
                <w:sz w:val="16"/>
                <w:szCs w:val="16"/>
                <w:color w:val="auto"/>
              </w:rPr>
              <w:t>132</w:t>
            </w:r>
          </w:p>
        </w:tc>
        <w:tc>
          <w:tcPr>
            <w:tcW w:w="14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5"/>
        </w:trPr>
        <w:tc>
          <w:tcPr>
            <w:tcW w:w="6560" w:type="dxa"/>
            <w:vAlign w:val="bottom"/>
          </w:tcPr>
          <w:p>
            <w:pPr>
              <w:ind w:left="580"/>
              <w:spacing w:after="0"/>
              <w:rPr>
                <w:sz w:val="20"/>
                <w:szCs w:val="20"/>
                <w:color w:val="auto"/>
              </w:rPr>
            </w:pPr>
            <w:r>
              <w:rPr>
                <w:rFonts w:ascii="Arial" w:cs="Arial" w:eastAsia="Arial" w:hAnsi="Arial"/>
                <w:sz w:val="16"/>
                <w:szCs w:val="16"/>
                <w:color w:val="auto"/>
              </w:rPr>
              <w:t>Provision for transaction and loan losses</w:t>
            </w:r>
          </w:p>
        </w:tc>
        <w:tc>
          <w:tcPr>
            <w:tcW w:w="3280" w:type="dxa"/>
            <w:vAlign w:val="bottom"/>
          </w:tcPr>
          <w:p>
            <w:pPr>
              <w:jc w:val="right"/>
              <w:ind w:right="1079"/>
              <w:spacing w:after="0"/>
              <w:rPr>
                <w:sz w:val="20"/>
                <w:szCs w:val="20"/>
                <w:color w:val="auto"/>
              </w:rPr>
            </w:pPr>
            <w:r>
              <w:rPr>
                <w:rFonts w:ascii="Arial" w:cs="Arial" w:eastAsia="Arial" w:hAnsi="Arial"/>
                <w:sz w:val="16"/>
                <w:szCs w:val="16"/>
                <w:color w:val="auto"/>
              </w:rPr>
              <w:t>48</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7"/>
        </w:trPr>
        <w:tc>
          <w:tcPr>
            <w:tcW w:w="6560" w:type="dxa"/>
            <w:vAlign w:val="bottom"/>
            <w:shd w:val="clear" w:color="auto" w:fill="F7F7F7"/>
          </w:tcPr>
          <w:p>
            <w:pPr>
              <w:ind w:left="560"/>
              <w:spacing w:after="0"/>
              <w:rPr>
                <w:sz w:val="20"/>
                <w:szCs w:val="20"/>
                <w:color w:val="auto"/>
              </w:rPr>
            </w:pPr>
            <w:r>
              <w:rPr>
                <w:rFonts w:ascii="Arial" w:cs="Arial" w:eastAsia="Arial" w:hAnsi="Arial"/>
                <w:sz w:val="16"/>
                <w:szCs w:val="16"/>
                <w:color w:val="auto"/>
              </w:rPr>
              <w:t>Deferred income tax recovery</w:t>
            </w:r>
          </w:p>
        </w:tc>
        <w:tc>
          <w:tcPr>
            <w:tcW w:w="3280" w:type="dxa"/>
            <w:vAlign w:val="bottom"/>
            <w:shd w:val="clear" w:color="auto" w:fill="F7F7F7"/>
          </w:tcPr>
          <w:p>
            <w:pPr>
              <w:jc w:val="right"/>
              <w:ind w:right="1079"/>
              <w:spacing w:after="0"/>
              <w:rPr>
                <w:sz w:val="20"/>
                <w:szCs w:val="20"/>
                <w:color w:val="auto"/>
              </w:rPr>
            </w:pPr>
            <w:r>
              <w:rPr>
                <w:rFonts w:ascii="Arial" w:cs="Arial" w:eastAsia="Arial" w:hAnsi="Arial"/>
                <w:sz w:val="16"/>
                <w:szCs w:val="16"/>
                <w:color w:val="auto"/>
              </w:rPr>
              <w:t>(139)</w:t>
            </w:r>
          </w:p>
        </w:tc>
        <w:tc>
          <w:tcPr>
            <w:tcW w:w="14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5"/>
        </w:trPr>
        <w:tc>
          <w:tcPr>
            <w:tcW w:w="6560" w:type="dxa"/>
            <w:vAlign w:val="bottom"/>
          </w:tcPr>
          <w:p>
            <w:pPr>
              <w:ind w:left="560"/>
              <w:spacing w:after="0"/>
              <w:rPr>
                <w:sz w:val="20"/>
                <w:szCs w:val="20"/>
                <w:color w:val="auto"/>
              </w:rPr>
            </w:pPr>
            <w:r>
              <w:rPr>
                <w:rFonts w:ascii="Arial" w:cs="Arial" w:eastAsia="Arial" w:hAnsi="Arial"/>
                <w:sz w:val="16"/>
                <w:szCs w:val="16"/>
                <w:color w:val="auto"/>
              </w:rPr>
              <w:t>Revenue related to non-cash consideration</w:t>
            </w:r>
          </w:p>
        </w:tc>
        <w:tc>
          <w:tcPr>
            <w:tcW w:w="3280" w:type="dxa"/>
            <w:vAlign w:val="bottom"/>
          </w:tcPr>
          <w:p>
            <w:pPr>
              <w:jc w:val="right"/>
              <w:ind w:right="1079"/>
              <w:spacing w:after="0"/>
              <w:rPr>
                <w:sz w:val="20"/>
                <w:szCs w:val="20"/>
                <w:color w:val="auto"/>
              </w:rPr>
            </w:pPr>
            <w:r>
              <w:rPr>
                <w:rFonts w:ascii="Arial" w:cs="Arial" w:eastAsia="Arial" w:hAnsi="Arial"/>
                <w:sz w:val="16"/>
                <w:szCs w:val="16"/>
                <w:color w:val="auto"/>
              </w:rPr>
              <w:t>(12)</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6560" w:type="dxa"/>
            <w:vAlign w:val="bottom"/>
            <w:shd w:val="clear" w:color="auto" w:fill="F7F7F7"/>
          </w:tcPr>
          <w:p>
            <w:pPr>
              <w:ind w:left="580"/>
              <w:spacing w:after="0"/>
              <w:rPr>
                <w:sz w:val="20"/>
                <w:szCs w:val="20"/>
                <w:color w:val="auto"/>
              </w:rPr>
            </w:pPr>
            <w:r>
              <w:rPr>
                <w:rFonts w:ascii="Arial" w:cs="Arial" w:eastAsia="Arial" w:hAnsi="Arial"/>
                <w:sz w:val="16"/>
                <w:szCs w:val="16"/>
                <w:color w:val="auto"/>
              </w:rPr>
              <w:t>Net loss on equity and other investments</w:t>
            </w:r>
          </w:p>
        </w:tc>
        <w:tc>
          <w:tcPr>
            <w:tcW w:w="3280" w:type="dxa"/>
            <w:vAlign w:val="bottom"/>
            <w:shd w:val="clear" w:color="auto" w:fill="F7F7F7"/>
          </w:tcPr>
          <w:p>
            <w:pPr>
              <w:jc w:val="right"/>
              <w:ind w:right="1079"/>
              <w:spacing w:after="0"/>
              <w:rPr>
                <w:sz w:val="20"/>
                <w:szCs w:val="20"/>
                <w:color w:val="auto"/>
              </w:rPr>
            </w:pPr>
            <w:r>
              <w:rPr>
                <w:rFonts w:ascii="Arial" w:cs="Arial" w:eastAsia="Arial" w:hAnsi="Arial"/>
                <w:sz w:val="16"/>
                <w:szCs w:val="16"/>
                <w:color w:val="auto"/>
              </w:rPr>
              <w:t>1,061</w:t>
            </w:r>
          </w:p>
        </w:tc>
        <w:tc>
          <w:tcPr>
            <w:tcW w:w="14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215"/>
        </w:trPr>
        <w:tc>
          <w:tcPr>
            <w:tcW w:w="6560" w:type="dxa"/>
            <w:vAlign w:val="bottom"/>
          </w:tcPr>
          <w:p>
            <w:pPr>
              <w:ind w:left="560"/>
              <w:spacing w:after="0"/>
              <w:rPr>
                <w:sz w:val="20"/>
                <w:szCs w:val="20"/>
                <w:color w:val="auto"/>
              </w:rPr>
            </w:pPr>
            <w:r>
              <w:rPr>
                <w:rFonts w:ascii="Arial" w:cs="Arial" w:eastAsia="Arial" w:hAnsi="Arial"/>
                <w:sz w:val="16"/>
                <w:szCs w:val="16"/>
                <w:color w:val="auto"/>
              </w:rPr>
              <w:t>Net loss on equity method investment</w:t>
            </w:r>
          </w:p>
        </w:tc>
        <w:tc>
          <w:tcPr>
            <w:tcW w:w="3280" w:type="dxa"/>
            <w:vAlign w:val="bottom"/>
          </w:tcPr>
          <w:p>
            <w:pPr>
              <w:jc w:val="right"/>
              <w:ind w:right="1079"/>
              <w:spacing w:after="0"/>
              <w:rPr>
                <w:sz w:val="20"/>
                <w:szCs w:val="20"/>
                <w:color w:val="auto"/>
              </w:rPr>
            </w:pPr>
            <w:r>
              <w:rPr>
                <w:rFonts w:ascii="Arial" w:cs="Arial" w:eastAsia="Arial" w:hAnsi="Arial"/>
                <w:sz w:val="16"/>
                <w:szCs w:val="16"/>
                <w:color w:val="auto"/>
              </w:rPr>
              <w:t>21</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7"/>
        </w:trPr>
        <w:tc>
          <w:tcPr>
            <w:tcW w:w="6560" w:type="dxa"/>
            <w:vAlign w:val="bottom"/>
            <w:shd w:val="clear" w:color="auto" w:fill="F7F7F7"/>
          </w:tcPr>
          <w:p>
            <w:pPr>
              <w:ind w:left="560"/>
              <w:spacing w:after="0"/>
              <w:rPr>
                <w:sz w:val="20"/>
                <w:szCs w:val="20"/>
                <w:color w:val="auto"/>
              </w:rPr>
            </w:pPr>
            <w:r>
              <w:rPr>
                <w:rFonts w:ascii="Arial" w:cs="Arial" w:eastAsia="Arial" w:hAnsi="Arial"/>
                <w:sz w:val="16"/>
                <w:szCs w:val="16"/>
                <w:color w:val="auto"/>
              </w:rPr>
              <w:t>Unrealized foreign exchange loss (gain)</w:t>
            </w:r>
          </w:p>
        </w:tc>
        <w:tc>
          <w:tcPr>
            <w:tcW w:w="3280" w:type="dxa"/>
            <w:vAlign w:val="bottom"/>
            <w:shd w:val="clear" w:color="auto" w:fill="F7F7F7"/>
          </w:tcPr>
          <w:p>
            <w:pPr>
              <w:jc w:val="right"/>
              <w:ind w:right="1079"/>
              <w:spacing w:after="0"/>
              <w:rPr>
                <w:sz w:val="20"/>
                <w:szCs w:val="20"/>
                <w:color w:val="auto"/>
              </w:rPr>
            </w:pPr>
            <w:r>
              <w:rPr>
                <w:rFonts w:ascii="Arial" w:cs="Arial" w:eastAsia="Arial" w:hAnsi="Arial"/>
                <w:sz w:val="16"/>
                <w:szCs w:val="16"/>
                <w:color w:val="auto"/>
              </w:rPr>
              <w:t>14</w:t>
            </w:r>
          </w:p>
        </w:tc>
        <w:tc>
          <w:tcPr>
            <w:tcW w:w="14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6560" w:type="dxa"/>
            <w:vAlign w:val="bottom"/>
            <w:tcBorders>
              <w:bottom w:val="single" w:sz="8" w:color="F7F7F7"/>
            </w:tcBorders>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28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color w:val="auto"/>
              </w:rPr>
              <w:t>(70)</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auto"/>
            </w:tcBorders>
            <w:shd w:val="clear" w:color="auto" w:fill="F7F7F7"/>
          </w:tcPr>
          <w:p>
            <w:pPr>
              <w:ind w:left="240"/>
              <w:spacing w:after="0"/>
              <w:rPr>
                <w:sz w:val="20"/>
                <w:szCs w:val="20"/>
                <w:color w:val="auto"/>
              </w:rPr>
            </w:pPr>
            <w:r>
              <w:rPr>
                <w:rFonts w:ascii="Arial" w:cs="Arial" w:eastAsia="Arial" w:hAnsi="Arial"/>
                <w:sz w:val="16"/>
                <w:szCs w:val="16"/>
                <w:b w:val="1"/>
                <w:bCs w:val="1"/>
                <w:color w:val="auto"/>
              </w:rPr>
              <w:t>Net cash provided by operating activities</w:t>
            </w:r>
          </w:p>
        </w:tc>
        <w:tc>
          <w:tcPr>
            <w:tcW w:w="3280" w:type="dxa"/>
            <w:vAlign w:val="bottom"/>
            <w:tcBorders>
              <w:bottom w:val="single" w:sz="8" w:color="auto"/>
            </w:tcBorders>
            <w:shd w:val="clear" w:color="auto" w:fill="F7F7F7"/>
          </w:tcPr>
          <w:p>
            <w:pPr>
              <w:jc w:val="right"/>
              <w:ind w:right="1079"/>
              <w:spacing w:after="0"/>
              <w:rPr>
                <w:sz w:val="20"/>
                <w:szCs w:val="20"/>
                <w:color w:val="auto"/>
              </w:rPr>
            </w:pPr>
            <w:r>
              <w:rPr>
                <w:rFonts w:ascii="Arial" w:cs="Arial" w:eastAsia="Arial" w:hAnsi="Arial"/>
                <w:sz w:val="16"/>
                <w:szCs w:val="16"/>
                <w:b w:val="1"/>
                <w:bCs w:val="1"/>
                <w:color w:val="auto"/>
              </w:rPr>
              <w:t>481</w:t>
            </w:r>
          </w:p>
        </w:tc>
        <w:tc>
          <w:tcPr>
            <w:tcW w:w="140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b w:val="1"/>
                <w:bCs w:val="1"/>
                <w:color w:val="auto"/>
              </w:rPr>
              <w:t>367</w:t>
            </w:r>
          </w:p>
        </w:tc>
        <w:tc>
          <w:tcPr>
            <w:tcW w:w="0" w:type="dxa"/>
            <w:vAlign w:val="bottom"/>
          </w:tcPr>
          <w:p>
            <w:pPr>
              <w:spacing w:after="0"/>
              <w:rPr>
                <w:sz w:val="1"/>
                <w:szCs w:val="1"/>
                <w:color w:val="auto"/>
              </w:rPr>
            </w:pPr>
          </w:p>
        </w:tc>
      </w:tr>
      <w:tr>
        <w:trPr>
          <w:trHeight w:val="223"/>
        </w:trPr>
        <w:tc>
          <w:tcPr>
            <w:tcW w:w="6560" w:type="dxa"/>
            <w:vAlign w:val="bottom"/>
          </w:tcPr>
          <w:p>
            <w:pPr>
              <w:ind w:left="120"/>
              <w:spacing w:after="0"/>
              <w:rPr>
                <w:sz w:val="20"/>
                <w:szCs w:val="20"/>
                <w:color w:val="auto"/>
              </w:rPr>
            </w:pPr>
            <w:r>
              <w:rPr>
                <w:rFonts w:ascii="Arial" w:cs="Arial" w:eastAsia="Arial" w:hAnsi="Arial"/>
                <w:sz w:val="18"/>
                <w:szCs w:val="18"/>
                <w:b w:val="1"/>
                <w:bCs w:val="1"/>
                <w:color w:val="auto"/>
              </w:rPr>
              <w:t>Cash flows from investing activities</w:t>
            </w:r>
          </w:p>
        </w:tc>
        <w:tc>
          <w:tcPr>
            <w:tcW w:w="3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F7F7F7"/>
          </w:tcPr>
          <w:p>
            <w:pPr>
              <w:ind w:left="240"/>
              <w:spacing w:after="0"/>
              <w:rPr>
                <w:sz w:val="20"/>
                <w:szCs w:val="20"/>
                <w:color w:val="auto"/>
              </w:rPr>
            </w:pPr>
            <w:r>
              <w:rPr>
                <w:rFonts w:ascii="Arial" w:cs="Arial" w:eastAsia="Arial" w:hAnsi="Arial"/>
                <w:sz w:val="16"/>
                <w:szCs w:val="16"/>
                <w:color w:val="auto"/>
              </w:rPr>
              <w:t>Purchases of property and equipment</w:t>
            </w:r>
          </w:p>
        </w:tc>
        <w:tc>
          <w:tcPr>
            <w:tcW w:w="3280" w:type="dxa"/>
            <w:vAlign w:val="bottom"/>
            <w:shd w:val="clear" w:color="auto" w:fill="F7F7F7"/>
          </w:tcPr>
          <w:p>
            <w:pPr>
              <w:jc w:val="right"/>
              <w:ind w:right="1079"/>
              <w:spacing w:after="0"/>
              <w:rPr>
                <w:sz w:val="20"/>
                <w:szCs w:val="20"/>
                <w:color w:val="auto"/>
              </w:rPr>
            </w:pPr>
            <w:r>
              <w:rPr>
                <w:rFonts w:ascii="Arial" w:cs="Arial" w:eastAsia="Arial" w:hAnsi="Arial"/>
                <w:sz w:val="16"/>
                <w:szCs w:val="16"/>
                <w:color w:val="auto"/>
              </w:rPr>
              <w:t>(5)</w:t>
            </w:r>
          </w:p>
        </w:tc>
        <w:tc>
          <w:tcPr>
            <w:tcW w:w="14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6560" w:type="dxa"/>
            <w:vAlign w:val="bottom"/>
          </w:tcPr>
          <w:p>
            <w:pPr>
              <w:ind w:left="240"/>
              <w:spacing w:after="0"/>
              <w:rPr>
                <w:sz w:val="20"/>
                <w:szCs w:val="20"/>
                <w:color w:val="auto"/>
              </w:rPr>
            </w:pPr>
            <w:r>
              <w:rPr>
                <w:rFonts w:ascii="Arial" w:cs="Arial" w:eastAsia="Arial" w:hAnsi="Arial"/>
                <w:sz w:val="16"/>
                <w:szCs w:val="16"/>
                <w:color w:val="auto"/>
              </w:rPr>
              <w:t>Purchases of marketable securities</w:t>
            </w:r>
          </w:p>
        </w:tc>
        <w:tc>
          <w:tcPr>
            <w:tcW w:w="3280" w:type="dxa"/>
            <w:vAlign w:val="bottom"/>
          </w:tcPr>
          <w:p>
            <w:pPr>
              <w:jc w:val="right"/>
              <w:ind w:right="1079"/>
              <w:spacing w:after="0"/>
              <w:rPr>
                <w:sz w:val="20"/>
                <w:szCs w:val="20"/>
                <w:color w:val="auto"/>
              </w:rPr>
            </w:pPr>
            <w:r>
              <w:rPr>
                <w:rFonts w:ascii="Arial" w:cs="Arial" w:eastAsia="Arial" w:hAnsi="Arial"/>
                <w:sz w:val="16"/>
                <w:szCs w:val="16"/>
                <w:color w:val="auto"/>
              </w:rPr>
              <w:t>(843)</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17"/>
        </w:trPr>
        <w:tc>
          <w:tcPr>
            <w:tcW w:w="6560" w:type="dxa"/>
            <w:vAlign w:val="bottom"/>
            <w:shd w:val="clear" w:color="auto" w:fill="F7F7F7"/>
          </w:tcPr>
          <w:p>
            <w:pPr>
              <w:ind w:left="240"/>
              <w:spacing w:after="0"/>
              <w:rPr>
                <w:sz w:val="20"/>
                <w:szCs w:val="20"/>
                <w:color w:val="auto"/>
              </w:rPr>
            </w:pPr>
            <w:r>
              <w:rPr>
                <w:rFonts w:ascii="Arial" w:cs="Arial" w:eastAsia="Arial" w:hAnsi="Arial"/>
                <w:sz w:val="16"/>
                <w:szCs w:val="16"/>
                <w:color w:val="auto"/>
              </w:rPr>
              <w:t>Maturities of marketable securities</w:t>
            </w:r>
          </w:p>
        </w:tc>
        <w:tc>
          <w:tcPr>
            <w:tcW w:w="3280" w:type="dxa"/>
            <w:vAlign w:val="bottom"/>
            <w:shd w:val="clear" w:color="auto" w:fill="F7F7F7"/>
          </w:tcPr>
          <w:p>
            <w:pPr>
              <w:jc w:val="right"/>
              <w:ind w:right="1079"/>
              <w:spacing w:after="0"/>
              <w:rPr>
                <w:sz w:val="20"/>
                <w:szCs w:val="20"/>
                <w:color w:val="auto"/>
              </w:rPr>
            </w:pPr>
            <w:r>
              <w:rPr>
                <w:rFonts w:ascii="Arial" w:cs="Arial" w:eastAsia="Arial" w:hAnsi="Arial"/>
                <w:sz w:val="16"/>
                <w:szCs w:val="16"/>
                <w:color w:val="auto"/>
              </w:rPr>
              <w:t>1,463</w:t>
            </w:r>
          </w:p>
        </w:tc>
        <w:tc>
          <w:tcPr>
            <w:tcW w:w="14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15"/>
        </w:trPr>
        <w:tc>
          <w:tcPr>
            <w:tcW w:w="6560" w:type="dxa"/>
            <w:vAlign w:val="bottom"/>
          </w:tcPr>
          <w:p>
            <w:pPr>
              <w:ind w:left="240"/>
              <w:spacing w:after="0"/>
              <w:rPr>
                <w:sz w:val="20"/>
                <w:szCs w:val="20"/>
                <w:color w:val="auto"/>
              </w:rPr>
            </w:pPr>
            <w:r>
              <w:rPr>
                <w:rFonts w:ascii="Arial" w:cs="Arial" w:eastAsia="Arial" w:hAnsi="Arial"/>
                <w:sz w:val="16"/>
                <w:szCs w:val="16"/>
                <w:color w:val="auto"/>
              </w:rPr>
              <w:t>Purchases and originations of loans</w:t>
            </w:r>
          </w:p>
        </w:tc>
        <w:tc>
          <w:tcPr>
            <w:tcW w:w="3280" w:type="dxa"/>
            <w:vAlign w:val="bottom"/>
          </w:tcPr>
          <w:p>
            <w:pPr>
              <w:jc w:val="right"/>
              <w:ind w:right="1079"/>
              <w:spacing w:after="0"/>
              <w:rPr>
                <w:sz w:val="20"/>
                <w:szCs w:val="20"/>
                <w:color w:val="auto"/>
              </w:rPr>
            </w:pPr>
            <w:r>
              <w:rPr>
                <w:rFonts w:ascii="Arial" w:cs="Arial" w:eastAsia="Arial" w:hAnsi="Arial"/>
                <w:sz w:val="16"/>
                <w:szCs w:val="16"/>
                <w:color w:val="auto"/>
              </w:rPr>
              <w:t>(1,349)</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217"/>
        </w:trPr>
        <w:tc>
          <w:tcPr>
            <w:tcW w:w="6560" w:type="dxa"/>
            <w:vAlign w:val="bottom"/>
            <w:shd w:val="clear" w:color="auto" w:fill="F7F7F7"/>
          </w:tcPr>
          <w:p>
            <w:pPr>
              <w:ind w:left="240"/>
              <w:spacing w:after="0"/>
              <w:rPr>
                <w:sz w:val="20"/>
                <w:szCs w:val="20"/>
                <w:color w:val="auto"/>
              </w:rPr>
            </w:pPr>
            <w:r>
              <w:rPr>
                <w:rFonts w:ascii="Arial" w:cs="Arial" w:eastAsia="Arial" w:hAnsi="Arial"/>
                <w:sz w:val="16"/>
                <w:szCs w:val="16"/>
                <w:color w:val="auto"/>
              </w:rPr>
              <w:t>Repayments and sales of loans</w:t>
            </w:r>
          </w:p>
        </w:tc>
        <w:tc>
          <w:tcPr>
            <w:tcW w:w="3280" w:type="dxa"/>
            <w:vAlign w:val="bottom"/>
            <w:shd w:val="clear" w:color="auto" w:fill="F7F7F7"/>
          </w:tcPr>
          <w:p>
            <w:pPr>
              <w:jc w:val="right"/>
              <w:ind w:right="1079"/>
              <w:spacing w:after="0"/>
              <w:rPr>
                <w:sz w:val="20"/>
                <w:szCs w:val="20"/>
                <w:color w:val="auto"/>
              </w:rPr>
            </w:pPr>
            <w:r>
              <w:rPr>
                <w:rFonts w:ascii="Arial" w:cs="Arial" w:eastAsia="Arial" w:hAnsi="Arial"/>
                <w:sz w:val="16"/>
                <w:szCs w:val="16"/>
                <w:color w:val="auto"/>
              </w:rPr>
              <w:t>1,043</w:t>
            </w:r>
          </w:p>
        </w:tc>
        <w:tc>
          <w:tcPr>
            <w:tcW w:w="14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15"/>
        </w:trPr>
        <w:tc>
          <w:tcPr>
            <w:tcW w:w="6560" w:type="dxa"/>
            <w:vAlign w:val="bottom"/>
          </w:tcPr>
          <w:p>
            <w:pPr>
              <w:ind w:left="240"/>
              <w:spacing w:after="0"/>
              <w:rPr>
                <w:sz w:val="20"/>
                <w:szCs w:val="20"/>
                <w:color w:val="auto"/>
              </w:rPr>
            </w:pPr>
            <w:r>
              <w:rPr>
                <w:rFonts w:ascii="Arial" w:cs="Arial" w:eastAsia="Arial" w:hAnsi="Arial"/>
                <w:sz w:val="16"/>
                <w:szCs w:val="16"/>
                <w:color w:val="auto"/>
              </w:rPr>
              <w:t>Purchases of equity and other investments</w:t>
            </w:r>
          </w:p>
        </w:tc>
        <w:tc>
          <w:tcPr>
            <w:tcW w:w="3280" w:type="dxa"/>
            <w:vAlign w:val="bottom"/>
          </w:tcPr>
          <w:p>
            <w:pPr>
              <w:jc w:val="right"/>
              <w:ind w:right="1079"/>
              <w:spacing w:after="0"/>
              <w:rPr>
                <w:sz w:val="20"/>
                <w:szCs w:val="20"/>
                <w:color w:val="auto"/>
              </w:rPr>
            </w:pPr>
            <w:r>
              <w:rPr>
                <w:rFonts w:ascii="Arial" w:cs="Arial" w:eastAsia="Arial" w:hAnsi="Arial"/>
                <w:sz w:val="16"/>
                <w:szCs w:val="16"/>
                <w:color w:val="auto"/>
              </w:rPr>
              <w:t>(1)</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6560" w:type="dxa"/>
            <w:vAlign w:val="bottom"/>
            <w:shd w:val="clear" w:color="auto" w:fill="F7F7F7"/>
          </w:tcPr>
          <w:p>
            <w:pPr>
              <w:ind w:left="240"/>
              <w:spacing w:after="0"/>
              <w:rPr>
                <w:sz w:val="20"/>
                <w:szCs w:val="20"/>
                <w:color w:val="auto"/>
              </w:rPr>
            </w:pPr>
            <w:r>
              <w:rPr>
                <w:rFonts w:ascii="Arial" w:cs="Arial" w:eastAsia="Arial" w:hAnsi="Arial"/>
                <w:sz w:val="16"/>
                <w:szCs w:val="16"/>
                <w:color w:val="auto"/>
              </w:rPr>
              <w:t>Acquisition of businesses, net of cash acquired</w:t>
            </w:r>
          </w:p>
        </w:tc>
        <w:tc>
          <w:tcPr>
            <w:tcW w:w="3280" w:type="dxa"/>
            <w:vAlign w:val="bottom"/>
            <w:shd w:val="clear" w:color="auto" w:fill="F7F7F7"/>
          </w:tcPr>
          <w:p>
            <w:pPr>
              <w:jc w:val="right"/>
              <w:ind w:right="10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5"/>
        </w:trPr>
        <w:tc>
          <w:tcPr>
            <w:tcW w:w="6560" w:type="dxa"/>
            <w:vAlign w:val="bottom"/>
            <w:tcBorders>
              <w:bottom w:val="single" w:sz="8" w:color="F7F7F7"/>
            </w:tcBorders>
          </w:tcPr>
          <w:p>
            <w:pPr>
              <w:ind w:left="240"/>
              <w:spacing w:after="0"/>
              <w:rPr>
                <w:sz w:val="20"/>
                <w:szCs w:val="20"/>
                <w:color w:val="auto"/>
              </w:rPr>
            </w:pPr>
            <w:r>
              <w:rPr>
                <w:rFonts w:ascii="Arial" w:cs="Arial" w:eastAsia="Arial" w:hAnsi="Arial"/>
                <w:sz w:val="16"/>
                <w:szCs w:val="16"/>
                <w:color w:val="auto"/>
              </w:rPr>
              <w:t>Other</w:t>
            </w:r>
          </w:p>
        </w:tc>
        <w:tc>
          <w:tcPr>
            <w:tcW w:w="328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color w:val="auto"/>
              </w:rPr>
              <w:t>2</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auto"/>
            </w:tcBorders>
            <w:shd w:val="clear" w:color="auto" w:fill="F7F7F7"/>
          </w:tcPr>
          <w:p>
            <w:pPr>
              <w:ind w:left="24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3280" w:type="dxa"/>
            <w:vAlign w:val="bottom"/>
            <w:tcBorders>
              <w:bottom w:val="single" w:sz="8" w:color="auto"/>
            </w:tcBorders>
            <w:shd w:val="clear" w:color="auto" w:fill="F7F7F7"/>
          </w:tcPr>
          <w:p>
            <w:pPr>
              <w:jc w:val="right"/>
              <w:ind w:right="1079"/>
              <w:spacing w:after="0"/>
              <w:rPr>
                <w:sz w:val="20"/>
                <w:szCs w:val="20"/>
                <w:color w:val="auto"/>
              </w:rPr>
            </w:pPr>
            <w:r>
              <w:rPr>
                <w:rFonts w:ascii="Arial" w:cs="Arial" w:eastAsia="Arial" w:hAnsi="Arial"/>
                <w:sz w:val="16"/>
                <w:szCs w:val="16"/>
                <w:b w:val="1"/>
                <w:bCs w:val="1"/>
                <w:color w:val="auto"/>
              </w:rPr>
              <w:t>310</w:t>
            </w:r>
          </w:p>
        </w:tc>
        <w:tc>
          <w:tcPr>
            <w:tcW w:w="140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b w:val="1"/>
                <w:bCs w:val="1"/>
                <w:color w:val="auto"/>
              </w:rPr>
              <w:t>(619)</w:t>
            </w:r>
          </w:p>
        </w:tc>
        <w:tc>
          <w:tcPr>
            <w:tcW w:w="0" w:type="dxa"/>
            <w:vAlign w:val="bottom"/>
          </w:tcPr>
          <w:p>
            <w:pPr>
              <w:spacing w:after="0"/>
              <w:rPr>
                <w:sz w:val="1"/>
                <w:szCs w:val="1"/>
                <w:color w:val="auto"/>
              </w:rPr>
            </w:pPr>
          </w:p>
        </w:tc>
      </w:tr>
      <w:tr>
        <w:trPr>
          <w:trHeight w:val="223"/>
        </w:trPr>
        <w:tc>
          <w:tcPr>
            <w:tcW w:w="6560" w:type="dxa"/>
            <w:vAlign w:val="bottom"/>
          </w:tcPr>
          <w:p>
            <w:pPr>
              <w:ind w:left="120"/>
              <w:spacing w:after="0"/>
              <w:rPr>
                <w:sz w:val="20"/>
                <w:szCs w:val="20"/>
                <w:color w:val="auto"/>
              </w:rPr>
            </w:pPr>
            <w:r>
              <w:rPr>
                <w:rFonts w:ascii="Arial" w:cs="Arial" w:eastAsia="Arial" w:hAnsi="Arial"/>
                <w:sz w:val="18"/>
                <w:szCs w:val="18"/>
                <w:b w:val="1"/>
                <w:bCs w:val="1"/>
                <w:color w:val="auto"/>
              </w:rPr>
              <w:t>Cash flows from financing activities</w:t>
            </w:r>
          </w:p>
        </w:tc>
        <w:tc>
          <w:tcPr>
            <w:tcW w:w="3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F7F7F7"/>
          </w:tcPr>
          <w:p>
            <w:pPr>
              <w:ind w:left="240"/>
              <w:spacing w:after="0"/>
              <w:rPr>
                <w:sz w:val="20"/>
                <w:szCs w:val="20"/>
                <w:color w:val="auto"/>
              </w:rPr>
            </w:pPr>
            <w:r>
              <w:rPr>
                <w:rFonts w:ascii="Arial" w:cs="Arial" w:eastAsia="Arial" w:hAnsi="Arial"/>
                <w:sz w:val="16"/>
                <w:szCs w:val="16"/>
                <w:color w:val="auto"/>
              </w:rPr>
              <w:t>Proceeds from the exercise of stock options</w:t>
            </w:r>
          </w:p>
        </w:tc>
        <w:tc>
          <w:tcPr>
            <w:tcW w:w="3280" w:type="dxa"/>
            <w:vAlign w:val="bottom"/>
            <w:shd w:val="clear" w:color="auto" w:fill="F7F7F7"/>
          </w:tcPr>
          <w:p>
            <w:pPr>
              <w:jc w:val="right"/>
              <w:ind w:right="1079"/>
              <w:spacing w:after="0"/>
              <w:rPr>
                <w:sz w:val="20"/>
                <w:szCs w:val="20"/>
                <w:color w:val="auto"/>
              </w:rPr>
            </w:pPr>
            <w:r>
              <w:rPr>
                <w:rFonts w:ascii="Arial" w:cs="Arial" w:eastAsia="Arial" w:hAnsi="Arial"/>
                <w:sz w:val="16"/>
                <w:szCs w:val="16"/>
                <w:color w:val="auto"/>
              </w:rPr>
              <w:t>6</w:t>
            </w:r>
          </w:p>
        </w:tc>
        <w:tc>
          <w:tcPr>
            <w:tcW w:w="14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5"/>
        </w:trPr>
        <w:tc>
          <w:tcPr>
            <w:tcW w:w="6560" w:type="dxa"/>
            <w:vAlign w:val="bottom"/>
            <w:tcBorders>
              <w:bottom w:val="single" w:sz="8" w:color="F7F7F7"/>
            </w:tcBorders>
          </w:tcPr>
          <w:p>
            <w:pPr>
              <w:ind w:left="240"/>
              <w:spacing w:after="0"/>
              <w:rPr>
                <w:sz w:val="20"/>
                <w:szCs w:val="20"/>
                <w:color w:val="auto"/>
              </w:rPr>
            </w:pPr>
            <w:r>
              <w:rPr>
                <w:rFonts w:ascii="Arial" w:cs="Arial" w:eastAsia="Arial" w:hAnsi="Arial"/>
                <w:sz w:val="16"/>
                <w:szCs w:val="16"/>
                <w:color w:val="auto"/>
              </w:rPr>
              <w:t>Repurchases of common stock</w:t>
            </w:r>
          </w:p>
        </w:tc>
        <w:tc>
          <w:tcPr>
            <w:tcW w:w="328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color w:val="auto"/>
              </w:rPr>
              <w:t>(491)</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auto"/>
            </w:tcBorders>
            <w:shd w:val="clear" w:color="auto" w:fill="F7F7F7"/>
          </w:tcPr>
          <w:p>
            <w:pPr>
              <w:ind w:left="24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3280" w:type="dxa"/>
            <w:vAlign w:val="bottom"/>
            <w:tcBorders>
              <w:bottom w:val="single" w:sz="8" w:color="auto"/>
            </w:tcBorders>
            <w:shd w:val="clear" w:color="auto" w:fill="F7F7F7"/>
          </w:tcPr>
          <w:p>
            <w:pPr>
              <w:jc w:val="right"/>
              <w:ind w:right="1079"/>
              <w:spacing w:after="0"/>
              <w:rPr>
                <w:sz w:val="20"/>
                <w:szCs w:val="20"/>
                <w:color w:val="auto"/>
              </w:rPr>
            </w:pPr>
            <w:r>
              <w:rPr>
                <w:rFonts w:ascii="Arial" w:cs="Arial" w:eastAsia="Arial" w:hAnsi="Arial"/>
                <w:sz w:val="16"/>
                <w:szCs w:val="16"/>
                <w:b w:val="1"/>
                <w:bCs w:val="1"/>
                <w:color w:val="auto"/>
              </w:rPr>
              <w:t>(485)</w:t>
            </w:r>
          </w:p>
        </w:tc>
        <w:tc>
          <w:tcPr>
            <w:tcW w:w="1400" w:type="dxa"/>
            <w:vAlign w:val="bottom"/>
            <w:tcBorders>
              <w:bottom w:val="single" w:sz="8" w:color="auto"/>
            </w:tcBorders>
            <w:shd w:val="clear" w:color="auto" w:fill="F7F7F7"/>
          </w:tcPr>
          <w:p>
            <w:pPr>
              <w:jc w:val="right"/>
              <w:ind w:right="59"/>
              <w:spacing w:after="0"/>
              <w:rPr>
                <w:sz w:val="20"/>
                <w:szCs w:val="20"/>
                <w:color w:val="auto"/>
              </w:rPr>
            </w:pPr>
            <w:r>
              <w:rPr>
                <w:rFonts w:ascii="Arial" w:cs="Arial" w:eastAsia="Arial" w:hAnsi="Arial"/>
                <w:sz w:val="16"/>
                <w:szCs w:val="16"/>
                <w:b w:val="1"/>
                <w:bCs w:val="1"/>
                <w:color w:val="auto"/>
              </w:rPr>
              <w:t>59</w:t>
            </w:r>
          </w:p>
        </w:tc>
        <w:tc>
          <w:tcPr>
            <w:tcW w:w="0" w:type="dxa"/>
            <w:vAlign w:val="bottom"/>
          </w:tcPr>
          <w:p>
            <w:pPr>
              <w:spacing w:after="0"/>
              <w:rPr>
                <w:sz w:val="1"/>
                <w:szCs w:val="1"/>
                <w:color w:val="auto"/>
              </w:rPr>
            </w:pPr>
          </w:p>
        </w:tc>
      </w:tr>
      <w:tr>
        <w:trPr>
          <w:trHeight w:val="155"/>
        </w:trPr>
        <w:tc>
          <w:tcPr>
            <w:tcW w:w="6560" w:type="dxa"/>
            <w:vAlign w:val="bottom"/>
          </w:tcPr>
          <w:p>
            <w:pPr>
              <w:ind w:left="120"/>
              <w:spacing w:after="0" w:line="155" w:lineRule="exact"/>
              <w:rPr>
                <w:sz w:val="20"/>
                <w:szCs w:val="20"/>
                <w:color w:val="auto"/>
              </w:rPr>
            </w:pPr>
            <w:r>
              <w:rPr>
                <w:rFonts w:ascii="Arial" w:cs="Arial" w:eastAsia="Arial" w:hAnsi="Arial"/>
                <w:sz w:val="16"/>
                <w:szCs w:val="16"/>
                <w:color w:val="auto"/>
              </w:rPr>
              <w:t>Effect of foreign exchange on cash,</w:t>
            </w:r>
          </w:p>
        </w:tc>
        <w:tc>
          <w:tcPr>
            <w:tcW w:w="3280" w:type="dxa"/>
            <w:vAlign w:val="bottom"/>
            <w:vMerge w:val="restart"/>
          </w:tcPr>
          <w:p>
            <w:pPr>
              <w:jc w:val="right"/>
              <w:ind w:right="1079"/>
              <w:spacing w:after="0"/>
              <w:rPr>
                <w:sz w:val="20"/>
                <w:szCs w:val="20"/>
                <w:color w:val="auto"/>
              </w:rPr>
            </w:pPr>
            <w:r>
              <w:rPr>
                <w:rFonts w:ascii="Arial" w:cs="Arial" w:eastAsia="Arial" w:hAnsi="Arial"/>
                <w:sz w:val="16"/>
                <w:szCs w:val="16"/>
                <w:color w:val="auto"/>
              </w:rPr>
              <w:t>(3)</w:t>
            </w:r>
          </w:p>
        </w:tc>
        <w:tc>
          <w:tcPr>
            <w:tcW w:w="1400" w:type="dxa"/>
            <w:vAlign w:val="bottom"/>
            <w:vMerge w:val="restart"/>
          </w:tcPr>
          <w:p>
            <w:pPr>
              <w:jc w:val="right"/>
              <w:ind w:right="5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33"/>
        </w:trPr>
        <w:tc>
          <w:tcPr>
            <w:tcW w:w="6560" w:type="dxa"/>
            <w:vAlign w:val="bottom"/>
            <w:vMerge w:val="restart"/>
          </w:tcPr>
          <w:p>
            <w:pPr>
              <w:ind w:left="120"/>
              <w:spacing w:after="0"/>
              <w:rPr>
                <w:sz w:val="20"/>
                <w:szCs w:val="20"/>
                <w:color w:val="auto"/>
              </w:rPr>
            </w:pPr>
            <w:r>
              <w:rPr>
                <w:rFonts w:ascii="Arial" w:cs="Arial" w:eastAsia="Arial" w:hAnsi="Arial"/>
                <w:sz w:val="16"/>
                <w:szCs w:val="16"/>
                <w:color w:val="auto"/>
              </w:rPr>
              <w:t>cash equivalents and restricted cash</w:t>
            </w:r>
          </w:p>
        </w:tc>
        <w:tc>
          <w:tcPr>
            <w:tcW w:w="328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6560" w:type="dxa"/>
            <w:vAlign w:val="bottom"/>
            <w:vMerge w:val="continue"/>
          </w:tcPr>
          <w:p>
            <w:pPr>
              <w:spacing w:after="0"/>
              <w:rPr>
                <w:sz w:val="7"/>
                <w:szCs w:val="7"/>
                <w:color w:val="auto"/>
              </w:rPr>
            </w:pPr>
          </w:p>
        </w:tc>
        <w:tc>
          <w:tcPr>
            <w:tcW w:w="32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6560" w:type="dxa"/>
            <w:vAlign w:val="bottom"/>
            <w:shd w:val="clear" w:color="auto" w:fill="F7F7F7"/>
          </w:tcPr>
          <w:p>
            <w:pPr>
              <w:ind w:left="120"/>
              <w:spacing w:after="0" w:line="163" w:lineRule="exact"/>
              <w:rPr>
                <w:sz w:val="20"/>
                <w:szCs w:val="20"/>
                <w:color w:val="auto"/>
              </w:rPr>
            </w:pPr>
            <w:r>
              <w:rPr>
                <w:rFonts w:ascii="Arial" w:cs="Arial" w:eastAsia="Arial" w:hAnsi="Arial"/>
                <w:sz w:val="16"/>
                <w:szCs w:val="16"/>
                <w:b w:val="1"/>
                <w:bCs w:val="1"/>
                <w:color w:val="auto"/>
              </w:rPr>
              <w:t>Net increase (decrease) in cash, cash</w:t>
            </w:r>
          </w:p>
        </w:tc>
        <w:tc>
          <w:tcPr>
            <w:tcW w:w="3280" w:type="dxa"/>
            <w:vAlign w:val="bottom"/>
            <w:vMerge w:val="restart"/>
            <w:shd w:val="clear" w:color="auto" w:fill="F7F7F7"/>
          </w:tcPr>
          <w:p>
            <w:pPr>
              <w:jc w:val="right"/>
              <w:ind w:right="1079"/>
              <w:spacing w:after="0"/>
              <w:rPr>
                <w:sz w:val="20"/>
                <w:szCs w:val="20"/>
                <w:color w:val="auto"/>
              </w:rPr>
            </w:pPr>
            <w:r>
              <w:rPr>
                <w:rFonts w:ascii="Arial" w:cs="Arial" w:eastAsia="Arial" w:hAnsi="Arial"/>
                <w:sz w:val="16"/>
                <w:szCs w:val="16"/>
                <w:b w:val="1"/>
                <w:bCs w:val="1"/>
                <w:color w:val="auto"/>
              </w:rPr>
              <w:t>303</w:t>
            </w:r>
          </w:p>
        </w:tc>
        <w:tc>
          <w:tcPr>
            <w:tcW w:w="140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b w:val="1"/>
                <w:bCs w:val="1"/>
                <w:color w:val="auto"/>
              </w:rPr>
              <w:t>(189)</w:t>
            </w:r>
          </w:p>
        </w:tc>
        <w:tc>
          <w:tcPr>
            <w:tcW w:w="0" w:type="dxa"/>
            <w:vAlign w:val="bottom"/>
          </w:tcPr>
          <w:p>
            <w:pPr>
              <w:spacing w:after="0"/>
              <w:rPr>
                <w:sz w:val="1"/>
                <w:szCs w:val="1"/>
                <w:color w:val="auto"/>
              </w:rPr>
            </w:pPr>
          </w:p>
        </w:tc>
      </w:tr>
      <w:tr>
        <w:trPr>
          <w:trHeight w:val="141"/>
        </w:trPr>
        <w:tc>
          <w:tcPr>
            <w:tcW w:w="6560" w:type="dxa"/>
            <w:vAlign w:val="bottom"/>
            <w:vMerge w:val="restart"/>
            <w:shd w:val="clear" w:color="auto" w:fill="F7F7F7"/>
          </w:tcPr>
          <w:p>
            <w:pPr>
              <w:ind w:left="120"/>
              <w:spacing w:after="0"/>
              <w:rPr>
                <w:sz w:val="20"/>
                <w:szCs w:val="20"/>
                <w:color w:val="auto"/>
              </w:rPr>
            </w:pPr>
            <w:r>
              <w:rPr>
                <w:rFonts w:ascii="Arial" w:cs="Arial" w:eastAsia="Arial" w:hAnsi="Arial"/>
                <w:sz w:val="16"/>
                <w:szCs w:val="16"/>
                <w:b w:val="1"/>
                <w:bCs w:val="1"/>
                <w:color w:val="auto"/>
              </w:rPr>
              <w:t>equivalents and restricted cash</w:t>
            </w:r>
          </w:p>
        </w:tc>
        <w:tc>
          <w:tcPr>
            <w:tcW w:w="3280" w:type="dxa"/>
            <w:vAlign w:val="bottom"/>
            <w:vMerge w:val="continue"/>
            <w:shd w:val="clear" w:color="auto" w:fill="F7F7F7"/>
          </w:tcPr>
          <w:p>
            <w:pPr>
              <w:spacing w:after="0"/>
              <w:rPr>
                <w:sz w:val="12"/>
                <w:szCs w:val="12"/>
                <w:color w:val="auto"/>
              </w:rPr>
            </w:pPr>
          </w:p>
        </w:tc>
        <w:tc>
          <w:tcPr>
            <w:tcW w:w="1400" w:type="dxa"/>
            <w:vAlign w:val="bottom"/>
            <w:vMerge w:val="continue"/>
            <w:shd w:val="clear" w:color="auto" w:fill="F7F7F7"/>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6560" w:type="dxa"/>
            <w:vAlign w:val="bottom"/>
            <w:vMerge w:val="continue"/>
            <w:shd w:val="clear" w:color="auto" w:fill="F7F7F7"/>
          </w:tcPr>
          <w:p>
            <w:pPr>
              <w:spacing w:after="0"/>
              <w:rPr>
                <w:sz w:val="6"/>
                <w:szCs w:val="6"/>
                <w:color w:val="auto"/>
              </w:rPr>
            </w:pPr>
          </w:p>
        </w:tc>
        <w:tc>
          <w:tcPr>
            <w:tcW w:w="3280" w:type="dxa"/>
            <w:vAlign w:val="bottom"/>
            <w:shd w:val="clear" w:color="auto" w:fill="F7F7F7"/>
          </w:tcPr>
          <w:p>
            <w:pPr>
              <w:spacing w:after="0"/>
              <w:rPr>
                <w:sz w:val="6"/>
                <w:szCs w:val="6"/>
                <w:color w:val="auto"/>
              </w:rPr>
            </w:pPr>
          </w:p>
        </w:tc>
        <w:tc>
          <w:tcPr>
            <w:tcW w:w="1400" w:type="dxa"/>
            <w:vAlign w:val="bottom"/>
            <w:shd w:val="clear" w:color="auto" w:fill="F7F7F7"/>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6560" w:type="dxa"/>
            <w:vAlign w:val="bottom"/>
          </w:tcPr>
          <w:p>
            <w:pPr>
              <w:ind w:left="120"/>
              <w:spacing w:after="0" w:line="162" w:lineRule="exact"/>
              <w:rPr>
                <w:sz w:val="20"/>
                <w:szCs w:val="20"/>
                <w:color w:val="auto"/>
              </w:rPr>
            </w:pPr>
            <w:r>
              <w:rPr>
                <w:rFonts w:ascii="Arial" w:cs="Arial" w:eastAsia="Arial" w:hAnsi="Arial"/>
                <w:sz w:val="16"/>
                <w:szCs w:val="16"/>
                <w:color w:val="auto"/>
              </w:rPr>
              <w:t>Cash, cash equivalents and restricted cash –</w:t>
            </w:r>
          </w:p>
        </w:tc>
        <w:tc>
          <w:tcPr>
            <w:tcW w:w="3280" w:type="dxa"/>
            <w:vAlign w:val="bottom"/>
            <w:vMerge w:val="restart"/>
          </w:tcPr>
          <w:p>
            <w:pPr>
              <w:jc w:val="right"/>
              <w:ind w:right="1079"/>
              <w:spacing w:after="0"/>
              <w:rPr>
                <w:sz w:val="20"/>
                <w:szCs w:val="20"/>
                <w:color w:val="auto"/>
              </w:rPr>
            </w:pPr>
            <w:r>
              <w:rPr>
                <w:rFonts w:ascii="Arial" w:cs="Arial" w:eastAsia="Arial" w:hAnsi="Arial"/>
                <w:sz w:val="16"/>
                <w:szCs w:val="16"/>
                <w:color w:val="auto"/>
              </w:rPr>
              <w:t>1,545</w:t>
            </w:r>
          </w:p>
        </w:tc>
        <w:tc>
          <w:tcPr>
            <w:tcW w:w="1400" w:type="dxa"/>
            <w:vAlign w:val="bottom"/>
            <w:vMerge w:val="restart"/>
          </w:tcPr>
          <w:p>
            <w:pPr>
              <w:jc w:val="right"/>
              <w:ind w:right="59"/>
              <w:spacing w:after="0"/>
              <w:rPr>
                <w:sz w:val="20"/>
                <w:szCs w:val="20"/>
                <w:color w:val="auto"/>
              </w:rPr>
            </w:pPr>
            <w:r>
              <w:rPr>
                <w:rFonts w:ascii="Arial" w:cs="Arial" w:eastAsia="Arial" w:hAnsi="Arial"/>
                <w:sz w:val="16"/>
                <w:szCs w:val="16"/>
                <w:color w:val="auto"/>
              </w:rPr>
              <w:t>1,498</w:t>
            </w:r>
          </w:p>
        </w:tc>
        <w:tc>
          <w:tcPr>
            <w:tcW w:w="0" w:type="dxa"/>
            <w:vAlign w:val="bottom"/>
          </w:tcPr>
          <w:p>
            <w:pPr>
              <w:spacing w:after="0"/>
              <w:rPr>
                <w:sz w:val="1"/>
                <w:szCs w:val="1"/>
                <w:color w:val="auto"/>
              </w:rPr>
            </w:pPr>
          </w:p>
        </w:tc>
      </w:tr>
      <w:tr>
        <w:trPr>
          <w:trHeight w:val="133"/>
        </w:trPr>
        <w:tc>
          <w:tcPr>
            <w:tcW w:w="6560" w:type="dxa"/>
            <w:vAlign w:val="bottom"/>
            <w:vMerge w:val="restart"/>
          </w:tcPr>
          <w:p>
            <w:pPr>
              <w:ind w:left="120"/>
              <w:spacing w:after="0"/>
              <w:rPr>
                <w:sz w:val="20"/>
                <w:szCs w:val="20"/>
                <w:color w:val="auto"/>
              </w:rPr>
            </w:pPr>
            <w:r>
              <w:rPr>
                <w:rFonts w:ascii="Arial" w:cs="Arial" w:eastAsia="Arial" w:hAnsi="Arial"/>
                <w:sz w:val="16"/>
                <w:szCs w:val="16"/>
                <w:color w:val="auto"/>
              </w:rPr>
              <w:t>beginning of period</w:t>
            </w:r>
          </w:p>
        </w:tc>
        <w:tc>
          <w:tcPr>
            <w:tcW w:w="328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6560" w:type="dxa"/>
            <w:vAlign w:val="bottom"/>
            <w:tcBorders>
              <w:bottom w:val="single" w:sz="8" w:color="F7F7F7"/>
            </w:tcBorders>
            <w:vMerge w:val="continue"/>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6560" w:type="dxa"/>
            <w:vAlign w:val="bottom"/>
            <w:shd w:val="clear" w:color="auto" w:fill="F7F7F7"/>
          </w:tcPr>
          <w:p>
            <w:pPr>
              <w:ind w:left="120"/>
              <w:spacing w:after="0" w:line="143" w:lineRule="exact"/>
              <w:rPr>
                <w:sz w:val="20"/>
                <w:szCs w:val="20"/>
                <w:color w:val="auto"/>
              </w:rPr>
            </w:pPr>
            <w:r>
              <w:rPr>
                <w:rFonts w:ascii="Arial" w:cs="Arial" w:eastAsia="Arial" w:hAnsi="Arial"/>
                <w:sz w:val="16"/>
                <w:szCs w:val="16"/>
                <w:b w:val="1"/>
                <w:bCs w:val="1"/>
                <w:color w:val="auto"/>
              </w:rPr>
              <w:t>Cash, cash equivalents and restricted cash –</w:t>
            </w:r>
          </w:p>
        </w:tc>
        <w:tc>
          <w:tcPr>
            <w:tcW w:w="3280" w:type="dxa"/>
            <w:vAlign w:val="bottom"/>
            <w:vMerge w:val="restart"/>
            <w:shd w:val="clear" w:color="auto" w:fill="F7F7F7"/>
          </w:tcPr>
          <w:p>
            <w:pPr>
              <w:jc w:val="right"/>
              <w:ind w:right="1079"/>
              <w:spacing w:after="0"/>
              <w:rPr>
                <w:sz w:val="20"/>
                <w:szCs w:val="20"/>
                <w:color w:val="auto"/>
              </w:rPr>
            </w:pPr>
            <w:r>
              <w:rPr>
                <w:rFonts w:ascii="Arial" w:cs="Arial" w:eastAsia="Arial" w:hAnsi="Arial"/>
                <w:sz w:val="16"/>
                <w:szCs w:val="16"/>
                <w:b w:val="1"/>
                <w:bCs w:val="1"/>
                <w:color w:val="auto"/>
              </w:rPr>
              <w:t>1,848</w:t>
            </w:r>
          </w:p>
        </w:tc>
        <w:tc>
          <w:tcPr>
            <w:tcW w:w="140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b w:val="1"/>
                <w:bCs w:val="1"/>
                <w:color w:val="auto"/>
              </w:rPr>
              <w:t>1,309</w:t>
            </w:r>
          </w:p>
        </w:tc>
        <w:tc>
          <w:tcPr>
            <w:tcW w:w="0" w:type="dxa"/>
            <w:vAlign w:val="bottom"/>
          </w:tcPr>
          <w:p>
            <w:pPr>
              <w:spacing w:after="0"/>
              <w:rPr>
                <w:sz w:val="1"/>
                <w:szCs w:val="1"/>
                <w:color w:val="auto"/>
              </w:rPr>
            </w:pPr>
          </w:p>
        </w:tc>
      </w:tr>
      <w:tr>
        <w:trPr>
          <w:trHeight w:val="216"/>
        </w:trPr>
        <w:tc>
          <w:tcPr>
            <w:tcW w:w="6560" w:type="dxa"/>
            <w:vAlign w:val="bottom"/>
            <w:shd w:val="clear" w:color="auto" w:fill="F7F7F7"/>
          </w:tcPr>
          <w:p>
            <w:pPr>
              <w:ind w:left="120"/>
              <w:spacing w:after="0"/>
              <w:rPr>
                <w:sz w:val="20"/>
                <w:szCs w:val="20"/>
                <w:color w:val="auto"/>
              </w:rPr>
            </w:pPr>
            <w:r>
              <w:rPr>
                <w:rFonts w:ascii="Arial" w:cs="Arial" w:eastAsia="Arial" w:hAnsi="Arial"/>
                <w:sz w:val="16"/>
                <w:szCs w:val="16"/>
                <w:b w:val="1"/>
                <w:bCs w:val="1"/>
                <w:color w:val="auto"/>
              </w:rPr>
              <w:t>end of period</w:t>
            </w:r>
          </w:p>
        </w:tc>
        <w:tc>
          <w:tcPr>
            <w:tcW w:w="3280" w:type="dxa"/>
            <w:vAlign w:val="bottom"/>
            <w:vMerge w:val="continue"/>
            <w:shd w:val="clear" w:color="auto" w:fill="F7F7F7"/>
          </w:tcPr>
          <w:p>
            <w:pPr>
              <w:spacing w:after="0"/>
              <w:rPr>
                <w:sz w:val="18"/>
                <w:szCs w:val="18"/>
                <w:color w:val="auto"/>
              </w:rPr>
            </w:pPr>
          </w:p>
        </w:tc>
        <w:tc>
          <w:tcPr>
            <w:tcW w:w="1400" w:type="dxa"/>
            <w:vAlign w:val="bottom"/>
            <w:vMerge w:val="continue"/>
            <w:shd w:val="clear" w:color="auto" w:fill="F7F7F7"/>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6"/>
          <w:szCs w:val="16"/>
          <w:color w:val="6D6D6D"/>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48715" cy="316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16865"/>
                    </a:xfrm>
                    <a:prstGeom prst="rect">
                      <a:avLst/>
                    </a:prstGeom>
                    <a:noFill/>
                  </pic:spPr>
                </pic:pic>
              </a:graphicData>
            </a:graphic>
          </wp:anchor>
        </w:drawing>
      </w:r>
    </w:p>
    <w:p>
      <w:pPr>
        <w:ind w:left="80"/>
        <w:spacing w:after="0"/>
        <w:rPr>
          <w:sz w:val="20"/>
          <w:szCs w:val="20"/>
          <w:color w:val="auto"/>
        </w:rPr>
      </w:pPr>
      <w:r>
        <w:rPr>
          <w:rFonts w:ascii="Arial" w:cs="Arial" w:eastAsia="Arial" w:hAnsi="Arial"/>
          <w:sz w:val="20"/>
          <w:szCs w:val="20"/>
          <w:b w:val="1"/>
          <w:bCs w:val="1"/>
          <w:color w:val="auto"/>
        </w:rPr>
        <w:t>Reconciliation of Non-GAAP Financial Measures</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Free Cash Flow Reconciliation</w:t>
      </w:r>
    </w:p>
    <w:p>
      <w:pPr>
        <w:spacing w:after="0" w:line="33" w:lineRule="exact"/>
        <w:rPr>
          <w:sz w:val="20"/>
          <w:szCs w:val="20"/>
          <w:color w:val="auto"/>
        </w:rPr>
      </w:pPr>
    </w:p>
    <w:p>
      <w:pPr>
        <w:ind w:left="80"/>
        <w:spacing w:after="0"/>
        <w:rPr>
          <w:sz w:val="20"/>
          <w:szCs w:val="20"/>
          <w:color w:val="auto"/>
        </w:rPr>
      </w:pPr>
      <w:r>
        <w:rPr>
          <w:rFonts w:ascii="Arial" w:cs="Arial" w:eastAsia="Arial" w:hAnsi="Arial"/>
          <w:sz w:val="14"/>
          <w:szCs w:val="14"/>
          <w:color w:val="auto"/>
        </w:rPr>
        <w:t>(In US $ millions, except percentages)</w:t>
      </w: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400" w:type="dxa"/>
            <w:vAlign w:val="bottom"/>
          </w:tcPr>
          <w:p>
            <w:pPr>
              <w:spacing w:after="0"/>
              <w:rPr>
                <w:sz w:val="20"/>
                <w:szCs w:val="20"/>
                <w:color w:val="auto"/>
              </w:rPr>
            </w:pPr>
            <w:r>
              <w:rPr>
                <w:rFonts w:ascii="Arial" w:cs="Arial" w:eastAsia="Arial" w:hAnsi="Arial"/>
                <w:sz w:val="16"/>
                <w:szCs w:val="16"/>
                <w:color w:val="auto"/>
              </w:rPr>
              <w:t>The following table illustrates how free cash flow is calculated in this press release:</w:t>
            </w:r>
          </w:p>
        </w:tc>
        <w:tc>
          <w:tcPr>
            <w:tcW w:w="3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6400" w:type="dxa"/>
            <w:vAlign w:val="bottom"/>
          </w:tcPr>
          <w:p>
            <w:pPr>
              <w:spacing w:after="0"/>
              <w:rPr>
                <w:sz w:val="24"/>
                <w:szCs w:val="24"/>
                <w:color w:val="auto"/>
              </w:rPr>
            </w:pPr>
          </w:p>
        </w:tc>
        <w:tc>
          <w:tcPr>
            <w:tcW w:w="3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4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March 31, 2026</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March 31, 2025</w:t>
            </w:r>
          </w:p>
        </w:tc>
        <w:tc>
          <w:tcPr>
            <w:tcW w:w="0" w:type="dxa"/>
            <w:vAlign w:val="bottom"/>
          </w:tcPr>
          <w:p>
            <w:pPr>
              <w:spacing w:after="0"/>
              <w:rPr>
                <w:sz w:val="1"/>
                <w:szCs w:val="1"/>
                <w:color w:val="auto"/>
              </w:rPr>
            </w:pPr>
          </w:p>
        </w:tc>
      </w:tr>
      <w:tr>
        <w:trPr>
          <w:trHeight w:val="156"/>
        </w:trPr>
        <w:tc>
          <w:tcPr>
            <w:tcW w:w="6400" w:type="dxa"/>
            <w:vAlign w:val="bottom"/>
            <w:shd w:val="clear" w:color="auto" w:fill="F7F7F7"/>
          </w:tcPr>
          <w:p>
            <w:pPr>
              <w:ind w:left="20"/>
              <w:spacing w:after="0" w:line="155" w:lineRule="exact"/>
              <w:rPr>
                <w:sz w:val="20"/>
                <w:szCs w:val="20"/>
                <w:color w:val="auto"/>
              </w:rPr>
            </w:pPr>
            <w:r>
              <w:rPr>
                <w:rFonts w:ascii="Arial" w:cs="Arial" w:eastAsia="Arial" w:hAnsi="Arial"/>
                <w:sz w:val="16"/>
                <w:szCs w:val="16"/>
                <w:color w:val="auto"/>
              </w:rPr>
              <w:t>Net cash provided by operating</w:t>
            </w:r>
          </w:p>
        </w:tc>
        <w:tc>
          <w:tcPr>
            <w:tcW w:w="3400" w:type="dxa"/>
            <w:vAlign w:val="bottom"/>
            <w:vMerge w:val="restart"/>
            <w:shd w:val="clear" w:color="auto" w:fill="F7F7F7"/>
          </w:tcPr>
          <w:p>
            <w:pPr>
              <w:jc w:val="right"/>
              <w:ind w:right="1199"/>
              <w:spacing w:after="0"/>
              <w:rPr>
                <w:sz w:val="20"/>
                <w:szCs w:val="20"/>
                <w:color w:val="auto"/>
              </w:rPr>
            </w:pPr>
            <w:r>
              <w:rPr>
                <w:rFonts w:ascii="Arial" w:cs="Arial" w:eastAsia="Arial" w:hAnsi="Arial"/>
                <w:sz w:val="16"/>
                <w:szCs w:val="16"/>
                <w:color w:val="auto"/>
              </w:rPr>
              <w:t>481</w:t>
            </w:r>
          </w:p>
        </w:tc>
        <w:tc>
          <w:tcPr>
            <w:tcW w:w="1440" w:type="dxa"/>
            <w:vAlign w:val="bottom"/>
            <w:vMerge w:val="restart"/>
            <w:shd w:val="clear" w:color="auto" w:fill="F7F7F7"/>
          </w:tcPr>
          <w:p>
            <w:pPr>
              <w:jc w:val="right"/>
              <w:ind w:right="119"/>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133"/>
        </w:trPr>
        <w:tc>
          <w:tcPr>
            <w:tcW w:w="6400" w:type="dxa"/>
            <w:vAlign w:val="bottom"/>
            <w:vMerge w:val="restart"/>
            <w:shd w:val="clear" w:color="auto" w:fill="F7F7F7"/>
          </w:tcPr>
          <w:p>
            <w:pPr>
              <w:ind w:left="20"/>
              <w:spacing w:after="0"/>
              <w:rPr>
                <w:sz w:val="20"/>
                <w:szCs w:val="20"/>
                <w:color w:val="auto"/>
              </w:rPr>
            </w:pPr>
            <w:r>
              <w:rPr>
                <w:rFonts w:ascii="Arial" w:cs="Arial" w:eastAsia="Arial" w:hAnsi="Arial"/>
                <w:sz w:val="16"/>
                <w:szCs w:val="16"/>
                <w:color w:val="auto"/>
              </w:rPr>
              <w:t>activities</w:t>
            </w:r>
          </w:p>
        </w:tc>
        <w:tc>
          <w:tcPr>
            <w:tcW w:w="3400" w:type="dxa"/>
            <w:vAlign w:val="bottom"/>
            <w:vMerge w:val="continue"/>
            <w:shd w:val="clear" w:color="auto" w:fill="F7F7F7"/>
          </w:tcPr>
          <w:p>
            <w:pPr>
              <w:spacing w:after="0"/>
              <w:rPr>
                <w:sz w:val="11"/>
                <w:szCs w:val="11"/>
                <w:color w:val="auto"/>
              </w:rPr>
            </w:pPr>
          </w:p>
        </w:tc>
        <w:tc>
          <w:tcPr>
            <w:tcW w:w="1440" w:type="dxa"/>
            <w:vAlign w:val="bottom"/>
            <w:vMerge w:val="continue"/>
            <w:shd w:val="clear" w:color="auto" w:fill="F7F7F7"/>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6400" w:type="dxa"/>
            <w:vAlign w:val="bottom"/>
            <w:vMerge w:val="continue"/>
            <w:shd w:val="clear" w:color="auto" w:fill="F7F7F7"/>
          </w:tcPr>
          <w:p>
            <w:pPr>
              <w:spacing w:after="0"/>
              <w:rPr>
                <w:sz w:val="7"/>
                <w:szCs w:val="7"/>
                <w:color w:val="auto"/>
              </w:rPr>
            </w:pPr>
          </w:p>
        </w:tc>
        <w:tc>
          <w:tcPr>
            <w:tcW w:w="3400" w:type="dxa"/>
            <w:vAlign w:val="bottom"/>
            <w:shd w:val="clear" w:color="auto" w:fill="F7F7F7"/>
          </w:tcPr>
          <w:p>
            <w:pPr>
              <w:spacing w:after="0"/>
              <w:rPr>
                <w:sz w:val="7"/>
                <w:szCs w:val="7"/>
                <w:color w:val="auto"/>
              </w:rPr>
            </w:pPr>
          </w:p>
        </w:tc>
        <w:tc>
          <w:tcPr>
            <w:tcW w:w="1440" w:type="dxa"/>
            <w:vAlign w:val="bottom"/>
            <w:shd w:val="clear" w:color="auto" w:fill="F7F7F7"/>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60"/>
              <w:spacing w:after="0" w:line="216" w:lineRule="exact"/>
              <w:rPr>
                <w:sz w:val="20"/>
                <w:szCs w:val="20"/>
                <w:color w:val="auto"/>
              </w:rPr>
            </w:pPr>
            <w:r>
              <w:rPr>
                <w:rFonts w:ascii="Arial" w:cs="Arial" w:eastAsia="Arial" w:hAnsi="Arial"/>
                <w:sz w:val="16"/>
                <w:szCs w:val="16"/>
                <w:color w:val="auto"/>
              </w:rPr>
              <w:t>less: capital expenditures</w:t>
            </w:r>
            <w:r>
              <w:rPr>
                <w:rFonts w:ascii="Arial" w:cs="Arial" w:eastAsia="Arial" w:hAnsi="Arial"/>
                <w:sz w:val="21"/>
                <w:szCs w:val="21"/>
                <w:color w:val="auto"/>
                <w:vertAlign w:val="superscript"/>
              </w:rPr>
              <w:t>(6)</w:t>
            </w:r>
          </w:p>
        </w:tc>
        <w:tc>
          <w:tcPr>
            <w:tcW w:w="3400" w:type="dxa"/>
            <w:vAlign w:val="bottom"/>
          </w:tcPr>
          <w:p>
            <w:pPr>
              <w:jc w:val="right"/>
              <w:ind w:right="1159"/>
              <w:spacing w:after="0"/>
              <w:rPr>
                <w:sz w:val="20"/>
                <w:szCs w:val="20"/>
                <w:color w:val="auto"/>
              </w:rPr>
            </w:pPr>
            <w:r>
              <w:rPr>
                <w:rFonts w:ascii="Arial" w:cs="Arial" w:eastAsia="Arial" w:hAnsi="Arial"/>
                <w:sz w:val="16"/>
                <w:szCs w:val="16"/>
                <w:color w:val="auto"/>
              </w:rPr>
              <w:t>(5)</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6400" w:type="dxa"/>
            <w:vAlign w:val="bottom"/>
            <w:shd w:val="clear" w:color="auto" w:fill="F7F7F7"/>
          </w:tcPr>
          <w:p>
            <w:pPr>
              <w:ind w:left="20"/>
              <w:spacing w:after="0"/>
              <w:rPr>
                <w:sz w:val="20"/>
                <w:szCs w:val="20"/>
                <w:color w:val="auto"/>
              </w:rPr>
            </w:pPr>
            <w:r>
              <w:rPr>
                <w:rFonts w:ascii="Arial" w:cs="Arial" w:eastAsia="Arial" w:hAnsi="Arial"/>
                <w:sz w:val="16"/>
                <w:szCs w:val="16"/>
                <w:color w:val="auto"/>
              </w:rPr>
              <w:t>Free cash flow</w:t>
            </w:r>
          </w:p>
        </w:tc>
        <w:tc>
          <w:tcPr>
            <w:tcW w:w="3400" w:type="dxa"/>
            <w:vAlign w:val="bottom"/>
            <w:tcBorders>
              <w:bottom w:val="single" w:sz="8" w:color="auto"/>
            </w:tcBorders>
            <w:shd w:val="clear" w:color="auto" w:fill="F7F7F7"/>
          </w:tcPr>
          <w:p>
            <w:pPr>
              <w:jc w:val="right"/>
              <w:ind w:right="1199"/>
              <w:spacing w:after="0"/>
              <w:rPr>
                <w:sz w:val="20"/>
                <w:szCs w:val="20"/>
                <w:color w:val="auto"/>
              </w:rPr>
            </w:pPr>
            <w:r>
              <w:rPr>
                <w:rFonts w:ascii="Arial" w:cs="Arial" w:eastAsia="Arial" w:hAnsi="Arial"/>
                <w:sz w:val="16"/>
                <w:szCs w:val="16"/>
                <w:color w:val="auto"/>
              </w:rPr>
              <w:t>476</w:t>
            </w:r>
          </w:p>
        </w:tc>
        <w:tc>
          <w:tcPr>
            <w:tcW w:w="1440" w:type="dxa"/>
            <w:vAlign w:val="bottom"/>
            <w:tcBorders>
              <w:bottom w:val="single" w:sz="8" w:color="auto"/>
            </w:tcBorders>
            <w:shd w:val="clear" w:color="auto" w:fill="F7F7F7"/>
          </w:tcPr>
          <w:p>
            <w:pPr>
              <w:jc w:val="right"/>
              <w:ind w:right="119"/>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F7F7F7"/>
            </w:tcBorders>
          </w:tcPr>
          <w:p>
            <w:pPr>
              <w:ind w:left="20"/>
              <w:spacing w:after="0"/>
              <w:rPr>
                <w:sz w:val="20"/>
                <w:szCs w:val="20"/>
                <w:color w:val="auto"/>
              </w:rPr>
            </w:pPr>
            <w:r>
              <w:rPr>
                <w:rFonts w:ascii="Arial" w:cs="Arial" w:eastAsia="Arial" w:hAnsi="Arial"/>
                <w:sz w:val="16"/>
                <w:szCs w:val="16"/>
                <w:color w:val="auto"/>
              </w:rPr>
              <w:t>Revenue</w:t>
            </w:r>
          </w:p>
        </w:tc>
        <w:tc>
          <w:tcPr>
            <w:tcW w:w="340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color w:val="auto"/>
              </w:rPr>
              <w:t>3,170</w:t>
            </w: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2,360</w:t>
            </w:r>
          </w:p>
        </w:tc>
        <w:tc>
          <w:tcPr>
            <w:tcW w:w="0" w:type="dxa"/>
            <w:vAlign w:val="bottom"/>
          </w:tcPr>
          <w:p>
            <w:pPr>
              <w:spacing w:after="0"/>
              <w:rPr>
                <w:sz w:val="1"/>
                <w:szCs w:val="1"/>
                <w:color w:val="auto"/>
              </w:rPr>
            </w:pPr>
          </w:p>
        </w:tc>
      </w:tr>
      <w:tr>
        <w:trPr>
          <w:trHeight w:val="210"/>
        </w:trPr>
        <w:tc>
          <w:tcPr>
            <w:tcW w:w="6400" w:type="dxa"/>
            <w:vAlign w:val="bottom"/>
            <w:shd w:val="clear" w:color="auto" w:fill="F7F7F7"/>
          </w:tcPr>
          <w:p>
            <w:pPr>
              <w:ind w:left="20"/>
              <w:spacing w:after="0"/>
              <w:rPr>
                <w:sz w:val="20"/>
                <w:szCs w:val="20"/>
                <w:color w:val="auto"/>
              </w:rPr>
            </w:pPr>
            <w:r>
              <w:rPr>
                <w:rFonts w:ascii="Arial" w:cs="Arial" w:eastAsia="Arial" w:hAnsi="Arial"/>
                <w:sz w:val="16"/>
                <w:szCs w:val="16"/>
                <w:color w:val="auto"/>
              </w:rPr>
              <w:t>Free cash flow margin</w:t>
            </w:r>
          </w:p>
        </w:tc>
        <w:tc>
          <w:tcPr>
            <w:tcW w:w="3400" w:type="dxa"/>
            <w:vAlign w:val="bottom"/>
            <w:shd w:val="clear" w:color="auto" w:fill="F7F7F7"/>
          </w:tcPr>
          <w:p>
            <w:pPr>
              <w:jc w:val="right"/>
              <w:ind w:right="999"/>
              <w:spacing w:after="0"/>
              <w:rPr>
                <w:sz w:val="20"/>
                <w:szCs w:val="20"/>
                <w:color w:val="auto"/>
              </w:rPr>
            </w:pPr>
            <w:r>
              <w:rPr>
                <w:rFonts w:ascii="Arial" w:cs="Arial" w:eastAsia="Arial" w:hAnsi="Arial"/>
                <w:sz w:val="16"/>
                <w:szCs w:val="16"/>
                <w:color w:val="auto"/>
              </w:rPr>
              <w:t>15%</w:t>
            </w:r>
          </w:p>
        </w:tc>
        <w:tc>
          <w:tcPr>
            <w:tcW w:w="1440" w:type="dxa"/>
            <w:vAlign w:val="bottom"/>
            <w:shd w:val="clear" w:color="auto" w:fill="F7F7F7"/>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80" w:right="5200"/>
        <w:spacing w:after="0" w:line="242" w:lineRule="auto"/>
        <w:rPr>
          <w:sz w:val="20"/>
          <w:szCs w:val="20"/>
          <w:color w:val="auto"/>
        </w:rPr>
      </w:pPr>
      <w:r>
        <w:rPr>
          <w:rFonts w:ascii="Arial" w:cs="Arial" w:eastAsia="Arial" w:hAnsi="Arial"/>
          <w:sz w:val="18"/>
          <w:szCs w:val="18"/>
          <w:b w:val="1"/>
          <w:bCs w:val="1"/>
          <w:color w:val="auto"/>
        </w:rPr>
        <w:t xml:space="preserve">Net Income Excluding the Impact of Equity Investments Reconciliation </w:t>
      </w:r>
      <w:r>
        <w:rPr>
          <w:rFonts w:ascii="Arial" w:cs="Arial" w:eastAsia="Arial" w:hAnsi="Arial"/>
          <w:sz w:val="14"/>
          <w:szCs w:val="14"/>
          <w:color w:val="auto"/>
        </w:rPr>
        <w:t>(In US $ millions)</w:t>
      </w:r>
    </w:p>
    <w:p>
      <w:pPr>
        <w:spacing w:after="0" w:line="154"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9840" w:type="dxa"/>
            <w:vAlign w:val="bottom"/>
            <w:gridSpan w:val="2"/>
          </w:tcPr>
          <w:p>
            <w:pPr>
              <w:spacing w:after="0"/>
              <w:rPr>
                <w:sz w:val="20"/>
                <w:szCs w:val="20"/>
                <w:color w:val="auto"/>
              </w:rPr>
            </w:pPr>
            <w:r>
              <w:rPr>
                <w:rFonts w:ascii="Arial" w:cs="Arial" w:eastAsia="Arial" w:hAnsi="Arial"/>
                <w:sz w:val="16"/>
                <w:szCs w:val="16"/>
                <w:color w:val="auto"/>
              </w:rPr>
              <w:t>The following table illustrates how Net income excluding the impact of equity investments is calculated in this press release:</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560" w:type="dxa"/>
            <w:vAlign w:val="bottom"/>
          </w:tcPr>
          <w:p>
            <w:pPr>
              <w:spacing w:after="0"/>
              <w:rPr>
                <w:sz w:val="20"/>
                <w:szCs w:val="20"/>
                <w:color w:val="auto"/>
              </w:rPr>
            </w:pPr>
          </w:p>
        </w:tc>
        <w:tc>
          <w:tcPr>
            <w:tcW w:w="3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March 31, 2026</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March 31, 2025</w:t>
            </w:r>
          </w:p>
        </w:tc>
        <w:tc>
          <w:tcPr>
            <w:tcW w:w="0" w:type="dxa"/>
            <w:vAlign w:val="bottom"/>
          </w:tcPr>
          <w:p>
            <w:pPr>
              <w:spacing w:after="0"/>
              <w:rPr>
                <w:sz w:val="1"/>
                <w:szCs w:val="1"/>
                <w:color w:val="auto"/>
              </w:rPr>
            </w:pPr>
          </w:p>
        </w:tc>
      </w:tr>
      <w:tr>
        <w:trPr>
          <w:trHeight w:val="210"/>
        </w:trPr>
        <w:tc>
          <w:tcPr>
            <w:tcW w:w="6560" w:type="dxa"/>
            <w:vAlign w:val="bottom"/>
            <w:shd w:val="clear" w:color="auto" w:fill="F7F7F7"/>
          </w:tcPr>
          <w:p>
            <w:pPr>
              <w:ind w:left="20"/>
              <w:spacing w:after="0"/>
              <w:rPr>
                <w:sz w:val="20"/>
                <w:szCs w:val="20"/>
                <w:color w:val="auto"/>
              </w:rPr>
            </w:pPr>
            <w:r>
              <w:rPr>
                <w:rFonts w:ascii="Arial" w:cs="Arial" w:eastAsia="Arial" w:hAnsi="Arial"/>
                <w:sz w:val="16"/>
                <w:szCs w:val="16"/>
                <w:color w:val="auto"/>
              </w:rPr>
              <w:t>Net loss</w:t>
            </w:r>
          </w:p>
        </w:tc>
        <w:tc>
          <w:tcPr>
            <w:tcW w:w="3280" w:type="dxa"/>
            <w:vAlign w:val="bottom"/>
            <w:shd w:val="clear" w:color="auto" w:fill="F7F7F7"/>
          </w:tcPr>
          <w:p>
            <w:pPr>
              <w:jc w:val="right"/>
              <w:ind w:right="1079"/>
              <w:spacing w:after="0"/>
              <w:rPr>
                <w:sz w:val="20"/>
                <w:szCs w:val="20"/>
                <w:color w:val="auto"/>
              </w:rPr>
            </w:pPr>
            <w:r>
              <w:rPr>
                <w:rFonts w:ascii="Arial" w:cs="Arial" w:eastAsia="Arial" w:hAnsi="Arial"/>
                <w:sz w:val="16"/>
                <w:szCs w:val="16"/>
                <w:color w:val="auto"/>
              </w:rPr>
              <w:t>(581)</w:t>
            </w:r>
          </w:p>
        </w:tc>
        <w:tc>
          <w:tcPr>
            <w:tcW w:w="1400" w:type="dxa"/>
            <w:vAlign w:val="bottom"/>
            <w:shd w:val="clear" w:color="auto" w:fill="F7F7F7"/>
          </w:tcPr>
          <w:p>
            <w:pPr>
              <w:jc w:val="right"/>
              <w:ind w:right="59"/>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162"/>
        </w:trPr>
        <w:tc>
          <w:tcPr>
            <w:tcW w:w="6560" w:type="dxa"/>
            <w:vAlign w:val="bottom"/>
          </w:tcPr>
          <w:p>
            <w:pPr>
              <w:ind w:left="360"/>
              <w:spacing w:after="0" w:line="162" w:lineRule="exact"/>
              <w:rPr>
                <w:sz w:val="20"/>
                <w:szCs w:val="20"/>
                <w:color w:val="auto"/>
              </w:rPr>
            </w:pPr>
            <w:r>
              <w:rPr>
                <w:rFonts w:ascii="Arial" w:cs="Arial" w:eastAsia="Arial" w:hAnsi="Arial"/>
                <w:sz w:val="16"/>
                <w:szCs w:val="16"/>
                <w:color w:val="auto"/>
              </w:rPr>
              <w:t>less: equity investments,</w:t>
            </w:r>
          </w:p>
        </w:tc>
        <w:tc>
          <w:tcPr>
            <w:tcW w:w="3280" w:type="dxa"/>
            <w:vAlign w:val="bottom"/>
            <w:vMerge w:val="restart"/>
          </w:tcPr>
          <w:p>
            <w:pPr>
              <w:jc w:val="right"/>
              <w:ind w:right="1079"/>
              <w:spacing w:after="0"/>
              <w:rPr>
                <w:sz w:val="20"/>
                <w:szCs w:val="20"/>
                <w:color w:val="auto"/>
              </w:rPr>
            </w:pPr>
            <w:r>
              <w:rPr>
                <w:rFonts w:ascii="Arial" w:cs="Arial" w:eastAsia="Arial" w:hAnsi="Arial"/>
                <w:sz w:val="16"/>
                <w:szCs w:val="16"/>
                <w:color w:val="auto"/>
              </w:rPr>
              <w:t>(941)</w:t>
            </w:r>
          </w:p>
        </w:tc>
        <w:tc>
          <w:tcPr>
            <w:tcW w:w="1400" w:type="dxa"/>
            <w:vAlign w:val="bottom"/>
            <w:vMerge w:val="restart"/>
          </w:tcPr>
          <w:p>
            <w:pPr>
              <w:jc w:val="right"/>
              <w:ind w:right="59"/>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133"/>
        </w:trPr>
        <w:tc>
          <w:tcPr>
            <w:tcW w:w="6560" w:type="dxa"/>
            <w:vAlign w:val="bottom"/>
            <w:vMerge w:val="restart"/>
          </w:tcPr>
          <w:p>
            <w:pPr>
              <w:ind w:left="360"/>
              <w:spacing w:after="0"/>
              <w:rPr>
                <w:sz w:val="20"/>
                <w:szCs w:val="20"/>
                <w:color w:val="auto"/>
              </w:rPr>
            </w:pPr>
            <w:r>
              <w:rPr>
                <w:rFonts w:ascii="Arial" w:cs="Arial" w:eastAsia="Arial" w:hAnsi="Arial"/>
                <w:sz w:val="16"/>
                <w:szCs w:val="16"/>
                <w:color w:val="auto"/>
              </w:rPr>
              <w:t>marked to market, net of taxes</w:t>
            </w:r>
          </w:p>
        </w:tc>
        <w:tc>
          <w:tcPr>
            <w:tcW w:w="328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6560" w:type="dxa"/>
            <w:vAlign w:val="bottom"/>
            <w:tcBorders>
              <w:bottom w:val="single" w:sz="8" w:color="auto"/>
            </w:tcBorders>
            <w:vMerge w:val="continue"/>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6560" w:type="dxa"/>
            <w:vAlign w:val="bottom"/>
            <w:shd w:val="clear" w:color="auto" w:fill="F7F7F7"/>
          </w:tcPr>
          <w:p>
            <w:pPr>
              <w:ind w:left="20"/>
              <w:spacing w:after="0" w:line="156" w:lineRule="exact"/>
              <w:rPr>
                <w:sz w:val="20"/>
                <w:szCs w:val="20"/>
                <w:color w:val="auto"/>
              </w:rPr>
            </w:pPr>
            <w:r>
              <w:rPr>
                <w:rFonts w:ascii="Arial" w:cs="Arial" w:eastAsia="Arial" w:hAnsi="Arial"/>
                <w:sz w:val="16"/>
                <w:szCs w:val="16"/>
                <w:color w:val="auto"/>
              </w:rPr>
              <w:t>Net income</w:t>
            </w:r>
          </w:p>
        </w:tc>
        <w:tc>
          <w:tcPr>
            <w:tcW w:w="3280" w:type="dxa"/>
            <w:vAlign w:val="bottom"/>
            <w:vMerge w:val="restart"/>
            <w:shd w:val="clear" w:color="auto" w:fill="F7F7F7"/>
          </w:tcPr>
          <w:p>
            <w:pPr>
              <w:jc w:val="right"/>
              <w:ind w:right="1079"/>
              <w:spacing w:after="0"/>
              <w:rPr>
                <w:sz w:val="20"/>
                <w:szCs w:val="20"/>
                <w:color w:val="auto"/>
              </w:rPr>
            </w:pPr>
            <w:r>
              <w:rPr>
                <w:rFonts w:ascii="Arial" w:cs="Arial" w:eastAsia="Arial" w:hAnsi="Arial"/>
                <w:sz w:val="16"/>
                <w:szCs w:val="16"/>
                <w:color w:val="auto"/>
              </w:rPr>
              <w:t>360</w:t>
            </w:r>
          </w:p>
        </w:tc>
        <w:tc>
          <w:tcPr>
            <w:tcW w:w="1400" w:type="dxa"/>
            <w:vAlign w:val="bottom"/>
            <w:vMerge w:val="restart"/>
            <w:shd w:val="clear" w:color="auto" w:fill="F7F7F7"/>
          </w:tcPr>
          <w:p>
            <w:pPr>
              <w:jc w:val="right"/>
              <w:ind w:right="59"/>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6"/>
        </w:trPr>
        <w:tc>
          <w:tcPr>
            <w:tcW w:w="6560" w:type="dxa"/>
            <w:vAlign w:val="bottom"/>
            <w:shd w:val="clear" w:color="auto" w:fill="F7F7F7"/>
          </w:tcPr>
          <w:p>
            <w:pPr>
              <w:ind w:left="20"/>
              <w:spacing w:after="0" w:line="216" w:lineRule="exact"/>
              <w:rPr>
                <w:sz w:val="20"/>
                <w:szCs w:val="20"/>
                <w:color w:val="auto"/>
              </w:rPr>
            </w:pPr>
            <w:r>
              <w:rPr>
                <w:rFonts w:ascii="Arial" w:cs="Arial" w:eastAsia="Arial" w:hAnsi="Arial"/>
                <w:sz w:val="16"/>
                <w:szCs w:val="16"/>
                <w:color w:val="auto"/>
              </w:rPr>
              <w:t>excluding the impact of equity investments</w:t>
            </w:r>
            <w:r>
              <w:rPr>
                <w:rFonts w:ascii="Arial" w:cs="Arial" w:eastAsia="Arial" w:hAnsi="Arial"/>
                <w:sz w:val="21"/>
                <w:szCs w:val="21"/>
                <w:color w:val="auto"/>
                <w:vertAlign w:val="superscript"/>
              </w:rPr>
              <w:t>(3)</w:t>
            </w:r>
          </w:p>
        </w:tc>
        <w:tc>
          <w:tcPr>
            <w:tcW w:w="3280" w:type="dxa"/>
            <w:vAlign w:val="bottom"/>
            <w:vMerge w:val="continue"/>
            <w:shd w:val="clear" w:color="auto" w:fill="F7F7F7"/>
          </w:tcPr>
          <w:p>
            <w:pPr>
              <w:spacing w:after="0"/>
              <w:rPr>
                <w:sz w:val="18"/>
                <w:szCs w:val="18"/>
                <w:color w:val="auto"/>
              </w:rPr>
            </w:pPr>
          </w:p>
        </w:tc>
        <w:tc>
          <w:tcPr>
            <w:tcW w:w="1400" w:type="dxa"/>
            <w:vAlign w:val="bottom"/>
            <w:vMerge w:val="continue"/>
            <w:shd w:val="clear" w:color="auto" w:fill="F7F7F7"/>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hanging="113"/>
        <w:spacing w:after="0"/>
        <w:tabs>
          <w:tab w:leader="none" w:pos="120" w:val="left"/>
        </w:tabs>
        <w:numPr>
          <w:ilvl w:val="0"/>
          <w:numId w:val="5"/>
        </w:numPr>
        <w:rPr>
          <w:rFonts w:ascii="Arial" w:cs="Arial" w:eastAsia="Arial" w:hAnsi="Arial"/>
          <w:sz w:val="13"/>
          <w:szCs w:val="13"/>
          <w:color w:val="6D6D6D"/>
          <w:vertAlign w:val="superscript"/>
        </w:rPr>
      </w:pPr>
      <w:r>
        <w:rPr>
          <w:rFonts w:ascii="Arial" w:cs="Arial" w:eastAsia="Arial" w:hAnsi="Arial"/>
          <w:sz w:val="10"/>
          <w:szCs w:val="10"/>
          <w:i w:val="1"/>
          <w:iCs w:val="1"/>
          <w:color w:val="6D6D6D"/>
        </w:rPr>
        <w:t xml:space="preserve">Capital expenditures </w:t>
      </w:r>
      <w:r>
        <w:rPr>
          <w:rFonts w:ascii="Arial" w:cs="Arial" w:eastAsia="Arial" w:hAnsi="Arial"/>
          <w:sz w:val="10"/>
          <w:szCs w:val="10"/>
          <w:color w:val="6D6D6D"/>
        </w:rPr>
        <w:t>is equivalent to the amount included in “Purchases of property and equipment” on our Condensed Consolidated Statements of Cash Flows for the reported period.</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6"/>
          <w:szCs w:val="16"/>
          <w:color w:val="6D6D6D"/>
        </w:rPr>
        <w:t>6</w:t>
      </w:r>
    </w:p>
    <w:p>
      <w:pPr>
        <w:sectPr>
          <w:pgSz w:w="11900" w:h="16838" w:orient="portrait"/>
          <w:cols w:equalWidth="0" w:num="1">
            <w:col w:w="11320"/>
          </w:cols>
          <w:pgMar w:left="240" w:top="1440" w:right="339" w:bottom="1440" w:gutter="0" w:footer="0" w:header="0"/>
        </w:sectPr>
      </w:pPr>
    </w:p>
    <w:bookmarkStart w:id="9" w:name="page10"/>
    <w:bookmarkEnd w:id="9"/>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48715" cy="316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168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Constant Currency Analysis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(In US $ millions, except percentages)</w:t>
      </w:r>
    </w:p>
    <w:p>
      <w:pPr>
        <w:spacing w:after="0" w:line="212" w:lineRule="exact"/>
        <w:rPr>
          <w:sz w:val="20"/>
          <w:szCs w:val="20"/>
          <w:color w:val="auto"/>
        </w:rPr>
      </w:pPr>
    </w:p>
    <w:p>
      <w:pPr>
        <w:ind w:right="40"/>
        <w:spacing w:after="0" w:line="375" w:lineRule="auto"/>
        <w:rPr>
          <w:sz w:val="20"/>
          <w:szCs w:val="20"/>
          <w:color w:val="auto"/>
        </w:rPr>
      </w:pPr>
      <w:r>
        <w:rPr>
          <w:rFonts w:ascii="Arial" w:cs="Arial" w:eastAsia="Arial" w:hAnsi="Arial"/>
          <w:sz w:val="16"/>
          <w:szCs w:val="16"/>
          <w:color w:val="auto"/>
        </w:rPr>
        <w:t>The following table converts our GMV, revenues, gross profit, and operating income using the comparative period's monthly average exchange rates. We have provided the below disclosure as we believe it presents a clear comparison of our period-to-period operating results by removing the impact of fluctuations in foreign exchange rates and to assist investors in understanding our financial and operating performance. The table below and our Condensed Consolidated Statements of Operations disclosure are supplements to our Condensed Consolidated Financial Statements, which are prepared and presented in accordance with US GAAP (excluding GMV).</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0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6"/>
                <w:szCs w:val="16"/>
                <w:b w:val="1"/>
                <w:bCs w:val="1"/>
                <w:color w:val="auto"/>
              </w:rPr>
              <w:t>Three months ended March 31,</w:t>
            </w:r>
          </w:p>
        </w:tc>
        <w:tc>
          <w:tcPr>
            <w:tcW w:w="1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1420" w:type="dxa"/>
            <w:vAlign w:val="bottom"/>
            <w:vMerge w:val="restart"/>
          </w:tcPr>
          <w:p>
            <w:pPr>
              <w:jc w:val="right"/>
              <w:ind w:right="561"/>
              <w:spacing w:after="0"/>
              <w:rPr>
                <w:sz w:val="20"/>
                <w:szCs w:val="20"/>
                <w:color w:val="auto"/>
              </w:rPr>
            </w:pPr>
            <w:r>
              <w:rPr>
                <w:rFonts w:ascii="Arial" w:cs="Arial" w:eastAsia="Arial" w:hAnsi="Arial"/>
                <w:sz w:val="14"/>
                <w:szCs w:val="14"/>
                <w:b w:val="1"/>
                <w:bCs w:val="1"/>
                <w:color w:val="auto"/>
              </w:rPr>
              <w:t>GMV</w:t>
            </w:r>
          </w:p>
        </w:tc>
        <w:tc>
          <w:tcPr>
            <w:tcW w:w="120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Revenue</w:t>
            </w:r>
          </w:p>
        </w:tc>
        <w:tc>
          <w:tcPr>
            <w:tcW w:w="158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Subscription</w:t>
            </w:r>
          </w:p>
        </w:tc>
        <w:tc>
          <w:tcPr>
            <w:tcW w:w="1240" w:type="dxa"/>
            <w:vAlign w:val="bottom"/>
          </w:tcPr>
          <w:p>
            <w:pPr>
              <w:jc w:val="center"/>
              <w:ind w:right="122"/>
              <w:spacing w:after="0" w:line="147" w:lineRule="exact"/>
              <w:rPr>
                <w:sz w:val="20"/>
                <w:szCs w:val="20"/>
                <w:color w:val="auto"/>
              </w:rPr>
            </w:pPr>
            <w:r>
              <w:rPr>
                <w:rFonts w:ascii="Arial" w:cs="Arial" w:eastAsia="Arial" w:hAnsi="Arial"/>
                <w:sz w:val="14"/>
                <w:szCs w:val="14"/>
                <w:b w:val="1"/>
                <w:bCs w:val="1"/>
                <w:color w:val="auto"/>
              </w:rPr>
              <w:t>Merchant</w:t>
            </w:r>
          </w:p>
        </w:tc>
        <w:tc>
          <w:tcPr>
            <w:tcW w:w="138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Gross profit</w:t>
            </w:r>
          </w:p>
        </w:tc>
        <w:tc>
          <w:tcPr>
            <w:tcW w:w="12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68"/>
        </w:trPr>
        <w:tc>
          <w:tcPr>
            <w:tcW w:w="320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1240" w:type="dxa"/>
            <w:vAlign w:val="bottom"/>
            <w:vMerge w:val="restart"/>
          </w:tcPr>
          <w:p>
            <w:pPr>
              <w:jc w:val="center"/>
              <w:ind w:right="122"/>
              <w:spacing w:after="0" w:line="149" w:lineRule="exact"/>
              <w:rPr>
                <w:sz w:val="20"/>
                <w:szCs w:val="20"/>
                <w:color w:val="auto"/>
              </w:rPr>
            </w:pPr>
            <w:r>
              <w:rPr>
                <w:rFonts w:ascii="Arial" w:cs="Arial" w:eastAsia="Arial" w:hAnsi="Arial"/>
                <w:sz w:val="14"/>
                <w:szCs w:val="14"/>
                <w:b w:val="1"/>
                <w:bCs w:val="1"/>
                <w:color w:val="auto"/>
              </w:rPr>
              <w:t>solutions</w:t>
            </w:r>
          </w:p>
        </w:tc>
        <w:tc>
          <w:tcPr>
            <w:tcW w:w="138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5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solutions revenue</w:t>
            </w:r>
          </w:p>
        </w:tc>
        <w:tc>
          <w:tcPr>
            <w:tcW w:w="124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2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15"/>
        </w:trPr>
        <w:tc>
          <w:tcPr>
            <w:tcW w:w="32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24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rPr>
              <w:t>revenue</w:t>
            </w:r>
          </w:p>
        </w:tc>
        <w:tc>
          <w:tcPr>
            <w:tcW w:w="13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2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F7F7F7"/>
          </w:tcPr>
          <w:p>
            <w:pPr>
              <w:ind w:left="140"/>
              <w:spacing w:after="0"/>
              <w:rPr>
                <w:sz w:val="20"/>
                <w:szCs w:val="20"/>
                <w:color w:val="auto"/>
              </w:rPr>
            </w:pPr>
            <w:r>
              <w:rPr>
                <w:rFonts w:ascii="Arial" w:cs="Arial" w:eastAsia="Arial" w:hAnsi="Arial"/>
                <w:sz w:val="16"/>
                <w:szCs w:val="16"/>
                <w:color w:val="auto"/>
              </w:rPr>
              <w:t>2025 as reported</w:t>
            </w:r>
          </w:p>
        </w:tc>
        <w:tc>
          <w:tcPr>
            <w:tcW w:w="1420" w:type="dxa"/>
            <w:vAlign w:val="bottom"/>
            <w:shd w:val="clear" w:color="auto" w:fill="F7F7F7"/>
          </w:tcPr>
          <w:p>
            <w:pPr>
              <w:jc w:val="right"/>
              <w:ind w:right="241"/>
              <w:spacing w:after="0"/>
              <w:rPr>
                <w:sz w:val="20"/>
                <w:szCs w:val="20"/>
                <w:color w:val="auto"/>
              </w:rPr>
            </w:pPr>
            <w:r>
              <w:rPr>
                <w:rFonts w:ascii="Arial" w:cs="Arial" w:eastAsia="Arial" w:hAnsi="Arial"/>
                <w:sz w:val="16"/>
                <w:szCs w:val="16"/>
                <w:color w:val="auto"/>
              </w:rPr>
              <w:t>74,750</w:t>
            </w:r>
          </w:p>
        </w:tc>
        <w:tc>
          <w:tcPr>
            <w:tcW w:w="1200" w:type="dxa"/>
            <w:vAlign w:val="bottom"/>
            <w:shd w:val="clear" w:color="auto" w:fill="F7F7F7"/>
          </w:tcPr>
          <w:p>
            <w:pPr>
              <w:jc w:val="right"/>
              <w:ind w:right="121"/>
              <w:spacing w:after="0"/>
              <w:rPr>
                <w:sz w:val="20"/>
                <w:szCs w:val="20"/>
                <w:color w:val="auto"/>
              </w:rPr>
            </w:pPr>
            <w:r>
              <w:rPr>
                <w:rFonts w:ascii="Arial" w:cs="Arial" w:eastAsia="Arial" w:hAnsi="Arial"/>
                <w:sz w:val="16"/>
                <w:szCs w:val="16"/>
                <w:color w:val="auto"/>
              </w:rPr>
              <w:t>2,360</w:t>
            </w:r>
          </w:p>
        </w:tc>
        <w:tc>
          <w:tcPr>
            <w:tcW w:w="1580" w:type="dxa"/>
            <w:vAlign w:val="bottom"/>
            <w:shd w:val="clear" w:color="auto" w:fill="F7F7F7"/>
          </w:tcPr>
          <w:p>
            <w:pPr>
              <w:ind w:left="1000"/>
              <w:spacing w:after="0"/>
              <w:rPr>
                <w:sz w:val="20"/>
                <w:szCs w:val="20"/>
                <w:color w:val="auto"/>
              </w:rPr>
            </w:pPr>
            <w:r>
              <w:rPr>
                <w:rFonts w:ascii="Arial" w:cs="Arial" w:eastAsia="Arial" w:hAnsi="Arial"/>
                <w:sz w:val="16"/>
                <w:szCs w:val="16"/>
                <w:color w:val="auto"/>
              </w:rPr>
              <w:t>620</w:t>
            </w:r>
          </w:p>
        </w:tc>
        <w:tc>
          <w:tcPr>
            <w:tcW w:w="1240" w:type="dxa"/>
            <w:vAlign w:val="bottom"/>
            <w:shd w:val="clear" w:color="auto" w:fill="F7F7F7"/>
          </w:tcPr>
          <w:p>
            <w:pPr>
              <w:jc w:val="right"/>
              <w:ind w:right="182"/>
              <w:spacing w:after="0"/>
              <w:rPr>
                <w:sz w:val="20"/>
                <w:szCs w:val="20"/>
                <w:color w:val="auto"/>
              </w:rPr>
            </w:pPr>
            <w:r>
              <w:rPr>
                <w:rFonts w:ascii="Arial" w:cs="Arial" w:eastAsia="Arial" w:hAnsi="Arial"/>
                <w:sz w:val="16"/>
                <w:szCs w:val="16"/>
                <w:color w:val="auto"/>
              </w:rPr>
              <w:t>1,740</w:t>
            </w:r>
          </w:p>
        </w:tc>
        <w:tc>
          <w:tcPr>
            <w:tcW w:w="1380" w:type="dxa"/>
            <w:vAlign w:val="bottom"/>
            <w:shd w:val="clear" w:color="auto" w:fill="F7F7F7"/>
          </w:tcPr>
          <w:p>
            <w:pPr>
              <w:jc w:val="right"/>
              <w:ind w:right="241"/>
              <w:spacing w:after="0"/>
              <w:rPr>
                <w:sz w:val="20"/>
                <w:szCs w:val="20"/>
                <w:color w:val="auto"/>
              </w:rPr>
            </w:pPr>
            <w:r>
              <w:rPr>
                <w:rFonts w:ascii="Arial" w:cs="Arial" w:eastAsia="Arial" w:hAnsi="Arial"/>
                <w:sz w:val="16"/>
                <w:szCs w:val="16"/>
                <w:color w:val="auto"/>
              </w:rPr>
              <w:t>1,169</w:t>
            </w:r>
          </w:p>
        </w:tc>
        <w:tc>
          <w:tcPr>
            <w:tcW w:w="1220" w:type="dxa"/>
            <w:vAlign w:val="bottom"/>
            <w:shd w:val="clear" w:color="auto" w:fill="F7F7F7"/>
          </w:tcPr>
          <w:p>
            <w:pPr>
              <w:ind w:left="820"/>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5"/>
        </w:trPr>
        <w:tc>
          <w:tcPr>
            <w:tcW w:w="3200" w:type="dxa"/>
            <w:vAlign w:val="bottom"/>
          </w:tcPr>
          <w:p>
            <w:pPr>
              <w:ind w:left="140"/>
              <w:spacing w:after="0"/>
              <w:rPr>
                <w:sz w:val="20"/>
                <w:szCs w:val="20"/>
                <w:color w:val="auto"/>
              </w:rPr>
            </w:pPr>
            <w:r>
              <w:rPr>
                <w:rFonts w:ascii="Arial" w:cs="Arial" w:eastAsia="Arial" w:hAnsi="Arial"/>
                <w:sz w:val="16"/>
                <w:szCs w:val="16"/>
                <w:color w:val="auto"/>
              </w:rPr>
              <w:t>2026 as reported</w:t>
            </w:r>
          </w:p>
        </w:tc>
        <w:tc>
          <w:tcPr>
            <w:tcW w:w="1420" w:type="dxa"/>
            <w:vAlign w:val="bottom"/>
          </w:tcPr>
          <w:p>
            <w:pPr>
              <w:jc w:val="right"/>
              <w:ind w:right="241"/>
              <w:spacing w:after="0"/>
              <w:rPr>
                <w:sz w:val="20"/>
                <w:szCs w:val="20"/>
                <w:color w:val="auto"/>
              </w:rPr>
            </w:pPr>
            <w:r>
              <w:rPr>
                <w:rFonts w:ascii="Arial" w:cs="Arial" w:eastAsia="Arial" w:hAnsi="Arial"/>
                <w:sz w:val="16"/>
                <w:szCs w:val="16"/>
                <w:color w:val="auto"/>
              </w:rPr>
              <w:t>100,743</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3,170</w:t>
            </w:r>
          </w:p>
        </w:tc>
        <w:tc>
          <w:tcPr>
            <w:tcW w:w="1580" w:type="dxa"/>
            <w:vAlign w:val="bottom"/>
          </w:tcPr>
          <w:p>
            <w:pPr>
              <w:ind w:left="1000"/>
              <w:spacing w:after="0"/>
              <w:rPr>
                <w:sz w:val="20"/>
                <w:szCs w:val="20"/>
                <w:color w:val="auto"/>
              </w:rPr>
            </w:pPr>
            <w:r>
              <w:rPr>
                <w:rFonts w:ascii="Arial" w:cs="Arial" w:eastAsia="Arial" w:hAnsi="Arial"/>
                <w:sz w:val="16"/>
                <w:szCs w:val="16"/>
                <w:color w:val="auto"/>
              </w:rPr>
              <w:t>750</w:t>
            </w:r>
          </w:p>
        </w:tc>
        <w:tc>
          <w:tcPr>
            <w:tcW w:w="1240" w:type="dxa"/>
            <w:vAlign w:val="bottom"/>
          </w:tcPr>
          <w:p>
            <w:pPr>
              <w:jc w:val="right"/>
              <w:ind w:right="182"/>
              <w:spacing w:after="0"/>
              <w:rPr>
                <w:sz w:val="20"/>
                <w:szCs w:val="20"/>
                <w:color w:val="auto"/>
              </w:rPr>
            </w:pPr>
            <w:r>
              <w:rPr>
                <w:rFonts w:ascii="Arial" w:cs="Arial" w:eastAsia="Arial" w:hAnsi="Arial"/>
                <w:sz w:val="16"/>
                <w:szCs w:val="16"/>
                <w:color w:val="auto"/>
              </w:rPr>
              <w:t>2,420</w:t>
            </w:r>
          </w:p>
        </w:tc>
        <w:tc>
          <w:tcPr>
            <w:tcW w:w="1380" w:type="dxa"/>
            <w:vAlign w:val="bottom"/>
          </w:tcPr>
          <w:p>
            <w:pPr>
              <w:jc w:val="right"/>
              <w:ind w:right="241"/>
              <w:spacing w:after="0"/>
              <w:rPr>
                <w:sz w:val="20"/>
                <w:szCs w:val="20"/>
                <w:color w:val="auto"/>
              </w:rPr>
            </w:pPr>
            <w:r>
              <w:rPr>
                <w:rFonts w:ascii="Arial" w:cs="Arial" w:eastAsia="Arial" w:hAnsi="Arial"/>
                <w:sz w:val="16"/>
                <w:szCs w:val="16"/>
                <w:color w:val="auto"/>
              </w:rPr>
              <w:t>1,546</w:t>
            </w:r>
          </w:p>
        </w:tc>
        <w:tc>
          <w:tcPr>
            <w:tcW w:w="1220" w:type="dxa"/>
            <w:vAlign w:val="bottom"/>
          </w:tcPr>
          <w:p>
            <w:pPr>
              <w:ind w:left="820"/>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7"/>
        </w:trPr>
        <w:tc>
          <w:tcPr>
            <w:tcW w:w="3200" w:type="dxa"/>
            <w:vAlign w:val="bottom"/>
            <w:shd w:val="clear" w:color="auto" w:fill="F7F7F7"/>
          </w:tcPr>
          <w:p>
            <w:pPr>
              <w:ind w:left="140"/>
              <w:spacing w:after="0"/>
              <w:rPr>
                <w:sz w:val="20"/>
                <w:szCs w:val="20"/>
                <w:color w:val="auto"/>
              </w:rPr>
            </w:pPr>
            <w:r>
              <w:rPr>
                <w:rFonts w:ascii="Arial" w:cs="Arial" w:eastAsia="Arial" w:hAnsi="Arial"/>
                <w:sz w:val="16"/>
                <w:szCs w:val="16"/>
                <w:color w:val="auto"/>
              </w:rPr>
              <w:t>Percentage change YoY</w:t>
            </w:r>
          </w:p>
        </w:tc>
        <w:tc>
          <w:tcPr>
            <w:tcW w:w="1420" w:type="dxa"/>
            <w:vAlign w:val="bottom"/>
            <w:tcBorders>
              <w:bottom w:val="single" w:sz="8" w:color="auto"/>
            </w:tcBorders>
            <w:shd w:val="clear" w:color="auto" w:fill="F7F7F7"/>
          </w:tcPr>
          <w:p>
            <w:pPr>
              <w:jc w:val="right"/>
              <w:ind w:right="141"/>
              <w:spacing w:after="0"/>
              <w:rPr>
                <w:sz w:val="20"/>
                <w:szCs w:val="20"/>
                <w:color w:val="auto"/>
              </w:rPr>
            </w:pPr>
            <w:r>
              <w:rPr>
                <w:rFonts w:ascii="Arial" w:cs="Arial" w:eastAsia="Arial" w:hAnsi="Arial"/>
                <w:sz w:val="16"/>
                <w:szCs w:val="16"/>
                <w:color w:val="auto"/>
              </w:rPr>
              <w:t>35%</w:t>
            </w:r>
          </w:p>
        </w:tc>
        <w:tc>
          <w:tcPr>
            <w:tcW w:w="1200" w:type="dxa"/>
            <w:vAlign w:val="bottom"/>
            <w:tcBorders>
              <w:bottom w:val="single" w:sz="8" w:color="auto"/>
            </w:tcBorders>
            <w:shd w:val="clear" w:color="auto" w:fill="F7F7F7"/>
          </w:tcPr>
          <w:p>
            <w:pPr>
              <w:jc w:val="right"/>
              <w:ind w:right="21"/>
              <w:spacing w:after="0"/>
              <w:rPr>
                <w:sz w:val="20"/>
                <w:szCs w:val="20"/>
                <w:color w:val="auto"/>
              </w:rPr>
            </w:pPr>
            <w:r>
              <w:rPr>
                <w:rFonts w:ascii="Arial" w:cs="Arial" w:eastAsia="Arial" w:hAnsi="Arial"/>
                <w:sz w:val="16"/>
                <w:szCs w:val="16"/>
                <w:color w:val="auto"/>
              </w:rPr>
              <w:t>34%</w:t>
            </w:r>
          </w:p>
        </w:tc>
        <w:tc>
          <w:tcPr>
            <w:tcW w:w="1580" w:type="dxa"/>
            <w:vAlign w:val="bottom"/>
            <w:tcBorders>
              <w:bottom w:val="single" w:sz="8" w:color="auto"/>
            </w:tcBorders>
            <w:shd w:val="clear" w:color="auto" w:fill="F7F7F7"/>
          </w:tcPr>
          <w:p>
            <w:pPr>
              <w:jc w:val="right"/>
              <w:ind w:right="121"/>
              <w:spacing w:after="0"/>
              <w:rPr>
                <w:sz w:val="20"/>
                <w:szCs w:val="20"/>
                <w:color w:val="auto"/>
              </w:rPr>
            </w:pPr>
            <w:r>
              <w:rPr>
                <w:rFonts w:ascii="Arial" w:cs="Arial" w:eastAsia="Arial" w:hAnsi="Arial"/>
                <w:sz w:val="16"/>
                <w:szCs w:val="16"/>
                <w:color w:val="auto"/>
              </w:rPr>
              <w:t>21%</w:t>
            </w:r>
          </w:p>
        </w:tc>
        <w:tc>
          <w:tcPr>
            <w:tcW w:w="1240" w:type="dxa"/>
            <w:vAlign w:val="bottom"/>
            <w:tcBorders>
              <w:bottom w:val="single" w:sz="8" w:color="auto"/>
            </w:tcBorders>
            <w:shd w:val="clear" w:color="auto" w:fill="F7F7F7"/>
          </w:tcPr>
          <w:p>
            <w:pPr>
              <w:jc w:val="right"/>
              <w:ind w:right="62"/>
              <w:spacing w:after="0"/>
              <w:rPr>
                <w:sz w:val="20"/>
                <w:szCs w:val="20"/>
                <w:color w:val="auto"/>
              </w:rPr>
            </w:pPr>
            <w:r>
              <w:rPr>
                <w:rFonts w:ascii="Arial" w:cs="Arial" w:eastAsia="Arial" w:hAnsi="Arial"/>
                <w:sz w:val="16"/>
                <w:szCs w:val="16"/>
                <w:color w:val="auto"/>
              </w:rPr>
              <w:t>39%</w:t>
            </w:r>
          </w:p>
        </w:tc>
        <w:tc>
          <w:tcPr>
            <w:tcW w:w="1380" w:type="dxa"/>
            <w:vAlign w:val="bottom"/>
            <w:tcBorders>
              <w:bottom w:val="single" w:sz="8" w:color="auto"/>
            </w:tcBorders>
            <w:shd w:val="clear" w:color="auto" w:fill="F7F7F7"/>
          </w:tcPr>
          <w:p>
            <w:pPr>
              <w:jc w:val="right"/>
              <w:ind w:right="141"/>
              <w:spacing w:after="0"/>
              <w:rPr>
                <w:sz w:val="20"/>
                <w:szCs w:val="20"/>
                <w:color w:val="auto"/>
              </w:rPr>
            </w:pPr>
            <w:r>
              <w:rPr>
                <w:rFonts w:ascii="Arial" w:cs="Arial" w:eastAsia="Arial" w:hAnsi="Arial"/>
                <w:sz w:val="16"/>
                <w:szCs w:val="16"/>
                <w:color w:val="auto"/>
              </w:rPr>
              <w:t>32%</w:t>
            </w:r>
          </w:p>
        </w:tc>
        <w:tc>
          <w:tcPr>
            <w:tcW w:w="12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F7F7F7"/>
            </w:tcBorders>
          </w:tcPr>
          <w:p>
            <w:pPr>
              <w:ind w:left="140"/>
              <w:spacing w:after="0"/>
              <w:rPr>
                <w:sz w:val="20"/>
                <w:szCs w:val="20"/>
                <w:color w:val="auto"/>
              </w:rPr>
            </w:pPr>
            <w:r>
              <w:rPr>
                <w:rFonts w:ascii="Arial" w:cs="Arial" w:eastAsia="Arial" w:hAnsi="Arial"/>
                <w:sz w:val="16"/>
                <w:szCs w:val="16"/>
                <w:color w:val="auto"/>
              </w:rPr>
              <w:t>Constant currency impact</w:t>
            </w:r>
          </w:p>
        </w:tc>
        <w:tc>
          <w:tcPr>
            <w:tcW w:w="14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3,302</w:t>
            </w: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54</w:t>
            </w:r>
          </w:p>
        </w:tc>
        <w:tc>
          <w:tcPr>
            <w:tcW w:w="158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10</w:t>
            </w:r>
          </w:p>
        </w:tc>
        <w:tc>
          <w:tcPr>
            <w:tcW w:w="12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44</w:t>
            </w:r>
          </w:p>
        </w:tc>
        <w:tc>
          <w:tcPr>
            <w:tcW w:w="13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32</w:t>
            </w:r>
          </w:p>
        </w:tc>
        <w:tc>
          <w:tcPr>
            <w:tcW w:w="122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43"/>
        </w:trPr>
        <w:tc>
          <w:tcPr>
            <w:tcW w:w="3200" w:type="dxa"/>
            <w:vAlign w:val="bottom"/>
            <w:shd w:val="clear" w:color="auto" w:fill="F7F7F7"/>
          </w:tcPr>
          <w:p>
            <w:pPr>
              <w:ind w:left="140"/>
              <w:spacing w:after="0" w:line="143" w:lineRule="exact"/>
              <w:rPr>
                <w:sz w:val="20"/>
                <w:szCs w:val="20"/>
                <w:color w:val="auto"/>
              </w:rPr>
            </w:pPr>
            <w:r>
              <w:rPr>
                <w:rFonts w:ascii="Arial" w:cs="Arial" w:eastAsia="Arial" w:hAnsi="Arial"/>
                <w:sz w:val="16"/>
                <w:szCs w:val="16"/>
                <w:color w:val="auto"/>
              </w:rPr>
              <w:t>Percentage change YoY</w:t>
            </w:r>
          </w:p>
        </w:tc>
        <w:tc>
          <w:tcPr>
            <w:tcW w:w="1420" w:type="dxa"/>
            <w:vAlign w:val="bottom"/>
            <w:vMerge w:val="restart"/>
            <w:shd w:val="clear" w:color="auto" w:fill="F7F7F7"/>
          </w:tcPr>
          <w:p>
            <w:pPr>
              <w:jc w:val="right"/>
              <w:ind w:right="141"/>
              <w:spacing w:after="0"/>
              <w:rPr>
                <w:sz w:val="20"/>
                <w:szCs w:val="20"/>
                <w:color w:val="auto"/>
              </w:rPr>
            </w:pPr>
            <w:r>
              <w:rPr>
                <w:rFonts w:ascii="Arial" w:cs="Arial" w:eastAsia="Arial" w:hAnsi="Arial"/>
                <w:sz w:val="16"/>
                <w:szCs w:val="16"/>
                <w:color w:val="auto"/>
              </w:rPr>
              <w:t>30%</w:t>
            </w:r>
          </w:p>
        </w:tc>
        <w:tc>
          <w:tcPr>
            <w:tcW w:w="1200" w:type="dxa"/>
            <w:vAlign w:val="bottom"/>
            <w:vMerge w:val="restart"/>
            <w:shd w:val="clear" w:color="auto" w:fill="F7F7F7"/>
          </w:tcPr>
          <w:p>
            <w:pPr>
              <w:jc w:val="right"/>
              <w:ind w:right="21"/>
              <w:spacing w:after="0"/>
              <w:rPr>
                <w:sz w:val="20"/>
                <w:szCs w:val="20"/>
                <w:color w:val="auto"/>
              </w:rPr>
            </w:pPr>
            <w:r>
              <w:rPr>
                <w:rFonts w:ascii="Arial" w:cs="Arial" w:eastAsia="Arial" w:hAnsi="Arial"/>
                <w:sz w:val="16"/>
                <w:szCs w:val="16"/>
                <w:color w:val="auto"/>
              </w:rPr>
              <w:t>32%</w:t>
            </w:r>
          </w:p>
        </w:tc>
        <w:tc>
          <w:tcPr>
            <w:tcW w:w="1580" w:type="dxa"/>
            <w:vAlign w:val="bottom"/>
            <w:vMerge w:val="restart"/>
            <w:shd w:val="clear" w:color="auto" w:fill="F7F7F7"/>
          </w:tcPr>
          <w:p>
            <w:pPr>
              <w:jc w:val="right"/>
              <w:ind w:right="121"/>
              <w:spacing w:after="0"/>
              <w:rPr>
                <w:sz w:val="20"/>
                <w:szCs w:val="20"/>
                <w:color w:val="auto"/>
              </w:rPr>
            </w:pPr>
            <w:r>
              <w:rPr>
                <w:rFonts w:ascii="Arial" w:cs="Arial" w:eastAsia="Arial" w:hAnsi="Arial"/>
                <w:sz w:val="16"/>
                <w:szCs w:val="16"/>
                <w:color w:val="auto"/>
              </w:rPr>
              <w:t>19%</w:t>
            </w:r>
          </w:p>
        </w:tc>
        <w:tc>
          <w:tcPr>
            <w:tcW w:w="1240" w:type="dxa"/>
            <w:vAlign w:val="bottom"/>
            <w:vMerge w:val="restart"/>
            <w:shd w:val="clear" w:color="auto" w:fill="F7F7F7"/>
          </w:tcPr>
          <w:p>
            <w:pPr>
              <w:jc w:val="right"/>
              <w:ind w:right="62"/>
              <w:spacing w:after="0"/>
              <w:rPr>
                <w:sz w:val="20"/>
                <w:szCs w:val="20"/>
                <w:color w:val="auto"/>
              </w:rPr>
            </w:pPr>
            <w:r>
              <w:rPr>
                <w:rFonts w:ascii="Arial" w:cs="Arial" w:eastAsia="Arial" w:hAnsi="Arial"/>
                <w:sz w:val="16"/>
                <w:szCs w:val="16"/>
                <w:color w:val="auto"/>
              </w:rPr>
              <w:t>37%</w:t>
            </w:r>
          </w:p>
        </w:tc>
        <w:tc>
          <w:tcPr>
            <w:tcW w:w="1380" w:type="dxa"/>
            <w:vAlign w:val="bottom"/>
            <w:vMerge w:val="restart"/>
            <w:shd w:val="clear" w:color="auto" w:fill="F7F7F7"/>
          </w:tcPr>
          <w:p>
            <w:pPr>
              <w:jc w:val="right"/>
              <w:ind w:right="141"/>
              <w:spacing w:after="0"/>
              <w:rPr>
                <w:sz w:val="20"/>
                <w:szCs w:val="20"/>
                <w:color w:val="auto"/>
              </w:rPr>
            </w:pPr>
            <w:r>
              <w:rPr>
                <w:rFonts w:ascii="Arial" w:cs="Arial" w:eastAsia="Arial" w:hAnsi="Arial"/>
                <w:sz w:val="16"/>
                <w:szCs w:val="16"/>
                <w:color w:val="auto"/>
              </w:rPr>
              <w:t>30%</w:t>
            </w:r>
          </w:p>
        </w:tc>
        <w:tc>
          <w:tcPr>
            <w:tcW w:w="1220" w:type="dxa"/>
            <w:vAlign w:val="bottom"/>
            <w:vMerge w:val="restart"/>
            <w:shd w:val="clear" w:color="auto" w:fill="F7F7F7"/>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6"/>
        </w:trPr>
        <w:tc>
          <w:tcPr>
            <w:tcW w:w="3200" w:type="dxa"/>
            <w:vAlign w:val="bottom"/>
            <w:shd w:val="clear" w:color="auto" w:fill="F7F7F7"/>
          </w:tcPr>
          <w:p>
            <w:pPr>
              <w:ind w:left="140"/>
              <w:spacing w:after="0"/>
              <w:rPr>
                <w:sz w:val="20"/>
                <w:szCs w:val="20"/>
                <w:color w:val="auto"/>
              </w:rPr>
            </w:pPr>
            <w:r>
              <w:rPr>
                <w:rFonts w:ascii="Arial" w:cs="Arial" w:eastAsia="Arial" w:hAnsi="Arial"/>
                <w:sz w:val="16"/>
                <w:szCs w:val="16"/>
                <w:color w:val="auto"/>
              </w:rPr>
              <w:t>constant currency</w:t>
            </w:r>
          </w:p>
        </w:tc>
        <w:tc>
          <w:tcPr>
            <w:tcW w:w="1420" w:type="dxa"/>
            <w:vAlign w:val="bottom"/>
            <w:vMerge w:val="continue"/>
            <w:shd w:val="clear" w:color="auto" w:fill="F7F7F7"/>
          </w:tcPr>
          <w:p>
            <w:pPr>
              <w:spacing w:after="0"/>
              <w:rPr>
                <w:sz w:val="18"/>
                <w:szCs w:val="18"/>
                <w:color w:val="auto"/>
              </w:rPr>
            </w:pPr>
          </w:p>
        </w:tc>
        <w:tc>
          <w:tcPr>
            <w:tcW w:w="1200" w:type="dxa"/>
            <w:vAlign w:val="bottom"/>
            <w:vMerge w:val="continue"/>
            <w:shd w:val="clear" w:color="auto" w:fill="F7F7F7"/>
          </w:tcPr>
          <w:p>
            <w:pPr>
              <w:spacing w:after="0"/>
              <w:rPr>
                <w:sz w:val="18"/>
                <w:szCs w:val="18"/>
                <w:color w:val="auto"/>
              </w:rPr>
            </w:pPr>
          </w:p>
        </w:tc>
        <w:tc>
          <w:tcPr>
            <w:tcW w:w="1580" w:type="dxa"/>
            <w:vAlign w:val="bottom"/>
            <w:vMerge w:val="continue"/>
            <w:shd w:val="clear" w:color="auto" w:fill="F7F7F7"/>
          </w:tcPr>
          <w:p>
            <w:pPr>
              <w:spacing w:after="0"/>
              <w:rPr>
                <w:sz w:val="18"/>
                <w:szCs w:val="18"/>
                <w:color w:val="auto"/>
              </w:rPr>
            </w:pPr>
          </w:p>
        </w:tc>
        <w:tc>
          <w:tcPr>
            <w:tcW w:w="1240" w:type="dxa"/>
            <w:vAlign w:val="bottom"/>
            <w:vMerge w:val="continue"/>
            <w:shd w:val="clear" w:color="auto" w:fill="F7F7F7"/>
          </w:tcPr>
          <w:p>
            <w:pPr>
              <w:spacing w:after="0"/>
              <w:rPr>
                <w:sz w:val="18"/>
                <w:szCs w:val="18"/>
                <w:color w:val="auto"/>
              </w:rPr>
            </w:pPr>
          </w:p>
        </w:tc>
        <w:tc>
          <w:tcPr>
            <w:tcW w:w="1380" w:type="dxa"/>
            <w:vAlign w:val="bottom"/>
            <w:vMerge w:val="continue"/>
            <w:shd w:val="clear" w:color="auto" w:fill="F7F7F7"/>
          </w:tcPr>
          <w:p>
            <w:pPr>
              <w:spacing w:after="0"/>
              <w:rPr>
                <w:sz w:val="18"/>
                <w:szCs w:val="18"/>
                <w:color w:val="auto"/>
              </w:rPr>
            </w:pPr>
          </w:p>
        </w:tc>
        <w:tc>
          <w:tcPr>
            <w:tcW w:w="1220" w:type="dxa"/>
            <w:vAlign w:val="bottom"/>
            <w:vMerge w:val="continue"/>
            <w:shd w:val="clear" w:color="auto" w:fill="F7F7F7"/>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160"/>
        <w:spacing w:after="0"/>
        <w:rPr>
          <w:sz w:val="20"/>
          <w:szCs w:val="20"/>
          <w:color w:val="auto"/>
        </w:rPr>
      </w:pPr>
      <w:r>
        <w:rPr>
          <w:rFonts w:ascii="Arial" w:cs="Arial" w:eastAsia="Arial" w:hAnsi="Arial"/>
          <w:sz w:val="14"/>
          <w:szCs w:val="14"/>
          <w:color w:val="6D6D6D"/>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48715" cy="31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1750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Regulatory Disclosures and Forward-looking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Regarding Forward-looking Statements</w:t>
      </w:r>
    </w:p>
    <w:p>
      <w:pPr>
        <w:spacing w:after="0" w:line="230" w:lineRule="exact"/>
        <w:rPr>
          <w:sz w:val="20"/>
          <w:szCs w:val="20"/>
          <w:color w:val="auto"/>
        </w:rPr>
      </w:pPr>
    </w:p>
    <w:p>
      <w:pPr>
        <w:spacing w:after="0" w:line="372" w:lineRule="auto"/>
        <w:rPr>
          <w:sz w:val="20"/>
          <w:szCs w:val="20"/>
          <w:color w:val="auto"/>
        </w:rPr>
      </w:pPr>
      <w:r>
        <w:rPr>
          <w:rFonts w:ascii="Arial" w:cs="Arial" w:eastAsia="Arial" w:hAnsi="Arial"/>
          <w:sz w:val="16"/>
          <w:szCs w:val="16"/>
          <w:color w:val="auto"/>
        </w:rPr>
        <w:t xml:space="preserve">This press release contains forward-looking statements and forward-looking information (collectively, “forward-looking statements”), including statements related to Shopify’s financial outlook, such as expected revenue and expenses for the next fiscal quarter, Shopify's expectations regarding its ability to support merchants as they scale, and Shopify's expectations regarding the development of emerging technologies, including AI. These statements can be identified by words such as "will" and “expect” and are based on Shopify's current projections and expectations about future events and financial results. Known and unknown risks may cause actual results to differ materially from those described in the forward-looking statements. These risks include, but are not limited to, the Company’s ability to maintain expected growth and manage expenses, the impact of changes in economic conditions and consumer spending in key markets such as the United States, Europe, and globally, the impact of measures that affect international trade, including tariffs, the adoption and impact of emerging technologies such as AI, our reliance on third-party providers to deliver services, a cyberattack or security breach, and serious errors or defects in software or hardware. Other factors and risks that may cause actual results to differ materially from those set out in the forward-looking statements are set out in Shopify's Form 10-Q under the heading “Risk Factors” and other filings made with US and Canadian securities regulators, available at </w:t>
      </w:r>
      <w:r>
        <w:rPr>
          <w:rFonts w:ascii="Arial" w:cs="Arial" w:eastAsia="Arial" w:hAnsi="Arial"/>
          <w:sz w:val="16"/>
          <w:szCs w:val="16"/>
          <w:u w:val="single" w:color="auto"/>
          <w:color w:val="14896B"/>
        </w:rPr>
        <w:t>www.sec.gov</w:t>
      </w:r>
      <w:r>
        <w:rPr>
          <w:rFonts w:ascii="Arial" w:cs="Arial" w:eastAsia="Arial" w:hAnsi="Arial"/>
          <w:sz w:val="16"/>
          <w:szCs w:val="16"/>
          <w:color w:val="auto"/>
        </w:rPr>
        <w:t xml:space="preserve"> and </w:t>
      </w:r>
      <w:r>
        <w:rPr>
          <w:rFonts w:ascii="Arial" w:cs="Arial" w:eastAsia="Arial" w:hAnsi="Arial"/>
          <w:sz w:val="16"/>
          <w:szCs w:val="16"/>
          <w:u w:val="single" w:color="auto"/>
          <w:color w:val="14896B"/>
        </w:rPr>
        <w:t>www.sedarplus.ca</w:t>
      </w:r>
      <w:r>
        <w:rPr>
          <w:rFonts w:ascii="Arial" w:cs="Arial" w:eastAsia="Arial" w:hAnsi="Arial"/>
          <w:sz w:val="16"/>
          <w:szCs w:val="16"/>
          <w:color w:val="auto"/>
        </w:rPr>
        <w:t>. Undue reliance should not be placed on the forward-looking statements in this press release, which are based on information available to management on the date hereof and represent management’s beliefs regarding future events, projections, and financial trends, which, by their nature, are inherently uncertain. The forward-looking statements are provided to give additional information about management’s expectations and beliefs and may not be appropriate for other purposes. Shopify undertakes no duty to publicly update or revise any forward-looking statements,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6D6D6D"/>
        </w:rPr>
        <w:t>Endnotes:</w:t>
      </w:r>
    </w:p>
    <w:p>
      <w:pPr>
        <w:spacing w:after="0" w:line="103" w:lineRule="exact"/>
        <w:rPr>
          <w:sz w:val="20"/>
          <w:szCs w:val="20"/>
          <w:color w:val="auto"/>
        </w:rPr>
      </w:pPr>
    </w:p>
    <w:p>
      <w:pPr>
        <w:ind w:right="380"/>
        <w:spacing w:after="0" w:line="285" w:lineRule="auto"/>
        <w:rPr>
          <w:sz w:val="20"/>
          <w:szCs w:val="20"/>
          <w:color w:val="auto"/>
        </w:rPr>
      </w:pPr>
      <w:r>
        <w:rPr>
          <w:rFonts w:ascii="Arial" w:cs="Arial" w:eastAsia="Arial" w:hAnsi="Arial"/>
          <w:sz w:val="11"/>
          <w:szCs w:val="11"/>
          <w:color w:val="6D6D6D"/>
        </w:rPr>
        <w:t>Gross Merchandise Volume, or GMV, represents the total dollar value of orders facilitated through the Shopify platform including certain apps and channels for which a revenue-sharing arrangement is in place in the period, net of refunds, and inclusive of shipping and handling, duty, and value-added taxes.</w:t>
      </w:r>
    </w:p>
    <w:p>
      <w:pPr>
        <w:spacing w:after="0" w:line="64" w:lineRule="exact"/>
        <w:rPr>
          <w:sz w:val="20"/>
          <w:szCs w:val="20"/>
          <w:color w:val="auto"/>
        </w:rPr>
      </w:pPr>
    </w:p>
    <w:p>
      <w:pPr>
        <w:ind w:right="180"/>
        <w:spacing w:after="0" w:line="285" w:lineRule="auto"/>
        <w:rPr>
          <w:sz w:val="20"/>
          <w:szCs w:val="20"/>
          <w:color w:val="auto"/>
        </w:rPr>
      </w:pPr>
      <w:r>
        <w:rPr>
          <w:rFonts w:ascii="Arial" w:cs="Arial" w:eastAsia="Arial" w:hAnsi="Arial"/>
          <w:sz w:val="11"/>
          <w:szCs w:val="11"/>
          <w:color w:val="6D6D6D"/>
        </w:rPr>
        <w:t>Monthly Recurring Revenue, or MRR, is the aggregate value of all subscription plans, excluding variable platform fees, in effect on the last day of the period, assuming merchants maintain their subscription the following month and is used by management as a directional indicator of subscription solutions revenue going forward.</w:t>
      </w:r>
    </w:p>
    <w:p>
      <w:pPr>
        <w:spacing w:after="0" w:line="78" w:lineRule="exact"/>
        <w:rPr>
          <w:sz w:val="20"/>
          <w:szCs w:val="20"/>
          <w:color w:val="auto"/>
        </w:rPr>
      </w:pPr>
    </w:p>
    <w:p>
      <w:pPr>
        <w:ind w:right="120"/>
        <w:spacing w:after="0" w:line="274" w:lineRule="auto"/>
        <w:rPr>
          <w:sz w:val="20"/>
          <w:szCs w:val="20"/>
          <w:color w:val="auto"/>
        </w:rPr>
      </w:pPr>
      <w:r>
        <w:rPr>
          <w:rFonts w:ascii="Arial" w:cs="Arial" w:eastAsia="Arial" w:hAnsi="Arial"/>
          <w:sz w:val="10"/>
          <w:szCs w:val="10"/>
          <w:color w:val="6D6D6D"/>
        </w:rPr>
        <w:t>Free cash flow and free cash flow margin are non-GAAP financial measures that are reconciled in the non-GAAP reconciliation within this press release. These non-GAAP financial measures do not have standardized meanings under US GAAP and may not be comparable to similar measures presented by other companies. Shopify believes free cash flow and free cash flow margin provide useful information to help investors and others understand our operating</w:t>
      </w:r>
    </w:p>
    <w:p>
      <w:pPr>
        <w:spacing w:after="0" w:line="1" w:lineRule="exact"/>
        <w:rPr>
          <w:sz w:val="20"/>
          <w:szCs w:val="20"/>
          <w:color w:val="auto"/>
        </w:rPr>
      </w:pPr>
    </w:p>
    <w:p>
      <w:pPr>
        <w:ind w:right="180"/>
        <w:spacing w:after="0" w:line="246" w:lineRule="auto"/>
        <w:rPr>
          <w:sz w:val="20"/>
          <w:szCs w:val="20"/>
          <w:color w:val="auto"/>
        </w:rPr>
      </w:pPr>
      <w:r>
        <w:rPr>
          <w:rFonts w:ascii="Arial" w:cs="Arial" w:eastAsia="Arial" w:hAnsi="Arial"/>
          <w:sz w:val="11"/>
          <w:szCs w:val="11"/>
          <w:color w:val="6D6D6D"/>
        </w:rPr>
        <w:t>results and the performance of our business in the same manner as management. Shopify does not reconcile forward-looking non-GAAP free cash flow margin because certain financial information, the probable significance of which cannot be determined, is not available and cannot be reasonably estimated. Free cash flow is a non-GAAP financial measure calculated as cash flow from operations less capital expenditures.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6D6D6D"/>
        </w:rPr>
        <w:t>8</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2026-05-05T06:19:17Z</dcterms:created>
  <dcterms:modified xsi:type="dcterms:W3CDTF">2026-05-05T06:19:17Z</dcterms:modified>
</cp:coreProperties>
</file>